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ECF" w:rsidRPr="007B5BC7" w:rsidRDefault="007D73A3" w:rsidP="007B5BC7">
      <w:pPr>
        <w:jc w:val="center"/>
        <w:rPr>
          <w:b/>
          <w:bCs/>
          <w:sz w:val="28"/>
          <w:szCs w:val="28"/>
          <w:lang w:val="da-DK"/>
        </w:rPr>
      </w:pPr>
      <w:r w:rsidRPr="007B5BC7">
        <w:rPr>
          <w:b/>
          <w:bCs/>
          <w:sz w:val="28"/>
          <w:szCs w:val="28"/>
          <w:lang w:val="da-DK"/>
        </w:rPr>
        <w:t>Human Milk Fat Globule and its membrane</w:t>
      </w:r>
    </w:p>
    <w:p w:rsidR="007B5BC7" w:rsidRDefault="007B5BC7" w:rsidP="007B5BC7">
      <w:pPr>
        <w:rPr>
          <w:b/>
          <w:bCs/>
          <w:vertAlign w:val="superscript"/>
        </w:rPr>
      </w:pPr>
      <w:r w:rsidRPr="007B5BC7">
        <w:rPr>
          <w:b/>
          <w:bCs/>
        </w:rPr>
        <w:t>Claire Bourlieu</w:t>
      </w:r>
      <w:r w:rsidRPr="007B5BC7">
        <w:rPr>
          <w:b/>
          <w:bCs/>
          <w:vertAlign w:val="superscript"/>
        </w:rPr>
        <w:t>1,4</w:t>
      </w:r>
      <w:r w:rsidRPr="007B5BC7">
        <w:rPr>
          <w:b/>
          <w:bCs/>
        </w:rPr>
        <w:t>*, Mathilde Cancalon</w:t>
      </w:r>
      <w:r w:rsidRPr="007B5BC7">
        <w:rPr>
          <w:b/>
          <w:bCs/>
          <w:vertAlign w:val="superscript"/>
        </w:rPr>
        <w:t>1,4</w:t>
      </w:r>
      <w:r w:rsidRPr="007B5BC7">
        <w:rPr>
          <w:b/>
          <w:bCs/>
        </w:rPr>
        <w:t>, Nathalie Barouh</w:t>
      </w:r>
      <w:r w:rsidRPr="007B5BC7">
        <w:rPr>
          <w:b/>
          <w:bCs/>
          <w:vertAlign w:val="superscript"/>
        </w:rPr>
        <w:t>3</w:t>
      </w:r>
      <w:r w:rsidRPr="007B5BC7">
        <w:rPr>
          <w:b/>
          <w:bCs/>
        </w:rPr>
        <w:t>, M. Robert</w:t>
      </w:r>
      <w:r w:rsidRPr="007B5BC7">
        <w:rPr>
          <w:b/>
          <w:bCs/>
          <w:vertAlign w:val="superscript"/>
        </w:rPr>
        <w:t>1</w:t>
      </w:r>
      <w:r w:rsidRPr="007B5BC7">
        <w:rPr>
          <w:b/>
          <w:bCs/>
        </w:rPr>
        <w:t>, Véronique Vié</w:t>
      </w:r>
      <w:proofErr w:type="gramStart"/>
      <w:r w:rsidRPr="007B5BC7">
        <w:rPr>
          <w:b/>
          <w:bCs/>
          <w:vertAlign w:val="superscript"/>
        </w:rPr>
        <w:t>2</w:t>
      </w:r>
      <w:r w:rsidRPr="007B5BC7">
        <w:rPr>
          <w:b/>
          <w:bCs/>
        </w:rPr>
        <w:t>,Olivia</w:t>
      </w:r>
      <w:proofErr w:type="gramEnd"/>
      <w:r w:rsidRPr="007B5BC7">
        <w:rPr>
          <w:b/>
          <w:bCs/>
        </w:rPr>
        <w:t xml:space="preserve"> Ménard</w:t>
      </w:r>
      <w:r w:rsidRPr="007B5BC7">
        <w:rPr>
          <w:b/>
          <w:bCs/>
          <w:vertAlign w:val="superscript"/>
        </w:rPr>
        <w:t>4</w:t>
      </w:r>
      <w:r w:rsidRPr="007B5BC7">
        <w:rPr>
          <w:b/>
          <w:bCs/>
        </w:rPr>
        <w:t>, Didier Dupont</w:t>
      </w:r>
      <w:r w:rsidRPr="007B5BC7">
        <w:rPr>
          <w:b/>
          <w:bCs/>
          <w:vertAlign w:val="superscript"/>
        </w:rPr>
        <w:t>4</w:t>
      </w:r>
      <w:r w:rsidRPr="007B5BC7">
        <w:rPr>
          <w:b/>
          <w:bCs/>
        </w:rPr>
        <w:t>, Amélie Deglaire</w:t>
      </w:r>
      <w:r w:rsidRPr="007B5BC7">
        <w:rPr>
          <w:b/>
          <w:bCs/>
          <w:vertAlign w:val="superscript"/>
        </w:rPr>
        <w:t>4</w:t>
      </w:r>
    </w:p>
    <w:p w:rsidR="007B5BC7" w:rsidRPr="007B5BC7" w:rsidRDefault="007B5BC7" w:rsidP="007B5BC7">
      <w:pPr>
        <w:spacing w:line="240" w:lineRule="auto"/>
        <w:jc w:val="center"/>
        <w:rPr>
          <w:bCs/>
          <w:i/>
          <w:sz w:val="20"/>
          <w:szCs w:val="20"/>
        </w:rPr>
      </w:pPr>
      <w:r w:rsidRPr="007B5BC7">
        <w:rPr>
          <w:bCs/>
          <w:i/>
          <w:sz w:val="20"/>
          <w:szCs w:val="20"/>
          <w:vertAlign w:val="superscript"/>
        </w:rPr>
        <w:t>1</w:t>
      </w:r>
      <w:r w:rsidRPr="007B5BC7">
        <w:rPr>
          <w:bCs/>
          <w:i/>
          <w:sz w:val="20"/>
          <w:szCs w:val="20"/>
        </w:rPr>
        <w:t xml:space="preserve">UMR 1208 IATE, INRAE, </w:t>
      </w:r>
      <w:proofErr w:type="spellStart"/>
      <w:r w:rsidRPr="007B5BC7">
        <w:rPr>
          <w:bCs/>
          <w:i/>
          <w:sz w:val="20"/>
          <w:szCs w:val="20"/>
        </w:rPr>
        <w:t>Univ</w:t>
      </w:r>
      <w:proofErr w:type="spellEnd"/>
      <w:r w:rsidRPr="007B5BC7">
        <w:rPr>
          <w:bCs/>
          <w:i/>
          <w:sz w:val="20"/>
          <w:szCs w:val="20"/>
        </w:rPr>
        <w:t xml:space="preserve"> Montpellier, Institut Agro, Montpellier, </w:t>
      </w:r>
      <w:proofErr w:type="gramStart"/>
      <w:r w:rsidRPr="007B5BC7">
        <w:rPr>
          <w:bCs/>
          <w:i/>
          <w:sz w:val="20"/>
          <w:szCs w:val="20"/>
        </w:rPr>
        <w:t>France;</w:t>
      </w:r>
      <w:proofErr w:type="gramEnd"/>
    </w:p>
    <w:p w:rsidR="007B5BC7" w:rsidRPr="007B5BC7" w:rsidRDefault="007B5BC7" w:rsidP="007B5BC7">
      <w:pPr>
        <w:spacing w:line="240" w:lineRule="auto"/>
        <w:jc w:val="center"/>
        <w:rPr>
          <w:bCs/>
          <w:i/>
          <w:sz w:val="20"/>
          <w:szCs w:val="20"/>
        </w:rPr>
      </w:pPr>
      <w:r w:rsidRPr="007B5BC7">
        <w:rPr>
          <w:bCs/>
          <w:i/>
          <w:sz w:val="20"/>
          <w:szCs w:val="20"/>
          <w:vertAlign w:val="superscript"/>
        </w:rPr>
        <w:t>2</w:t>
      </w:r>
      <w:r w:rsidRPr="007B5BC7">
        <w:rPr>
          <w:bCs/>
          <w:i/>
          <w:sz w:val="20"/>
          <w:szCs w:val="20"/>
        </w:rPr>
        <w:t xml:space="preserve">IPR Institute of </w:t>
      </w:r>
      <w:proofErr w:type="spellStart"/>
      <w:r w:rsidRPr="007B5BC7">
        <w:rPr>
          <w:bCs/>
          <w:i/>
          <w:sz w:val="20"/>
          <w:szCs w:val="20"/>
        </w:rPr>
        <w:t>Physics</w:t>
      </w:r>
      <w:proofErr w:type="spellEnd"/>
      <w:r w:rsidRPr="007B5BC7">
        <w:rPr>
          <w:bCs/>
          <w:i/>
          <w:sz w:val="20"/>
          <w:szCs w:val="20"/>
        </w:rPr>
        <w:t xml:space="preserve">, Rennes </w:t>
      </w:r>
      <w:proofErr w:type="spellStart"/>
      <w:r w:rsidRPr="007B5BC7">
        <w:rPr>
          <w:bCs/>
          <w:i/>
          <w:sz w:val="20"/>
          <w:szCs w:val="20"/>
        </w:rPr>
        <w:t>University</w:t>
      </w:r>
      <w:proofErr w:type="spellEnd"/>
      <w:r w:rsidRPr="007B5BC7">
        <w:rPr>
          <w:bCs/>
          <w:i/>
          <w:sz w:val="20"/>
          <w:szCs w:val="20"/>
        </w:rPr>
        <w:t xml:space="preserve"> 1, Rennes, </w:t>
      </w:r>
      <w:proofErr w:type="gramStart"/>
      <w:r w:rsidRPr="007B5BC7">
        <w:rPr>
          <w:bCs/>
          <w:i/>
          <w:sz w:val="20"/>
          <w:szCs w:val="20"/>
        </w:rPr>
        <w:t>France;</w:t>
      </w:r>
      <w:proofErr w:type="gramEnd"/>
    </w:p>
    <w:p w:rsidR="007B5BC7" w:rsidRPr="007B5BC7" w:rsidRDefault="007B5BC7" w:rsidP="007B5BC7">
      <w:pPr>
        <w:spacing w:line="240" w:lineRule="auto"/>
        <w:jc w:val="center"/>
        <w:rPr>
          <w:bCs/>
          <w:i/>
          <w:sz w:val="20"/>
          <w:szCs w:val="20"/>
        </w:rPr>
      </w:pPr>
      <w:r w:rsidRPr="007B5BC7">
        <w:rPr>
          <w:bCs/>
          <w:i/>
          <w:sz w:val="20"/>
          <w:szCs w:val="20"/>
          <w:vertAlign w:val="superscript"/>
        </w:rPr>
        <w:t>3</w:t>
      </w:r>
      <w:r w:rsidRPr="007B5BC7">
        <w:rPr>
          <w:bCs/>
          <w:i/>
          <w:sz w:val="20"/>
          <w:szCs w:val="20"/>
        </w:rPr>
        <w:t xml:space="preserve">UMR QUALISUD, CIRAD, </w:t>
      </w:r>
      <w:proofErr w:type="spellStart"/>
      <w:r w:rsidRPr="007B5BC7">
        <w:rPr>
          <w:bCs/>
          <w:i/>
          <w:sz w:val="20"/>
          <w:szCs w:val="20"/>
        </w:rPr>
        <w:t>Univ</w:t>
      </w:r>
      <w:proofErr w:type="spellEnd"/>
      <w:r w:rsidRPr="007B5BC7">
        <w:rPr>
          <w:bCs/>
          <w:i/>
          <w:sz w:val="20"/>
          <w:szCs w:val="20"/>
        </w:rPr>
        <w:t xml:space="preserve"> Montpellier, </w:t>
      </w:r>
      <w:proofErr w:type="spellStart"/>
      <w:r w:rsidRPr="007B5BC7">
        <w:rPr>
          <w:bCs/>
          <w:i/>
          <w:sz w:val="20"/>
          <w:szCs w:val="20"/>
        </w:rPr>
        <w:t>Univ</w:t>
      </w:r>
      <w:proofErr w:type="spellEnd"/>
      <w:r w:rsidRPr="007B5BC7">
        <w:rPr>
          <w:bCs/>
          <w:i/>
          <w:sz w:val="20"/>
          <w:szCs w:val="20"/>
        </w:rPr>
        <w:t xml:space="preserve"> Avignon, </w:t>
      </w:r>
      <w:proofErr w:type="spellStart"/>
      <w:r w:rsidRPr="007B5BC7">
        <w:rPr>
          <w:bCs/>
          <w:i/>
          <w:sz w:val="20"/>
          <w:szCs w:val="20"/>
        </w:rPr>
        <w:t>Univ</w:t>
      </w:r>
      <w:proofErr w:type="spellEnd"/>
      <w:r w:rsidRPr="007B5BC7">
        <w:rPr>
          <w:bCs/>
          <w:i/>
          <w:sz w:val="20"/>
          <w:szCs w:val="20"/>
        </w:rPr>
        <w:t xml:space="preserve"> Réunion, </w:t>
      </w:r>
      <w:proofErr w:type="gramStart"/>
      <w:r w:rsidRPr="007B5BC7">
        <w:rPr>
          <w:bCs/>
          <w:i/>
          <w:sz w:val="20"/>
          <w:szCs w:val="20"/>
        </w:rPr>
        <w:t>IRD;</w:t>
      </w:r>
      <w:proofErr w:type="gramEnd"/>
    </w:p>
    <w:p w:rsidR="007B5BC7" w:rsidRPr="007B5BC7" w:rsidRDefault="007B5BC7" w:rsidP="007B5BC7">
      <w:pPr>
        <w:spacing w:line="240" w:lineRule="auto"/>
        <w:jc w:val="center"/>
        <w:rPr>
          <w:bCs/>
          <w:i/>
          <w:sz w:val="20"/>
          <w:szCs w:val="20"/>
        </w:rPr>
      </w:pPr>
      <w:r w:rsidRPr="007B5BC7">
        <w:rPr>
          <w:bCs/>
          <w:i/>
          <w:sz w:val="20"/>
          <w:szCs w:val="20"/>
          <w:vertAlign w:val="superscript"/>
        </w:rPr>
        <w:t>4</w:t>
      </w:r>
      <w:r w:rsidRPr="007B5BC7">
        <w:rPr>
          <w:bCs/>
          <w:i/>
          <w:sz w:val="20"/>
          <w:szCs w:val="20"/>
        </w:rPr>
        <w:t xml:space="preserve">UMR 1253 STLO, INRAE, </w:t>
      </w:r>
      <w:proofErr w:type="spellStart"/>
      <w:r w:rsidRPr="007B5BC7">
        <w:rPr>
          <w:bCs/>
          <w:i/>
          <w:sz w:val="20"/>
          <w:szCs w:val="20"/>
        </w:rPr>
        <w:t>Agrocampus</w:t>
      </w:r>
      <w:proofErr w:type="spellEnd"/>
      <w:r w:rsidRPr="007B5BC7">
        <w:rPr>
          <w:bCs/>
          <w:i/>
          <w:sz w:val="20"/>
          <w:szCs w:val="20"/>
        </w:rPr>
        <w:t xml:space="preserve"> Ouest, Rennes, </w:t>
      </w:r>
      <w:proofErr w:type="gramStart"/>
      <w:r w:rsidRPr="007B5BC7">
        <w:rPr>
          <w:bCs/>
          <w:i/>
          <w:sz w:val="20"/>
          <w:szCs w:val="20"/>
        </w:rPr>
        <w:t>France;</w:t>
      </w:r>
      <w:proofErr w:type="gramEnd"/>
    </w:p>
    <w:p w:rsidR="007B5BC7" w:rsidRPr="007B5BC7" w:rsidRDefault="007B5BC7" w:rsidP="007B5BC7">
      <w:pPr>
        <w:jc w:val="center"/>
        <w:rPr>
          <w:b/>
          <w:bCs/>
        </w:rPr>
      </w:pPr>
      <w:r w:rsidRPr="007B5BC7">
        <w:rPr>
          <w:b/>
          <w:bCs/>
        </w:rPr>
        <w:t>claire.bourlieu-lacanal@inrae.fr</w:t>
      </w:r>
    </w:p>
    <w:p w:rsidR="007B5BC7" w:rsidRDefault="007B5BC7">
      <w:pPr>
        <w:rPr>
          <w:b/>
          <w:bCs/>
          <w:lang w:val="da-DK"/>
        </w:rPr>
      </w:pPr>
    </w:p>
    <w:p w:rsidR="007D73A3" w:rsidRDefault="007D73A3">
      <w:pPr>
        <w:rPr>
          <w:b/>
          <w:bCs/>
          <w:lang w:val="da-DK"/>
        </w:rPr>
      </w:pPr>
    </w:p>
    <w:p w:rsidR="007B5BC7" w:rsidRDefault="007D73A3" w:rsidP="007B5BC7">
      <w:pPr>
        <w:jc w:val="both"/>
        <w:rPr>
          <w:lang w:val="en-GB"/>
        </w:rPr>
      </w:pPr>
      <w:r w:rsidRPr="007D73A3">
        <w:rPr>
          <w:lang w:val="en-GB"/>
        </w:rPr>
        <w:t>Human milk is recognized as the gold standard in neonatal nutrition. Human milk lipids present a very specific and complex structure at several levels of scale. At the molecular level, human milk</w:t>
      </w:r>
      <w:r>
        <w:rPr>
          <w:lang w:val="en-GB"/>
        </w:rPr>
        <w:t xml:space="preserve"> lipids</w:t>
      </w:r>
      <w:r w:rsidR="000D140B">
        <w:rPr>
          <w:lang w:val="en-GB"/>
        </w:rPr>
        <w:t xml:space="preserve"> present a </w:t>
      </w:r>
      <w:proofErr w:type="spellStart"/>
      <w:r w:rsidR="000D140B">
        <w:rPr>
          <w:lang w:val="en-GB"/>
        </w:rPr>
        <w:t>non random</w:t>
      </w:r>
      <w:proofErr w:type="spellEnd"/>
      <w:r w:rsidR="000D140B">
        <w:rPr>
          <w:lang w:val="en-GB"/>
        </w:rPr>
        <w:t xml:space="preserve"> </w:t>
      </w:r>
      <w:proofErr w:type="spellStart"/>
      <w:r w:rsidR="000D140B">
        <w:rPr>
          <w:lang w:val="en-GB"/>
        </w:rPr>
        <w:t>triacylglycerols</w:t>
      </w:r>
      <w:proofErr w:type="spellEnd"/>
      <w:r w:rsidR="000D140B">
        <w:rPr>
          <w:lang w:val="en-GB"/>
        </w:rPr>
        <w:t xml:space="preserve"> </w:t>
      </w:r>
      <w:proofErr w:type="spellStart"/>
      <w:r w:rsidRPr="007D73A3">
        <w:rPr>
          <w:lang w:val="en-GB"/>
        </w:rPr>
        <w:t>regiodistribution</w:t>
      </w:r>
      <w:proofErr w:type="spellEnd"/>
      <w:r w:rsidRPr="007D73A3">
        <w:rPr>
          <w:lang w:val="en-GB"/>
        </w:rPr>
        <w:t xml:space="preserve"> with palmitic acid mainly located in </w:t>
      </w:r>
      <w:r w:rsidRPr="007B5BC7">
        <w:rPr>
          <w:i/>
          <w:lang w:val="en-GB"/>
        </w:rPr>
        <w:t>sn</w:t>
      </w:r>
      <w:r w:rsidRPr="007D73A3">
        <w:rPr>
          <w:lang w:val="en-GB"/>
        </w:rPr>
        <w:t xml:space="preserve">-2 position, </w:t>
      </w:r>
      <w:r>
        <w:rPr>
          <w:lang w:val="en-GB"/>
        </w:rPr>
        <w:t xml:space="preserve">short to medium chain </w:t>
      </w:r>
      <w:r w:rsidRPr="007D73A3">
        <w:rPr>
          <w:lang w:val="en-GB"/>
        </w:rPr>
        <w:t xml:space="preserve">fatty </w:t>
      </w:r>
      <w:proofErr w:type="gramStart"/>
      <w:r w:rsidRPr="007D73A3">
        <w:rPr>
          <w:lang w:val="en-GB"/>
        </w:rPr>
        <w:t xml:space="preserve">acids </w:t>
      </w:r>
      <w:r>
        <w:rPr>
          <w:lang w:val="en-GB"/>
        </w:rPr>
        <w:t xml:space="preserve"> located</w:t>
      </w:r>
      <w:proofErr w:type="gramEnd"/>
      <w:r>
        <w:rPr>
          <w:lang w:val="en-GB"/>
        </w:rPr>
        <w:t xml:space="preserve"> at </w:t>
      </w:r>
      <w:r w:rsidRPr="007B5BC7">
        <w:rPr>
          <w:i/>
          <w:lang w:val="en-GB"/>
        </w:rPr>
        <w:t>sn</w:t>
      </w:r>
      <w:r>
        <w:rPr>
          <w:lang w:val="en-GB"/>
        </w:rPr>
        <w:t>-3 position, essential FA and long chain PUFA such as DHA to support</w:t>
      </w:r>
      <w:r w:rsidR="000D140B">
        <w:rPr>
          <w:lang w:val="en-GB"/>
        </w:rPr>
        <w:t xml:space="preserve"> the</w:t>
      </w:r>
      <w:r>
        <w:rPr>
          <w:lang w:val="en-GB"/>
        </w:rPr>
        <w:t xml:space="preserve"> </w:t>
      </w:r>
      <w:r w:rsidR="007B5BC7">
        <w:rPr>
          <w:lang w:val="en-GB"/>
        </w:rPr>
        <w:t xml:space="preserve">impressive </w:t>
      </w:r>
      <w:r>
        <w:rPr>
          <w:lang w:val="en-GB"/>
        </w:rPr>
        <w:t>infant cerebral and visual development</w:t>
      </w:r>
      <w:r w:rsidR="007B5BC7">
        <w:rPr>
          <w:lang w:val="en-GB"/>
        </w:rPr>
        <w:t xml:space="preserve"> during neonatal period</w:t>
      </w:r>
      <w:r>
        <w:rPr>
          <w:lang w:val="en-GB"/>
        </w:rPr>
        <w:t>. Human milk lipids</w:t>
      </w:r>
      <w:r w:rsidRPr="007D73A3">
        <w:rPr>
          <w:lang w:val="en-GB"/>
        </w:rPr>
        <w:t xml:space="preserve"> also contains sterols</w:t>
      </w:r>
      <w:r>
        <w:rPr>
          <w:lang w:val="en-GB"/>
        </w:rPr>
        <w:t>, fat soluble vitamins</w:t>
      </w:r>
      <w:r w:rsidRPr="007D73A3">
        <w:rPr>
          <w:lang w:val="en-GB"/>
        </w:rPr>
        <w:t xml:space="preserve"> and complex glycosylated lipids such as </w:t>
      </w:r>
      <w:proofErr w:type="spellStart"/>
      <w:r w:rsidRPr="007D73A3">
        <w:rPr>
          <w:lang w:val="en-GB"/>
        </w:rPr>
        <w:t>cerebrosides</w:t>
      </w:r>
      <w:proofErr w:type="spellEnd"/>
      <w:r w:rsidRPr="007D73A3">
        <w:rPr>
          <w:lang w:val="en-GB"/>
        </w:rPr>
        <w:t xml:space="preserve"> and gangliosides; at the macromolecular level, human milk lipids are organized under the form of “milk fat globules” (MFG) stabilized by a membrane rich in polar, complex, and bioactive lipids.</w:t>
      </w:r>
      <w:r w:rsidRPr="007D73A3">
        <w:rPr>
          <w:lang w:val="en-GB"/>
        </w:rPr>
        <w:t xml:space="preserve"> </w:t>
      </w:r>
      <w:r w:rsidRPr="007D73A3">
        <w:rPr>
          <w:lang w:val="en-GB"/>
        </w:rPr>
        <w:t>These droplets have a mean diameter around 3–5</w:t>
      </w:r>
      <w:r>
        <w:rPr>
          <w:lang w:val="en-GB"/>
        </w:rPr>
        <w:t xml:space="preserve"> µ</w:t>
      </w:r>
      <w:r w:rsidRPr="007D73A3">
        <w:rPr>
          <w:lang w:val="en-GB"/>
        </w:rPr>
        <w:t>m but present a large span in size distribution which covers the range of 0.1–15</w:t>
      </w:r>
      <w:r>
        <w:rPr>
          <w:lang w:val="en-GB"/>
        </w:rPr>
        <w:t xml:space="preserve"> µ</w:t>
      </w:r>
      <w:r w:rsidRPr="007D73A3">
        <w:rPr>
          <w:lang w:val="en-GB"/>
        </w:rPr>
        <w:t xml:space="preserve">m. These droplets are based on an </w:t>
      </w:r>
      <w:proofErr w:type="spellStart"/>
      <w:r w:rsidRPr="007D73A3">
        <w:rPr>
          <w:lang w:val="en-GB"/>
        </w:rPr>
        <w:t>apolar</w:t>
      </w:r>
      <w:proofErr w:type="spellEnd"/>
      <w:r w:rsidRPr="007D73A3">
        <w:rPr>
          <w:lang w:val="en-GB"/>
        </w:rPr>
        <w:t xml:space="preserve"> core formed in the endoplasmic reticulum of the lactating cell, enveloped by an inner monolayer originating from this </w:t>
      </w:r>
      <w:proofErr w:type="spellStart"/>
      <w:r w:rsidRPr="007D73A3">
        <w:rPr>
          <w:lang w:val="en-GB"/>
        </w:rPr>
        <w:t>organite</w:t>
      </w:r>
      <w:proofErr w:type="spellEnd"/>
      <w:r w:rsidRPr="007D73A3">
        <w:rPr>
          <w:lang w:val="en-GB"/>
        </w:rPr>
        <w:t>. An additional external bilayer surrounds this internal membrane as the droplets get pinched off the apical face of the lactating cell into the mammary lumen. The applications of biophysical tools (confocal laser scanning microscopy) enlightened the coexistence of phases in this tri-layered membrane</w:t>
      </w:r>
      <w:r w:rsidR="008D3606">
        <w:rPr>
          <w:lang w:val="en-GB"/>
        </w:rPr>
        <w:t>. T</w:t>
      </w:r>
      <w:r>
        <w:rPr>
          <w:lang w:val="en-GB"/>
        </w:rPr>
        <w:t>his phase heterogeneity result</w:t>
      </w:r>
      <w:r w:rsidR="008D3606">
        <w:rPr>
          <w:lang w:val="en-GB"/>
        </w:rPr>
        <w:t>s</w:t>
      </w:r>
      <w:r>
        <w:rPr>
          <w:lang w:val="en-GB"/>
        </w:rPr>
        <w:t xml:space="preserve"> in more rigid domain</w:t>
      </w:r>
      <w:r w:rsidR="008D3606">
        <w:rPr>
          <w:lang w:val="en-GB"/>
        </w:rPr>
        <w:t>s that are</w:t>
      </w:r>
      <w:r>
        <w:rPr>
          <w:lang w:val="en-GB"/>
        </w:rPr>
        <w:t xml:space="preserve"> resistant to digestion and enriched in sphingolipid</w:t>
      </w:r>
      <w:r w:rsidR="000D140B">
        <w:rPr>
          <w:lang w:val="en-GB"/>
        </w:rPr>
        <w:t>s</w:t>
      </w:r>
      <w:r>
        <w:rPr>
          <w:lang w:val="en-GB"/>
        </w:rPr>
        <w:t xml:space="preserve"> and cholesterol</w:t>
      </w:r>
      <w:r w:rsidR="008D3606">
        <w:rPr>
          <w:lang w:val="en-GB"/>
        </w:rPr>
        <w:t>,</w:t>
      </w:r>
      <w:r>
        <w:rPr>
          <w:lang w:val="en-GB"/>
        </w:rPr>
        <w:t xml:space="preserve"> and </w:t>
      </w:r>
      <w:r w:rsidR="008D3606">
        <w:rPr>
          <w:lang w:val="en-GB"/>
        </w:rPr>
        <w:t xml:space="preserve">in </w:t>
      </w:r>
      <w:r>
        <w:rPr>
          <w:lang w:val="en-GB"/>
        </w:rPr>
        <w:t xml:space="preserve">fluid phase very </w:t>
      </w:r>
      <w:r w:rsidR="007B5BC7">
        <w:rPr>
          <w:lang w:val="en-GB"/>
        </w:rPr>
        <w:t>favourable</w:t>
      </w:r>
      <w:r>
        <w:rPr>
          <w:lang w:val="en-GB"/>
        </w:rPr>
        <w:t xml:space="preserve"> for digestive lipase</w:t>
      </w:r>
      <w:r w:rsidR="007B5BC7">
        <w:rPr>
          <w:lang w:val="en-GB"/>
        </w:rPr>
        <w:t>s</w:t>
      </w:r>
      <w:r>
        <w:rPr>
          <w:lang w:val="en-GB"/>
        </w:rPr>
        <w:t xml:space="preserve"> insertion. </w:t>
      </w:r>
      <w:r w:rsidR="007B5BC7" w:rsidRPr="007B5BC7">
        <w:rPr>
          <w:lang w:val="en-GB"/>
        </w:rPr>
        <w:t xml:space="preserve">Recent findings have underlined the importance of the structure of </w:t>
      </w:r>
      <w:r w:rsidR="007B5BC7">
        <w:rPr>
          <w:lang w:val="en-GB"/>
        </w:rPr>
        <w:t>human MFG</w:t>
      </w:r>
      <w:r w:rsidR="007B5BC7" w:rsidRPr="007B5BC7">
        <w:rPr>
          <w:lang w:val="en-GB"/>
        </w:rPr>
        <w:t xml:space="preserve"> on its digestibility and physiological </w:t>
      </w:r>
      <w:r w:rsidR="007B5BC7">
        <w:rPr>
          <w:lang w:val="en-GB"/>
        </w:rPr>
        <w:t xml:space="preserve">fate: human MFG </w:t>
      </w:r>
      <w:r w:rsidR="008D3606">
        <w:rPr>
          <w:lang w:val="en-GB"/>
        </w:rPr>
        <w:t xml:space="preserve">get </w:t>
      </w:r>
      <w:r w:rsidR="007B5BC7">
        <w:rPr>
          <w:lang w:val="en-GB"/>
        </w:rPr>
        <w:t>aggregate</w:t>
      </w:r>
      <w:r w:rsidR="008D3606">
        <w:rPr>
          <w:lang w:val="en-GB"/>
        </w:rPr>
        <w:t>d</w:t>
      </w:r>
      <w:r w:rsidR="007B5BC7">
        <w:rPr>
          <w:lang w:val="en-GB"/>
        </w:rPr>
        <w:t xml:space="preserve"> but persist though gastric phase, </w:t>
      </w:r>
      <w:r w:rsidR="008D3606">
        <w:rPr>
          <w:lang w:val="en-GB"/>
        </w:rPr>
        <w:t>present</w:t>
      </w:r>
      <w:r w:rsidR="007B5BC7">
        <w:rPr>
          <w:lang w:val="en-GB"/>
        </w:rPr>
        <w:t xml:space="preserve"> rapid gastric emptying and </w:t>
      </w:r>
      <w:r w:rsidR="008D3606">
        <w:rPr>
          <w:lang w:val="en-GB"/>
        </w:rPr>
        <w:t xml:space="preserve">induce </w:t>
      </w:r>
      <w:r w:rsidR="000D140B">
        <w:rPr>
          <w:lang w:val="en-GB"/>
        </w:rPr>
        <w:t>sharp post</w:t>
      </w:r>
      <w:r w:rsidR="007B5BC7">
        <w:rPr>
          <w:lang w:val="en-GB"/>
        </w:rPr>
        <w:t xml:space="preserve">prandial </w:t>
      </w:r>
      <w:proofErr w:type="spellStart"/>
      <w:r w:rsidR="007B5BC7">
        <w:rPr>
          <w:lang w:val="en-GB"/>
        </w:rPr>
        <w:t>lipemia</w:t>
      </w:r>
      <w:proofErr w:type="spellEnd"/>
      <w:r w:rsidR="007B5BC7">
        <w:rPr>
          <w:lang w:val="en-GB"/>
        </w:rPr>
        <w:t xml:space="preserve"> peak. Conversely several elements of human MFG membrane </w:t>
      </w:r>
      <w:r w:rsidR="007B5BC7">
        <w:rPr>
          <w:lang w:val="en-GB"/>
        </w:rPr>
        <w:t>(sphingolipids, glycosphingolipids, glycosylated proteins)</w:t>
      </w:r>
      <w:r w:rsidR="007B5BC7">
        <w:rPr>
          <w:lang w:val="en-GB"/>
        </w:rPr>
        <w:t xml:space="preserve"> resist upper digestion</w:t>
      </w:r>
      <w:r w:rsidR="007B5BC7" w:rsidRPr="007B5BC7">
        <w:rPr>
          <w:lang w:val="en-GB"/>
        </w:rPr>
        <w:t xml:space="preserve"> </w:t>
      </w:r>
      <w:r w:rsidR="007B5BC7">
        <w:rPr>
          <w:lang w:val="en-GB"/>
        </w:rPr>
        <w:t xml:space="preserve">and contribute to gut maturation, immune and microbiota education. </w:t>
      </w:r>
      <w:r w:rsidR="008D3606">
        <w:rPr>
          <w:lang w:val="en-GB"/>
        </w:rPr>
        <w:t xml:space="preserve">Through a </w:t>
      </w:r>
      <w:proofErr w:type="spellStart"/>
      <w:r w:rsidR="008D3606">
        <w:rPr>
          <w:lang w:val="en-GB"/>
        </w:rPr>
        <w:t>non exhaustive</w:t>
      </w:r>
      <w:proofErr w:type="spellEnd"/>
      <w:r w:rsidR="008D3606">
        <w:rPr>
          <w:lang w:val="en-GB"/>
        </w:rPr>
        <w:t xml:space="preserve"> narration we will thus take a journey through human MFG structure, see how this object favours fast energy transfer to neonate, evolves through lactation and digestion and present</w:t>
      </w:r>
      <w:r w:rsidR="000D140B">
        <w:rPr>
          <w:lang w:val="en-GB"/>
        </w:rPr>
        <w:t>s</w:t>
      </w:r>
      <w:bookmarkStart w:id="0" w:name="_GoBack"/>
      <w:bookmarkEnd w:id="0"/>
      <w:r w:rsidR="008D3606">
        <w:rPr>
          <w:lang w:val="en-GB"/>
        </w:rPr>
        <w:t xml:space="preserve"> a membrane resistant to digestion and possibly involved in programming.</w:t>
      </w:r>
    </w:p>
    <w:sectPr w:rsidR="007B5B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A3"/>
    <w:rsid w:val="000D140B"/>
    <w:rsid w:val="00312ECF"/>
    <w:rsid w:val="007B5BC7"/>
    <w:rsid w:val="007D73A3"/>
    <w:rsid w:val="008D36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0DE5"/>
  <w15:chartTrackingRefBased/>
  <w15:docId w15:val="{E7D0FC37-582B-49C3-B0FF-56E73DF9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148628">
      <w:bodyDiv w:val="1"/>
      <w:marLeft w:val="0"/>
      <w:marRight w:val="0"/>
      <w:marTop w:val="0"/>
      <w:marBottom w:val="0"/>
      <w:divBdr>
        <w:top w:val="none" w:sz="0" w:space="0" w:color="auto"/>
        <w:left w:val="none" w:sz="0" w:space="0" w:color="auto"/>
        <w:bottom w:val="none" w:sz="0" w:space="0" w:color="auto"/>
        <w:right w:val="none" w:sz="0" w:space="0" w:color="auto"/>
      </w:divBdr>
    </w:div>
    <w:div w:id="97964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435</Words>
  <Characters>2398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2</cp:revision>
  <dcterms:created xsi:type="dcterms:W3CDTF">2024-10-02T22:58:00Z</dcterms:created>
  <dcterms:modified xsi:type="dcterms:W3CDTF">2024-10-02T23:27:00Z</dcterms:modified>
</cp:coreProperties>
</file>