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9562" w14:textId="54CD5B22" w:rsidR="00694526" w:rsidRPr="00984024" w:rsidRDefault="00984024" w:rsidP="00984024">
      <w:pPr>
        <w:jc w:val="center"/>
        <w:rPr>
          <w:b/>
          <w:bCs/>
          <w:u w:val="single"/>
          <w:lang w:val="en-US"/>
        </w:rPr>
      </w:pPr>
      <w:r w:rsidRPr="00984024">
        <w:rPr>
          <w:b/>
          <w:bCs/>
          <w:u w:val="single"/>
          <w:lang w:val="en-US"/>
        </w:rPr>
        <w:t>Integration of ferroelectric materials on advanced gate-all-around device – an introduction</w:t>
      </w:r>
    </w:p>
    <w:p w14:paraId="52A8DD14" w14:textId="6DF854D1" w:rsidR="00984024" w:rsidRDefault="00984024" w:rsidP="00984024">
      <w:pPr>
        <w:rPr>
          <w:rFonts w:asciiTheme="majorHAnsi" w:hAnsiTheme="majorHAnsi" w:cstheme="majorHAnsi"/>
          <w:b/>
          <w:vertAlign w:val="superscript"/>
          <w:lang w:val="en-US"/>
        </w:rPr>
      </w:pPr>
      <w:r w:rsidRPr="00984024">
        <w:rPr>
          <w:rFonts w:asciiTheme="majorHAnsi" w:hAnsiTheme="majorHAnsi" w:cstheme="majorHAnsi"/>
          <w:b/>
          <w:lang w:val="en-US"/>
        </w:rPr>
        <w:t>Konstantinos Moustakas</w:t>
      </w:r>
      <w:r w:rsidRPr="00984024">
        <w:rPr>
          <w:rFonts w:asciiTheme="majorHAnsi" w:hAnsiTheme="majorHAnsi" w:cstheme="majorHAnsi"/>
          <w:b/>
          <w:vertAlign w:val="superscript"/>
          <w:lang w:val="en-US"/>
        </w:rPr>
        <w:t>1</w:t>
      </w:r>
      <w:r w:rsidRPr="00984024">
        <w:rPr>
          <w:rFonts w:asciiTheme="majorHAnsi" w:hAnsiTheme="majorHAnsi" w:cstheme="majorHAnsi"/>
          <w:b/>
          <w:lang w:val="en-US"/>
        </w:rPr>
        <w:t>*, L. Cancellara</w:t>
      </w:r>
      <w:r w:rsidRPr="00984024">
        <w:rPr>
          <w:rFonts w:asciiTheme="majorHAnsi" w:hAnsiTheme="majorHAnsi" w:cstheme="majorHAnsi"/>
          <w:b/>
          <w:vertAlign w:val="superscript"/>
          <w:lang w:val="en-US"/>
        </w:rPr>
        <w:t>1</w:t>
      </w:r>
      <w:r w:rsidRPr="00984024">
        <w:rPr>
          <w:rFonts w:asciiTheme="majorHAnsi" w:hAnsiTheme="majorHAnsi" w:cstheme="majorHAnsi"/>
          <w:b/>
          <w:lang w:val="en-US"/>
        </w:rPr>
        <w:t xml:space="preserve">, </w:t>
      </w:r>
      <w:proofErr w:type="spellStart"/>
      <w:r w:rsidRPr="00984024">
        <w:rPr>
          <w:rFonts w:asciiTheme="majorHAnsi" w:hAnsiTheme="majorHAnsi" w:cstheme="majorHAnsi"/>
          <w:b/>
          <w:lang w:val="en-US"/>
        </w:rPr>
        <w:t>Niccolo</w:t>
      </w:r>
      <w:proofErr w:type="spellEnd"/>
      <w:r w:rsidRPr="00984024">
        <w:rPr>
          <w:rFonts w:asciiTheme="majorHAnsi" w:hAnsiTheme="majorHAnsi" w:cstheme="majorHAnsi"/>
          <w:b/>
          <w:lang w:val="en-US"/>
        </w:rPr>
        <w:t xml:space="preserve"> Pezzato</w:t>
      </w:r>
      <w:r w:rsidRPr="00984024">
        <w:rPr>
          <w:rFonts w:asciiTheme="majorHAnsi" w:hAnsiTheme="majorHAnsi" w:cstheme="majorHAnsi"/>
          <w:b/>
          <w:vertAlign w:val="superscript"/>
          <w:lang w:val="en-US"/>
        </w:rPr>
        <w:t>1</w:t>
      </w:r>
      <w:r w:rsidRPr="00984024">
        <w:rPr>
          <w:rFonts w:asciiTheme="majorHAnsi" w:hAnsiTheme="majorHAnsi" w:cstheme="majorHAnsi"/>
          <w:b/>
          <w:lang w:val="en-US"/>
        </w:rPr>
        <w:t xml:space="preserve">, </w:t>
      </w:r>
      <w:proofErr w:type="gramStart"/>
      <w:r w:rsidRPr="00984024">
        <w:rPr>
          <w:rFonts w:asciiTheme="majorHAnsi" w:hAnsiTheme="majorHAnsi" w:cstheme="majorHAnsi"/>
          <w:b/>
          <w:lang w:val="en-US"/>
        </w:rPr>
        <w:t>B.N</w:t>
      </w:r>
      <w:proofErr w:type="gramEnd"/>
      <w:r w:rsidRPr="00984024">
        <w:rPr>
          <w:rFonts w:asciiTheme="majorHAnsi" w:hAnsiTheme="majorHAnsi" w:cstheme="majorHAnsi"/>
          <w:b/>
          <w:lang w:val="en-US"/>
        </w:rPr>
        <w:t xml:space="preserve"> Wesling</w:t>
      </w:r>
      <w:r w:rsidRPr="00984024">
        <w:rPr>
          <w:rFonts w:asciiTheme="majorHAnsi" w:hAnsiTheme="majorHAnsi" w:cstheme="majorHAnsi"/>
          <w:b/>
          <w:vertAlign w:val="superscript"/>
          <w:lang w:val="en-US"/>
        </w:rPr>
        <w:t>2</w:t>
      </w:r>
      <w:r w:rsidRPr="00984024">
        <w:rPr>
          <w:rFonts w:asciiTheme="majorHAnsi" w:hAnsiTheme="majorHAnsi" w:cstheme="majorHAnsi"/>
          <w:b/>
          <w:lang w:val="en-US"/>
        </w:rPr>
        <w:t>, A. Lecestre</w:t>
      </w:r>
      <w:r w:rsidRPr="00984024">
        <w:rPr>
          <w:rFonts w:asciiTheme="majorHAnsi" w:hAnsiTheme="majorHAnsi" w:cstheme="majorHAnsi"/>
          <w:b/>
          <w:vertAlign w:val="superscript"/>
          <w:lang w:val="en-US"/>
        </w:rPr>
        <w:t>1</w:t>
      </w:r>
      <w:r w:rsidRPr="00984024">
        <w:rPr>
          <w:rFonts w:asciiTheme="majorHAnsi" w:hAnsiTheme="majorHAnsi" w:cstheme="majorHAnsi"/>
          <w:b/>
          <w:lang w:val="en-US"/>
        </w:rPr>
        <w:t>, T. Mikolaijk</w:t>
      </w:r>
      <w:r w:rsidRPr="00984024">
        <w:rPr>
          <w:rFonts w:asciiTheme="majorHAnsi" w:hAnsiTheme="majorHAnsi" w:cstheme="majorHAnsi"/>
          <w:b/>
          <w:vertAlign w:val="superscript"/>
          <w:lang w:val="en-US"/>
        </w:rPr>
        <w:t>3</w:t>
      </w:r>
      <w:r w:rsidRPr="00984024">
        <w:rPr>
          <w:rFonts w:asciiTheme="majorHAnsi" w:hAnsiTheme="majorHAnsi" w:cstheme="majorHAnsi"/>
          <w:b/>
          <w:lang w:val="en-US"/>
        </w:rPr>
        <w:t>, J.Trommer</w:t>
      </w:r>
      <w:r w:rsidRPr="00984024">
        <w:rPr>
          <w:rFonts w:asciiTheme="majorHAnsi" w:hAnsiTheme="majorHAnsi" w:cstheme="majorHAnsi"/>
          <w:b/>
          <w:vertAlign w:val="superscript"/>
          <w:lang w:val="en-US"/>
        </w:rPr>
        <w:t>2</w:t>
      </w:r>
      <w:r w:rsidRPr="00984024">
        <w:rPr>
          <w:rFonts w:asciiTheme="majorHAnsi" w:hAnsiTheme="majorHAnsi" w:cstheme="majorHAnsi"/>
          <w:b/>
          <w:lang w:val="en-US"/>
        </w:rPr>
        <w:t>, G.Larrieu</w:t>
      </w:r>
      <w:r w:rsidRPr="00984024">
        <w:rPr>
          <w:rFonts w:asciiTheme="majorHAnsi" w:hAnsiTheme="majorHAnsi" w:cstheme="majorHAnsi"/>
          <w:b/>
          <w:vertAlign w:val="superscript"/>
          <w:lang w:val="en-US"/>
        </w:rPr>
        <w:t>1</w:t>
      </w:r>
    </w:p>
    <w:p w14:paraId="660DFBE9" w14:textId="77777777" w:rsidR="00984024" w:rsidRPr="00C46610" w:rsidRDefault="00984024" w:rsidP="00984024">
      <w:pPr>
        <w:pStyle w:val="Paragraphedeliste"/>
        <w:numPr>
          <w:ilvl w:val="0"/>
          <w:numId w:val="1"/>
        </w:numPr>
        <w:tabs>
          <w:tab w:val="clear" w:pos="851"/>
        </w:tabs>
        <w:jc w:val="center"/>
        <w:rPr>
          <w:rFonts w:asciiTheme="majorHAnsi" w:hAnsiTheme="majorHAnsi" w:cstheme="majorHAnsi"/>
          <w:i/>
          <w:sz w:val="22"/>
          <w:szCs w:val="18"/>
          <w:lang w:val="en-US"/>
        </w:rPr>
      </w:pPr>
      <w:r>
        <w:rPr>
          <w:rFonts w:asciiTheme="majorHAnsi" w:hAnsiTheme="majorHAnsi" w:cstheme="majorHAnsi"/>
          <w:i/>
          <w:sz w:val="22"/>
          <w:szCs w:val="18"/>
          <w:lang w:val="en-US"/>
        </w:rPr>
        <w:t xml:space="preserve">Laboratory For Analysis </w:t>
      </w:r>
      <w:proofErr w:type="gramStart"/>
      <w:r>
        <w:rPr>
          <w:rFonts w:asciiTheme="majorHAnsi" w:hAnsiTheme="majorHAnsi" w:cstheme="majorHAnsi"/>
          <w:i/>
          <w:sz w:val="22"/>
          <w:szCs w:val="18"/>
          <w:lang w:val="en-US"/>
        </w:rPr>
        <w:t>And</w:t>
      </w:r>
      <w:proofErr w:type="gramEnd"/>
      <w:r>
        <w:rPr>
          <w:rFonts w:asciiTheme="majorHAnsi" w:hAnsiTheme="majorHAnsi" w:cstheme="majorHAnsi"/>
          <w:i/>
          <w:sz w:val="22"/>
          <w:szCs w:val="18"/>
          <w:lang w:val="en-US"/>
        </w:rPr>
        <w:t xml:space="preserve"> Architecture of Systems (LAAS – CNRS) – Toulouse (France)</w:t>
      </w:r>
    </w:p>
    <w:p w14:paraId="4186120E" w14:textId="77777777" w:rsidR="00984024" w:rsidRDefault="00984024" w:rsidP="00984024">
      <w:pPr>
        <w:pStyle w:val="Paragraphedeliste"/>
        <w:numPr>
          <w:ilvl w:val="0"/>
          <w:numId w:val="1"/>
        </w:numPr>
        <w:tabs>
          <w:tab w:val="clear" w:pos="851"/>
        </w:tabs>
        <w:jc w:val="center"/>
        <w:rPr>
          <w:rFonts w:asciiTheme="majorHAnsi" w:hAnsiTheme="majorHAnsi" w:cstheme="majorHAnsi"/>
          <w:i/>
          <w:sz w:val="22"/>
          <w:szCs w:val="18"/>
          <w:lang w:val="en-US"/>
        </w:rPr>
      </w:pPr>
      <w:proofErr w:type="spellStart"/>
      <w:r>
        <w:rPr>
          <w:rFonts w:asciiTheme="majorHAnsi" w:hAnsiTheme="majorHAnsi" w:cstheme="majorHAnsi"/>
          <w:i/>
          <w:sz w:val="22"/>
          <w:szCs w:val="18"/>
          <w:lang w:val="en-US"/>
        </w:rPr>
        <w:t>Namlab</w:t>
      </w:r>
      <w:proofErr w:type="spellEnd"/>
      <w:r>
        <w:rPr>
          <w:rFonts w:asciiTheme="majorHAnsi" w:hAnsiTheme="majorHAnsi" w:cstheme="majorHAnsi"/>
          <w:i/>
          <w:sz w:val="22"/>
          <w:szCs w:val="18"/>
          <w:lang w:val="en-US"/>
        </w:rPr>
        <w:t xml:space="preserve"> </w:t>
      </w:r>
      <w:proofErr w:type="spellStart"/>
      <w:r>
        <w:rPr>
          <w:rFonts w:asciiTheme="majorHAnsi" w:hAnsiTheme="majorHAnsi" w:cstheme="majorHAnsi"/>
          <w:i/>
          <w:sz w:val="22"/>
          <w:szCs w:val="18"/>
          <w:lang w:val="en-US"/>
        </w:rPr>
        <w:t>Ggmbh</w:t>
      </w:r>
      <w:proofErr w:type="spellEnd"/>
      <w:r>
        <w:rPr>
          <w:rFonts w:asciiTheme="majorHAnsi" w:hAnsiTheme="majorHAnsi" w:cstheme="majorHAnsi"/>
          <w:i/>
          <w:sz w:val="22"/>
          <w:szCs w:val="18"/>
          <w:lang w:val="en-US"/>
        </w:rPr>
        <w:t xml:space="preserve"> – Dresden (Germany)</w:t>
      </w:r>
      <w:r w:rsidRPr="00C46610">
        <w:rPr>
          <w:rFonts w:asciiTheme="majorHAnsi" w:hAnsiTheme="majorHAnsi" w:cstheme="majorHAnsi"/>
          <w:i/>
          <w:sz w:val="22"/>
          <w:szCs w:val="18"/>
          <w:lang w:val="en-US"/>
        </w:rPr>
        <w:t xml:space="preserve"> </w:t>
      </w:r>
    </w:p>
    <w:p w14:paraId="6ADAC6EA" w14:textId="7E5B02CE" w:rsidR="00984024" w:rsidRPr="00A71FC2" w:rsidRDefault="00984024" w:rsidP="00984024">
      <w:pPr>
        <w:pStyle w:val="Paragraphedeliste"/>
        <w:numPr>
          <w:ilvl w:val="0"/>
          <w:numId w:val="1"/>
        </w:numPr>
        <w:tabs>
          <w:tab w:val="clear" w:pos="851"/>
        </w:tabs>
        <w:jc w:val="center"/>
        <w:rPr>
          <w:rFonts w:asciiTheme="majorHAnsi" w:hAnsiTheme="majorHAnsi" w:cstheme="majorHAnsi"/>
          <w:i/>
          <w:sz w:val="22"/>
          <w:szCs w:val="18"/>
          <w:lang w:val="fr-FR"/>
        </w:rPr>
      </w:pPr>
      <w:proofErr w:type="spellStart"/>
      <w:r w:rsidRPr="00C46610">
        <w:rPr>
          <w:rFonts w:asciiTheme="majorHAnsi" w:hAnsiTheme="majorHAnsi" w:cstheme="majorHAnsi"/>
          <w:i/>
          <w:sz w:val="22"/>
          <w:szCs w:val="18"/>
          <w:lang w:val="fr-FR"/>
        </w:rPr>
        <w:t>Technische</w:t>
      </w:r>
      <w:proofErr w:type="spellEnd"/>
      <w:r w:rsidRPr="00C46610">
        <w:rPr>
          <w:rFonts w:asciiTheme="majorHAnsi" w:hAnsiTheme="majorHAnsi" w:cstheme="majorHAnsi"/>
          <w:i/>
          <w:sz w:val="22"/>
          <w:szCs w:val="18"/>
          <w:lang w:val="fr-FR"/>
        </w:rPr>
        <w:t xml:space="preserve"> </w:t>
      </w:r>
      <w:proofErr w:type="spellStart"/>
      <w:r w:rsidRPr="00C46610">
        <w:rPr>
          <w:rFonts w:asciiTheme="majorHAnsi" w:hAnsiTheme="majorHAnsi" w:cstheme="majorHAnsi"/>
          <w:i/>
          <w:sz w:val="22"/>
          <w:szCs w:val="18"/>
          <w:lang w:val="fr-FR"/>
        </w:rPr>
        <w:t>Universität</w:t>
      </w:r>
      <w:proofErr w:type="spellEnd"/>
      <w:r w:rsidRPr="00C46610">
        <w:rPr>
          <w:rFonts w:asciiTheme="majorHAnsi" w:hAnsiTheme="majorHAnsi" w:cstheme="majorHAnsi"/>
          <w:i/>
          <w:sz w:val="22"/>
          <w:szCs w:val="18"/>
          <w:lang w:val="fr-FR"/>
        </w:rPr>
        <w:t xml:space="preserve"> (TU) – Dresden (G</w:t>
      </w:r>
      <w:r>
        <w:rPr>
          <w:rFonts w:asciiTheme="majorHAnsi" w:hAnsiTheme="majorHAnsi" w:cstheme="majorHAnsi"/>
          <w:i/>
          <w:sz w:val="22"/>
          <w:szCs w:val="18"/>
          <w:lang w:val="fr-FR"/>
        </w:rPr>
        <w:t>ermany)</w:t>
      </w:r>
    </w:p>
    <w:p w14:paraId="652E1A24" w14:textId="77777777" w:rsidR="00984024" w:rsidRPr="00984024" w:rsidRDefault="00984024" w:rsidP="00984024">
      <w:pPr>
        <w:jc w:val="center"/>
        <w:rPr>
          <w:lang w:val="en-US"/>
        </w:rPr>
      </w:pPr>
    </w:p>
    <w:p w14:paraId="7E73D7E4" w14:textId="77777777" w:rsidR="008D031E" w:rsidRPr="008D031E" w:rsidRDefault="008D031E" w:rsidP="008D031E">
      <w:pPr>
        <w:rPr>
          <w:rFonts w:cstheme="minorHAnsi"/>
          <w:color w:val="000000" w:themeColor="text1"/>
          <w:shd w:val="clear" w:color="auto" w:fill="FFFFFF"/>
          <w:lang w:val="en-GB"/>
        </w:rPr>
      </w:pPr>
      <w:r w:rsidRPr="008D031E">
        <w:rPr>
          <w:rFonts w:cstheme="minorHAnsi"/>
          <w:color w:val="000000" w:themeColor="text1"/>
          <w:shd w:val="clear" w:color="auto" w:fill="FFFFFF"/>
          <w:lang w:val="en-GB"/>
        </w:rPr>
        <w:t xml:space="preserve">Since the discovery of Hafnium oxide (HfO2) as a ferroelectric material in 2011, considerable research efforts have been directed towards its exploration. A lot of dopants have been proposed in order to enhance its ferroelectric properties, with Zirconium oxide, hence called HZO, serving as the most prominent amongst others. </w:t>
      </w:r>
    </w:p>
    <w:p w14:paraId="3D2E4F66" w14:textId="77777777" w:rsidR="008D031E" w:rsidRPr="008D031E" w:rsidRDefault="008D031E" w:rsidP="008D031E">
      <w:pPr>
        <w:rPr>
          <w:rFonts w:cstheme="minorHAnsi"/>
          <w:color w:val="000000" w:themeColor="text1"/>
          <w:shd w:val="clear" w:color="auto" w:fill="FFFFFF"/>
          <w:lang w:val="en-GB"/>
        </w:rPr>
      </w:pPr>
      <w:r w:rsidRPr="008D031E">
        <w:rPr>
          <w:rFonts w:cstheme="minorHAnsi"/>
          <w:color w:val="000000" w:themeColor="text1"/>
          <w:shd w:val="clear" w:color="auto" w:fill="FFFFFF"/>
          <w:lang w:val="en-GB"/>
        </w:rPr>
        <w:t xml:space="preserve">Although HfO2 has been known for its compatibility with CMOS as a high-k </w:t>
      </w:r>
      <w:proofErr w:type="gramStart"/>
      <w:r w:rsidRPr="008D031E">
        <w:rPr>
          <w:rFonts w:cstheme="minorHAnsi"/>
          <w:color w:val="000000" w:themeColor="text1"/>
          <w:shd w:val="clear" w:color="auto" w:fill="FFFFFF"/>
          <w:lang w:val="en-GB"/>
        </w:rPr>
        <w:t>dielectric,  it’s</w:t>
      </w:r>
      <w:proofErr w:type="gramEnd"/>
      <w:r w:rsidRPr="008D031E">
        <w:rPr>
          <w:rFonts w:cstheme="minorHAnsi"/>
          <w:color w:val="000000" w:themeColor="text1"/>
          <w:shd w:val="clear" w:color="auto" w:fill="FFFFFF"/>
          <w:lang w:val="en-GB"/>
        </w:rPr>
        <w:t xml:space="preserve"> integration as a ferroelectric material as the gate dielectric poses challenges that have to be addressed towards ferroelectric devices applications, such as : proper crystalline phase identification techniques, activation anneal temperature and layer stability, electrical characterisation strategies concerning cycling and retention, as well as fabrication approaches. Furthermore, with the FET architecture roadmap moving to 3D concepts supplementary challenges concerning the integration come into play that require novel approaches in order to ensure a functioning integration into miniaturised vertical devices. </w:t>
      </w:r>
    </w:p>
    <w:p w14:paraId="63A6031A" w14:textId="581F35FF" w:rsidR="008D031E" w:rsidRDefault="008D031E" w:rsidP="008D031E">
      <w:pPr>
        <w:rPr>
          <w:rFonts w:cstheme="minorHAnsi"/>
          <w:color w:val="000000" w:themeColor="text1"/>
          <w:shd w:val="clear" w:color="auto" w:fill="FFFFFF"/>
          <w:lang w:val="en-GB"/>
        </w:rPr>
      </w:pPr>
      <w:r w:rsidRPr="008D031E">
        <w:rPr>
          <w:rFonts w:cstheme="minorHAnsi"/>
          <w:color w:val="000000" w:themeColor="text1"/>
          <w:shd w:val="clear" w:color="auto" w:fill="FFFFFF"/>
          <w:lang w:val="en-GB"/>
        </w:rPr>
        <w:t xml:space="preserve">In this workshop, we present the state of the art concerning different concepts of HZO integration as ferroelectric material and ways to tackle </w:t>
      </w:r>
      <w:proofErr w:type="gramStart"/>
      <w:r w:rsidRPr="008D031E">
        <w:rPr>
          <w:rFonts w:cstheme="minorHAnsi"/>
          <w:color w:val="000000" w:themeColor="text1"/>
          <w:shd w:val="clear" w:color="auto" w:fill="FFFFFF"/>
          <w:lang w:val="en-GB"/>
        </w:rPr>
        <w:t>this challenges</w:t>
      </w:r>
      <w:proofErr w:type="gramEnd"/>
      <w:r w:rsidRPr="008D031E">
        <w:rPr>
          <w:rFonts w:cstheme="minorHAnsi"/>
          <w:color w:val="000000" w:themeColor="text1"/>
          <w:shd w:val="clear" w:color="auto" w:fill="FFFFFF"/>
          <w:lang w:val="en-GB"/>
        </w:rPr>
        <w:t xml:space="preserve"> towards a Vertical Nanowire Gate all around </w:t>
      </w:r>
      <w:proofErr w:type="spellStart"/>
      <w:r w:rsidRPr="008D031E">
        <w:rPr>
          <w:rFonts w:cstheme="minorHAnsi"/>
          <w:color w:val="000000" w:themeColor="text1"/>
          <w:shd w:val="clear" w:color="auto" w:fill="FFFFFF"/>
          <w:lang w:val="en-GB"/>
        </w:rPr>
        <w:t>FeFET</w:t>
      </w:r>
      <w:proofErr w:type="spellEnd"/>
      <w:r w:rsidRPr="008D031E">
        <w:rPr>
          <w:rFonts w:cstheme="minorHAnsi"/>
          <w:color w:val="000000" w:themeColor="text1"/>
          <w:shd w:val="clear" w:color="auto" w:fill="FFFFFF"/>
          <w:lang w:val="en-GB"/>
        </w:rPr>
        <w:t xml:space="preserve"> in the framework of the FVLLMONTI project.</w:t>
      </w:r>
    </w:p>
    <w:p w14:paraId="40676183" w14:textId="77777777" w:rsidR="00102162" w:rsidRPr="008D031E" w:rsidRDefault="00102162" w:rsidP="008D031E">
      <w:pPr>
        <w:rPr>
          <w:rFonts w:cstheme="minorHAnsi"/>
          <w:color w:val="000000" w:themeColor="text1"/>
          <w:shd w:val="clear" w:color="auto" w:fill="FFFFFF"/>
          <w:lang w:val="en-GB"/>
        </w:rPr>
      </w:pPr>
    </w:p>
    <w:p w14:paraId="1DDDD1AC" w14:textId="4937257D" w:rsidR="00A71FC2" w:rsidRPr="00D940E7" w:rsidRDefault="00A71FC2" w:rsidP="008D031E">
      <w:pPr>
        <w:rPr>
          <w:i/>
          <w:iCs/>
          <w:lang w:val="en-GB"/>
        </w:rPr>
      </w:pPr>
      <w:r w:rsidRPr="00D940E7">
        <w:rPr>
          <w:rFonts w:ascii="Times" w:hAnsi="Times" w:cs="Times"/>
          <w:i/>
          <w:iCs/>
          <w:sz w:val="20"/>
          <w:lang w:val="en-GB"/>
        </w:rPr>
        <w:t xml:space="preserve">This work was supported by European Union’s H2020 program through the FVLLMONTI project (N◦101016776) and the </w:t>
      </w:r>
      <w:proofErr w:type="spellStart"/>
      <w:r w:rsidRPr="00D940E7">
        <w:rPr>
          <w:rFonts w:ascii="Times" w:hAnsi="Times" w:cs="Times"/>
          <w:i/>
          <w:iCs/>
          <w:sz w:val="20"/>
          <w:lang w:val="en-GB"/>
        </w:rPr>
        <w:t>Renatech</w:t>
      </w:r>
      <w:proofErr w:type="spellEnd"/>
      <w:r w:rsidRPr="00D940E7">
        <w:rPr>
          <w:rFonts w:ascii="Times" w:hAnsi="Times" w:cs="Times"/>
          <w:i/>
          <w:iCs/>
          <w:sz w:val="20"/>
          <w:lang w:val="en-GB"/>
        </w:rPr>
        <w:t xml:space="preserve"> French national network</w:t>
      </w:r>
    </w:p>
    <w:p w14:paraId="722F5BB3" w14:textId="77777777" w:rsidR="00A71FC2" w:rsidRPr="008D031E" w:rsidRDefault="00A71FC2">
      <w:pPr>
        <w:rPr>
          <w:rFonts w:ascii="Arial" w:hAnsi="Arial" w:cs="Arial"/>
          <w:lang w:val="en-GB"/>
        </w:rPr>
      </w:pPr>
    </w:p>
    <w:sectPr w:rsidR="00A71FC2" w:rsidRPr="008D0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F4953"/>
    <w:multiLevelType w:val="hybridMultilevel"/>
    <w:tmpl w:val="FD7042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C1"/>
    <w:rsid w:val="00102162"/>
    <w:rsid w:val="001031C4"/>
    <w:rsid w:val="00237AE3"/>
    <w:rsid w:val="00371E98"/>
    <w:rsid w:val="005B3A4E"/>
    <w:rsid w:val="005F13FC"/>
    <w:rsid w:val="006023F9"/>
    <w:rsid w:val="00694526"/>
    <w:rsid w:val="00770574"/>
    <w:rsid w:val="00820FC1"/>
    <w:rsid w:val="008D031E"/>
    <w:rsid w:val="00901DAA"/>
    <w:rsid w:val="009602BD"/>
    <w:rsid w:val="00984024"/>
    <w:rsid w:val="00A71FC2"/>
    <w:rsid w:val="00A86666"/>
    <w:rsid w:val="00A92A93"/>
    <w:rsid w:val="00AE76FA"/>
    <w:rsid w:val="00CF395C"/>
    <w:rsid w:val="00D66AC3"/>
    <w:rsid w:val="00E24B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7D21"/>
  <w15:chartTrackingRefBased/>
  <w15:docId w15:val="{F0D9103D-45C0-4359-B21B-D07948D1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4024"/>
    <w:pPr>
      <w:tabs>
        <w:tab w:val="left" w:pos="851"/>
      </w:tabs>
      <w:spacing w:after="0" w:line="240" w:lineRule="auto"/>
      <w:ind w:left="720"/>
      <w:contextualSpacing/>
      <w:jc w:val="both"/>
      <w:outlineLvl w:val="0"/>
    </w:pPr>
    <w:rPr>
      <w:rFonts w:ascii="Book Antiqua" w:eastAsiaTheme="minorEastAsia" w:hAnsi="Book Antiqua" w:cs="Times New Roman"/>
      <w:sz w:val="24"/>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284</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LAAS-CNRS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Moustakas</dc:creator>
  <cp:keywords/>
  <dc:description/>
  <cp:lastModifiedBy>Konstantinos Moustakas</cp:lastModifiedBy>
  <cp:revision>12</cp:revision>
  <dcterms:created xsi:type="dcterms:W3CDTF">2024-04-08T14:00:00Z</dcterms:created>
  <dcterms:modified xsi:type="dcterms:W3CDTF">2024-10-10T14:26:00Z</dcterms:modified>
</cp:coreProperties>
</file>