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B9B52" w14:textId="33F08C83" w:rsidR="0000030E" w:rsidRPr="0000030E" w:rsidRDefault="0000030E" w:rsidP="0000030E">
      <w:pPr>
        <w:widowControl w:val="0"/>
        <w:autoSpaceDE w:val="0"/>
        <w:autoSpaceDN w:val="0"/>
        <w:adjustRightInd w:val="0"/>
        <w:spacing w:after="0"/>
        <w:ind w:right="-20"/>
        <w:jc w:val="center"/>
        <w:rPr>
          <w:rFonts w:ascii="Times New Roman" w:hAnsi="Times New Roman"/>
          <w:b/>
          <w:sz w:val="24"/>
          <w:szCs w:val="24"/>
        </w:rPr>
      </w:pPr>
      <w:bookmarkStart w:id="0" w:name="_Hlk119309115"/>
      <w:r w:rsidRPr="0000030E">
        <w:rPr>
          <w:rFonts w:ascii="Times New Roman" w:hAnsi="Times New Roman"/>
          <w:noProof/>
        </w:rPr>
        <w:drawing>
          <wp:inline distT="0" distB="0" distL="0" distR="0" wp14:anchorId="204478EF" wp14:editId="7E0B0A43">
            <wp:extent cx="1104900" cy="466725"/>
            <wp:effectExtent l="0" t="0" r="0" b="9525"/>
            <wp:docPr id="812117" name="Image 4"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blue and white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04900" cy="466725"/>
                    </a:xfrm>
                    <a:prstGeom prst="rect">
                      <a:avLst/>
                    </a:prstGeom>
                    <a:noFill/>
                    <a:ln>
                      <a:noFill/>
                    </a:ln>
                  </pic:spPr>
                </pic:pic>
              </a:graphicData>
            </a:graphic>
          </wp:inline>
        </w:drawing>
      </w:r>
      <w:r w:rsidRPr="0000030E">
        <w:rPr>
          <w:rFonts w:ascii="Times New Roman" w:hAnsi="Times New Roman"/>
          <w:b/>
          <w:sz w:val="24"/>
          <w:szCs w:val="24"/>
        </w:rPr>
        <w:tab/>
      </w:r>
      <w:r w:rsidRPr="0000030E">
        <w:rPr>
          <w:rFonts w:ascii="Times New Roman" w:hAnsi="Times New Roman"/>
          <w:noProof/>
          <w:sz w:val="24"/>
          <w:szCs w:val="24"/>
        </w:rPr>
        <w:drawing>
          <wp:inline distT="0" distB="0" distL="0" distR="0" wp14:anchorId="7DE037B8" wp14:editId="7A9293AC">
            <wp:extent cx="942975" cy="771525"/>
            <wp:effectExtent l="0" t="0" r="9525" b="9525"/>
            <wp:docPr id="105339320" name="Image 3" descr="Université Saint-Louis - Bruxelles | Bruss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descr="Université Saint-Louis - Bruxelles | Brussels"/>
                    <pic:cNvPicPr>
                      <a:picLocks noChangeAspect="1" noChangeArrowheads="1"/>
                    </pic:cNvPicPr>
                  </pic:nvPicPr>
                  <pic:blipFill>
                    <a:blip r:embed="rId6">
                      <a:extLst>
                        <a:ext uri="{28A0092B-C50C-407E-A947-70E740481C1C}">
                          <a14:useLocalDpi xmlns:a14="http://schemas.microsoft.com/office/drawing/2010/main" val="0"/>
                        </a:ext>
                      </a:extLst>
                    </a:blip>
                    <a:srcRect b="18021"/>
                    <a:stretch>
                      <a:fillRect/>
                    </a:stretch>
                  </pic:blipFill>
                  <pic:spPr bwMode="auto">
                    <a:xfrm>
                      <a:off x="0" y="0"/>
                      <a:ext cx="942975" cy="771525"/>
                    </a:xfrm>
                    <a:prstGeom prst="rect">
                      <a:avLst/>
                    </a:prstGeom>
                    <a:noFill/>
                    <a:ln>
                      <a:noFill/>
                    </a:ln>
                  </pic:spPr>
                </pic:pic>
              </a:graphicData>
            </a:graphic>
          </wp:inline>
        </w:drawing>
      </w:r>
      <w:r w:rsidRPr="0000030E">
        <w:rPr>
          <w:rFonts w:ascii="Times New Roman" w:hAnsi="Times New Roman"/>
          <w:b/>
          <w:sz w:val="24"/>
          <w:szCs w:val="24"/>
        </w:rPr>
        <w:tab/>
      </w:r>
      <w:r w:rsidRPr="0000030E">
        <w:rPr>
          <w:rFonts w:ascii="Times New Roman" w:hAnsi="Times New Roman"/>
          <w:noProof/>
          <w:sz w:val="24"/>
          <w:szCs w:val="24"/>
        </w:rPr>
        <w:drawing>
          <wp:inline distT="0" distB="0" distL="0" distR="0" wp14:anchorId="1DC69850" wp14:editId="1728754E">
            <wp:extent cx="581025" cy="581025"/>
            <wp:effectExtent l="0" t="0" r="9525" b="9525"/>
            <wp:docPr id="994607152" name="Image 2" descr="Bienvenue à l'U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95433" descr="Bienvenue à l'UL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inline>
        </w:drawing>
      </w:r>
      <w:r w:rsidRPr="0000030E">
        <w:rPr>
          <w:rFonts w:ascii="Times New Roman" w:hAnsi="Times New Roman"/>
          <w:b/>
          <w:sz w:val="24"/>
          <w:szCs w:val="24"/>
        </w:rPr>
        <w:tab/>
      </w:r>
      <w:r w:rsidRPr="0000030E">
        <w:rPr>
          <w:rFonts w:ascii="Times New Roman" w:hAnsi="Times New Roman"/>
          <w:noProof/>
          <w:sz w:val="24"/>
          <w:szCs w:val="24"/>
        </w:rPr>
        <w:drawing>
          <wp:inline distT="0" distB="0" distL="0" distR="0" wp14:anchorId="66CE0250" wp14:editId="72F74924">
            <wp:extent cx="1285875" cy="638175"/>
            <wp:effectExtent l="0" t="0" r="9525" b="9525"/>
            <wp:docPr id="53967301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875" cy="638175"/>
                    </a:xfrm>
                    <a:prstGeom prst="rect">
                      <a:avLst/>
                    </a:prstGeom>
                    <a:noFill/>
                    <a:ln>
                      <a:noFill/>
                    </a:ln>
                  </pic:spPr>
                </pic:pic>
              </a:graphicData>
            </a:graphic>
          </wp:inline>
        </w:drawing>
      </w:r>
    </w:p>
    <w:p w14:paraId="1560144D" w14:textId="647995E6" w:rsidR="0000030E" w:rsidRPr="0000030E" w:rsidRDefault="0000030E" w:rsidP="0000030E">
      <w:pPr>
        <w:pBdr>
          <w:top w:val="single" w:sz="4" w:space="1" w:color="auto"/>
        </w:pBdr>
        <w:shd w:val="clear" w:color="auto" w:fill="F2F2F2"/>
        <w:spacing w:after="0" w:line="240" w:lineRule="auto"/>
        <w:jc w:val="center"/>
        <w:rPr>
          <w:rFonts w:ascii="Times New Roman" w:eastAsia="Calibri" w:hAnsi="Times New Roman"/>
          <w:b/>
          <w:bCs/>
          <w:sz w:val="36"/>
          <w:szCs w:val="36"/>
          <w:lang w:eastAsia="en-US"/>
        </w:rPr>
      </w:pPr>
      <w:r w:rsidRPr="0000030E">
        <w:rPr>
          <w:rFonts w:ascii="Times New Roman" w:eastAsia="Calibri" w:hAnsi="Times New Roman"/>
          <w:b/>
          <w:bCs/>
          <w:sz w:val="36"/>
          <w:szCs w:val="36"/>
          <w:lang w:eastAsia="en-US"/>
        </w:rPr>
        <w:t>Congrès RIODD 2024 :</w:t>
      </w:r>
    </w:p>
    <w:p w14:paraId="21F77C95" w14:textId="277888B9" w:rsidR="0000030E" w:rsidRPr="0000030E" w:rsidRDefault="0000030E" w:rsidP="0000030E">
      <w:pPr>
        <w:pBdr>
          <w:top w:val="single" w:sz="4" w:space="1" w:color="auto"/>
        </w:pBdr>
        <w:shd w:val="clear" w:color="auto" w:fill="F2F2F2"/>
        <w:spacing w:after="0" w:line="240" w:lineRule="auto"/>
        <w:jc w:val="center"/>
        <w:rPr>
          <w:rFonts w:ascii="Times New Roman" w:eastAsia="Calibri" w:hAnsi="Times New Roman"/>
          <w:b/>
          <w:bCs/>
          <w:sz w:val="36"/>
          <w:szCs w:val="36"/>
          <w:lang w:eastAsia="en-US"/>
        </w:rPr>
      </w:pPr>
      <w:r w:rsidRPr="0000030E">
        <w:rPr>
          <w:rFonts w:ascii="Times New Roman" w:eastAsia="Calibri" w:hAnsi="Times New Roman"/>
          <w:b/>
          <w:bCs/>
          <w:sz w:val="36"/>
          <w:szCs w:val="36"/>
          <w:lang w:eastAsia="en-US"/>
        </w:rPr>
        <w:t>Imaginer, expérimenter et pérenniser la soutenabilité forte.</w:t>
      </w:r>
    </w:p>
    <w:p w14:paraId="2E7312DB" w14:textId="77777777" w:rsidR="0000030E" w:rsidRPr="0000030E" w:rsidRDefault="0000030E" w:rsidP="0000030E">
      <w:pPr>
        <w:pBdr>
          <w:top w:val="single" w:sz="4" w:space="1" w:color="auto"/>
        </w:pBdr>
        <w:shd w:val="clear" w:color="auto" w:fill="F2F2F2"/>
        <w:spacing w:after="0" w:line="240" w:lineRule="auto"/>
        <w:jc w:val="center"/>
        <w:rPr>
          <w:rFonts w:ascii="Times New Roman" w:eastAsia="Calibri" w:hAnsi="Times New Roman"/>
          <w:b/>
          <w:bCs/>
          <w:sz w:val="36"/>
          <w:szCs w:val="36"/>
          <w:lang w:eastAsia="en-US"/>
        </w:rPr>
      </w:pPr>
      <w:r w:rsidRPr="0000030E">
        <w:rPr>
          <w:rFonts w:ascii="Times New Roman" w:eastAsia="Calibri" w:hAnsi="Times New Roman"/>
          <w:b/>
          <w:bCs/>
          <w:sz w:val="36"/>
          <w:szCs w:val="36"/>
          <w:lang w:eastAsia="en-US"/>
        </w:rPr>
        <w:t>Quelles institutions en Europe et au-delà ?</w:t>
      </w:r>
    </w:p>
    <w:bookmarkEnd w:id="0"/>
    <w:p w14:paraId="5805294C" w14:textId="77777777" w:rsidR="0000030E" w:rsidRPr="00DB5D11" w:rsidRDefault="0000030E" w:rsidP="0000030E">
      <w:pPr>
        <w:spacing w:before="100" w:beforeAutospacing="1" w:after="100" w:afterAutospacing="1" w:line="240" w:lineRule="auto"/>
        <w:jc w:val="both"/>
        <w:rPr>
          <w:rFonts w:ascii="Times New Roman" w:hAnsi="Times New Roman"/>
          <w:sz w:val="24"/>
          <w:szCs w:val="24"/>
        </w:rPr>
      </w:pPr>
      <w:r w:rsidRPr="00DB5D11">
        <w:rPr>
          <w:rFonts w:ascii="Times New Roman" w:hAnsi="Times New Roman"/>
          <w:color w:val="000000"/>
          <w:sz w:val="24"/>
          <w:szCs w:val="24"/>
        </w:rPr>
        <w:t xml:space="preserve">En invitant à une session sur la prévention des risques (industriels, environnementaux et de transports) qui entend traiter des pratiques, des régulations et des normes, tant nationales qu’européennes dans un contexte globalisé, nous avons plusieurs visées en tête : d’une part, nous ne considérons pas, à l’instar de Pierre </w:t>
      </w:r>
      <w:proofErr w:type="spellStart"/>
      <w:r w:rsidRPr="00DB5D11">
        <w:rPr>
          <w:rFonts w:ascii="Times New Roman" w:hAnsi="Times New Roman"/>
          <w:color w:val="000000"/>
          <w:sz w:val="24"/>
          <w:szCs w:val="24"/>
        </w:rPr>
        <w:t>Lascoumes</w:t>
      </w:r>
      <w:proofErr w:type="spellEnd"/>
      <w:r w:rsidRPr="00DB5D11">
        <w:rPr>
          <w:rFonts w:ascii="Times New Roman" w:hAnsi="Times New Roman"/>
          <w:color w:val="000000"/>
          <w:sz w:val="24"/>
          <w:szCs w:val="24"/>
        </w:rPr>
        <w:t xml:space="preserve">, « le droit comme le principal organisateur de cette question. » (1991, p.65) ; d’autre part, nous pensons que la prévention des risques suppose un gouvernement politique de cette dimension de l’action publique, gouvernement politique « appuyé sur des institutions fiables, soumis à des </w:t>
      </w:r>
      <w:proofErr w:type="spellStart"/>
      <w:r w:rsidRPr="00DB5D11">
        <w:rPr>
          <w:rFonts w:ascii="Times New Roman" w:hAnsi="Times New Roman"/>
          <w:color w:val="000000"/>
          <w:sz w:val="24"/>
          <w:szCs w:val="24"/>
        </w:rPr>
        <w:t>procèdures</w:t>
      </w:r>
      <w:proofErr w:type="spellEnd"/>
      <w:r w:rsidRPr="00DB5D11">
        <w:rPr>
          <w:rFonts w:ascii="Times New Roman" w:hAnsi="Times New Roman"/>
          <w:color w:val="000000"/>
          <w:sz w:val="24"/>
          <w:szCs w:val="24"/>
        </w:rPr>
        <w:t xml:space="preserve"> rigoureuses et contrôlables » (</w:t>
      </w:r>
      <w:proofErr w:type="spellStart"/>
      <w:r w:rsidRPr="00DB5D11">
        <w:rPr>
          <w:rFonts w:ascii="Times New Roman" w:hAnsi="Times New Roman"/>
          <w:color w:val="000000"/>
          <w:sz w:val="24"/>
          <w:szCs w:val="24"/>
        </w:rPr>
        <w:t>Noiville</w:t>
      </w:r>
      <w:proofErr w:type="spellEnd"/>
      <w:r w:rsidRPr="00DB5D11">
        <w:rPr>
          <w:rFonts w:ascii="Times New Roman" w:hAnsi="Times New Roman"/>
          <w:color w:val="000000"/>
          <w:sz w:val="24"/>
          <w:szCs w:val="24"/>
        </w:rPr>
        <w:t xml:space="preserve">, 2003, p.221). Par ailleurs, nous savons à présent </w:t>
      </w:r>
      <w:proofErr w:type="gramStart"/>
      <w:r w:rsidRPr="00DB5D11">
        <w:rPr>
          <w:rFonts w:ascii="Times New Roman" w:hAnsi="Times New Roman"/>
          <w:color w:val="000000"/>
          <w:sz w:val="24"/>
          <w:szCs w:val="24"/>
        </w:rPr>
        <w:t>que,  si</w:t>
      </w:r>
      <w:proofErr w:type="gramEnd"/>
      <w:r w:rsidRPr="00DB5D11">
        <w:rPr>
          <w:rFonts w:ascii="Times New Roman" w:hAnsi="Times New Roman"/>
          <w:color w:val="000000"/>
          <w:sz w:val="24"/>
          <w:szCs w:val="24"/>
        </w:rPr>
        <w:t xml:space="preserve"> les lois tentant de réguler les risques étaient au fil de l’histoire essentiellement conçues au niveau des nations, c’est à présent au niveau </w:t>
      </w:r>
      <w:proofErr w:type="spellStart"/>
      <w:r w:rsidRPr="00DB5D11">
        <w:rPr>
          <w:rFonts w:ascii="Times New Roman" w:hAnsi="Times New Roman"/>
          <w:color w:val="000000"/>
          <w:sz w:val="24"/>
          <w:szCs w:val="24"/>
        </w:rPr>
        <w:t>supra-national</w:t>
      </w:r>
      <w:proofErr w:type="spellEnd"/>
      <w:r w:rsidRPr="00DB5D11">
        <w:rPr>
          <w:rFonts w:ascii="Times New Roman" w:hAnsi="Times New Roman"/>
          <w:color w:val="000000"/>
          <w:sz w:val="24"/>
          <w:szCs w:val="24"/>
        </w:rPr>
        <w:t xml:space="preserve"> que sont décidées et définies les régulations juridiques cherchant à augmenter la sécurité, tant des installations industrielles, que de leur environnement, social et naturel. L’exemple le plus parlant pour les deux organisateurs de cette session qui travaillent depuis plusieurs années sur la fabrique de la prévention des risques industriels majeurs (Dupré, Le </w:t>
      </w:r>
      <w:proofErr w:type="spellStart"/>
      <w:r w:rsidRPr="00DB5D11">
        <w:rPr>
          <w:rFonts w:ascii="Times New Roman" w:hAnsi="Times New Roman"/>
          <w:color w:val="000000"/>
          <w:sz w:val="24"/>
          <w:szCs w:val="24"/>
        </w:rPr>
        <w:t>Coze</w:t>
      </w:r>
      <w:proofErr w:type="spellEnd"/>
      <w:r w:rsidRPr="00DB5D11">
        <w:rPr>
          <w:rFonts w:ascii="Times New Roman" w:hAnsi="Times New Roman"/>
          <w:color w:val="000000"/>
          <w:sz w:val="24"/>
          <w:szCs w:val="24"/>
        </w:rPr>
        <w:t xml:space="preserve">, 2014, 2021) est celui des directives Seveso élaborées au niveau européen suite à l’accident survenu à Seveso en Italie en 1976. La première </w:t>
      </w:r>
      <w:r w:rsidRPr="00DB5D11">
        <w:rPr>
          <w:rFonts w:ascii="Times New Roman" w:hAnsi="Times New Roman"/>
          <w:sz w:val="24"/>
          <w:szCs w:val="24"/>
        </w:rPr>
        <w:t xml:space="preserve">Directive 82/501/CEE dite directive Seveso 1 en date du 24 juin 1982, fut remplacée par la Directive 96/82/CE dite directive Seveso 2 le 9 décembre 1996, amendée par la Directive 2003/105/CE du 16 décembre 2003. La Directive Seveso 3, directive 2012/18/UE du 4 juillet 2012, a été publiée le 24 juillet 2012 au </w:t>
      </w:r>
      <w:hyperlink r:id="rId9" w:tooltip="Journal officiel de l’Union européenne" w:history="1">
        <w:r w:rsidRPr="00DB5D11">
          <w:rPr>
            <w:rFonts w:ascii="Times New Roman" w:hAnsi="Times New Roman"/>
            <w:sz w:val="24"/>
            <w:szCs w:val="24"/>
          </w:rPr>
          <w:t>Journal officiel de l’Union européenne</w:t>
        </w:r>
      </w:hyperlink>
      <w:r w:rsidRPr="00DB5D11">
        <w:rPr>
          <w:rFonts w:ascii="Times New Roman" w:hAnsi="Times New Roman"/>
          <w:sz w:val="24"/>
          <w:szCs w:val="24"/>
        </w:rPr>
        <w:t>. Cela suppose donc la traduction en droit français de dispositions juridiques développées au niveau européen. « L’Etat n’est plus le niveau d’analyse exclusif, et il y a une interpénétration des échelles spatiales. » (</w:t>
      </w:r>
      <w:proofErr w:type="spellStart"/>
      <w:r w:rsidRPr="00DB5D11">
        <w:rPr>
          <w:rFonts w:ascii="Times New Roman" w:hAnsi="Times New Roman"/>
          <w:sz w:val="24"/>
          <w:szCs w:val="24"/>
        </w:rPr>
        <w:t>Lascoumes</w:t>
      </w:r>
      <w:proofErr w:type="spellEnd"/>
      <w:r w:rsidRPr="00DB5D11">
        <w:rPr>
          <w:rFonts w:ascii="Times New Roman" w:hAnsi="Times New Roman"/>
          <w:sz w:val="24"/>
          <w:szCs w:val="24"/>
        </w:rPr>
        <w:t>, 2012, p. 3) Ces directives viennent se combiner, suite à l’accident survenu en 2001 dans l’usine AZF à Toulouse, avec la loi no 2003-699 du 30 juillet 2003, relative à la prévention des risques technologiques et naturels et à la réparation des dommages.</w:t>
      </w:r>
    </w:p>
    <w:p w14:paraId="590E261E" w14:textId="77777777" w:rsidR="0000030E" w:rsidRPr="00DB5D11" w:rsidRDefault="0000030E" w:rsidP="0000030E">
      <w:pPr>
        <w:spacing w:before="100" w:beforeAutospacing="1" w:after="100" w:afterAutospacing="1" w:line="240" w:lineRule="auto"/>
        <w:jc w:val="both"/>
        <w:rPr>
          <w:rFonts w:ascii="Times New Roman" w:hAnsi="Times New Roman"/>
          <w:sz w:val="24"/>
          <w:szCs w:val="24"/>
        </w:rPr>
      </w:pPr>
      <w:r w:rsidRPr="00DB5D11">
        <w:rPr>
          <w:rFonts w:ascii="Times New Roman" w:hAnsi="Times New Roman"/>
          <w:sz w:val="24"/>
          <w:szCs w:val="24"/>
        </w:rPr>
        <w:t xml:space="preserve">Cependant, quels que soient les risques envisagés (industriels, environnementaux et de transport), et sur la base de nos recherches (études empiriques, recherche documentaires et travail sur la littérature dédiée) nous pensons, comme le mentionne déjà Christine </w:t>
      </w:r>
      <w:proofErr w:type="spellStart"/>
      <w:r w:rsidRPr="00DB5D11">
        <w:rPr>
          <w:rFonts w:ascii="Times New Roman" w:hAnsi="Times New Roman"/>
          <w:sz w:val="24"/>
          <w:szCs w:val="24"/>
        </w:rPr>
        <w:t>Noiville</w:t>
      </w:r>
      <w:proofErr w:type="spellEnd"/>
      <w:r w:rsidRPr="00DB5D11">
        <w:rPr>
          <w:rFonts w:ascii="Times New Roman" w:hAnsi="Times New Roman"/>
          <w:sz w:val="24"/>
          <w:szCs w:val="24"/>
        </w:rPr>
        <w:t xml:space="preserve"> en 2003, que « les risques écologiques et sanitaires mettent en jeu des acteurs multiples – autorités publiques chargées de prendre des décisions politiques ou administratives, entreprises, citoyens, associations – des intérêts très divers – protection de l’environnement ou de la santé, liberté d’entreprise et autres libertés individuelles – dont la combinaison est complexe et la dimension internationale le plus souvent marquée. » </w:t>
      </w:r>
      <w:proofErr w:type="gramStart"/>
      <w:r w:rsidRPr="00DB5D11">
        <w:rPr>
          <w:rFonts w:ascii="Times New Roman" w:hAnsi="Times New Roman"/>
          <w:sz w:val="24"/>
          <w:szCs w:val="24"/>
        </w:rPr>
        <w:t xml:space="preserve">( </w:t>
      </w:r>
      <w:proofErr w:type="spellStart"/>
      <w:r w:rsidRPr="00DB5D11">
        <w:rPr>
          <w:rFonts w:ascii="Times New Roman" w:hAnsi="Times New Roman"/>
          <w:sz w:val="24"/>
          <w:szCs w:val="24"/>
        </w:rPr>
        <w:t>Noiville</w:t>
      </w:r>
      <w:proofErr w:type="spellEnd"/>
      <w:proofErr w:type="gramEnd"/>
      <w:r w:rsidRPr="00DB5D11">
        <w:rPr>
          <w:rFonts w:ascii="Times New Roman" w:hAnsi="Times New Roman"/>
          <w:sz w:val="24"/>
          <w:szCs w:val="24"/>
        </w:rPr>
        <w:t xml:space="preserve">, 2003, p. 10). En outre le contexte d’action globalisé change la donne et oblige à des opérations de traduction des modes d’action d’un contexte à l’autre, à des négociations entre les entreprises mères (dans </w:t>
      </w:r>
      <w:proofErr w:type="gramStart"/>
      <w:r w:rsidRPr="00DB5D11">
        <w:rPr>
          <w:rFonts w:ascii="Times New Roman" w:hAnsi="Times New Roman"/>
          <w:sz w:val="24"/>
          <w:szCs w:val="24"/>
        </w:rPr>
        <w:t>notre panel majoritairement sises</w:t>
      </w:r>
      <w:proofErr w:type="gramEnd"/>
      <w:r w:rsidRPr="00DB5D11">
        <w:rPr>
          <w:rFonts w:ascii="Times New Roman" w:hAnsi="Times New Roman"/>
          <w:sz w:val="24"/>
          <w:szCs w:val="24"/>
        </w:rPr>
        <w:t xml:space="preserve"> aux Etats-Unis) et leurs filiales, à des arbitrages complexes autour des normes et régulations à respecter (Dupré, Le </w:t>
      </w:r>
      <w:proofErr w:type="spellStart"/>
      <w:r w:rsidRPr="00DB5D11">
        <w:rPr>
          <w:rFonts w:ascii="Times New Roman" w:hAnsi="Times New Roman"/>
          <w:sz w:val="24"/>
          <w:szCs w:val="24"/>
        </w:rPr>
        <w:t>Coze</w:t>
      </w:r>
      <w:proofErr w:type="spellEnd"/>
      <w:r w:rsidRPr="00DB5D11">
        <w:rPr>
          <w:rFonts w:ascii="Times New Roman" w:hAnsi="Times New Roman"/>
          <w:sz w:val="24"/>
          <w:szCs w:val="24"/>
        </w:rPr>
        <w:t>, 2021, 2022).</w:t>
      </w:r>
    </w:p>
    <w:p w14:paraId="0ED9411E" w14:textId="77777777" w:rsidR="0000030E" w:rsidRPr="00DB5D11" w:rsidRDefault="0000030E" w:rsidP="0000030E">
      <w:pPr>
        <w:spacing w:before="100" w:beforeAutospacing="1" w:after="100" w:afterAutospacing="1" w:line="240" w:lineRule="auto"/>
        <w:jc w:val="both"/>
        <w:rPr>
          <w:rFonts w:ascii="Times New Roman" w:hAnsi="Times New Roman"/>
          <w:sz w:val="24"/>
          <w:szCs w:val="24"/>
        </w:rPr>
      </w:pPr>
      <w:r w:rsidRPr="00DB5D11">
        <w:rPr>
          <w:rFonts w:ascii="Times New Roman" w:hAnsi="Times New Roman"/>
          <w:sz w:val="24"/>
          <w:szCs w:val="24"/>
        </w:rPr>
        <w:lastRenderedPageBreak/>
        <w:t>Notre session invite donc des communications sur ces différents champs d’activités, s’inscrivant dans des disciplines diverses, renvoyant à des contextes d’action nationaux et/ou européens divers, et abordant l’impact de l’insertion dans des flux globaux (de matières, de produits…) sur les risques encourus.</w:t>
      </w:r>
    </w:p>
    <w:p w14:paraId="3FA3C4CF" w14:textId="77777777" w:rsidR="0000030E" w:rsidRPr="00DB5D11" w:rsidRDefault="0000030E" w:rsidP="0000030E">
      <w:pPr>
        <w:spacing w:before="100" w:beforeAutospacing="1" w:after="100" w:afterAutospacing="1" w:line="240" w:lineRule="auto"/>
        <w:jc w:val="both"/>
        <w:rPr>
          <w:rFonts w:ascii="Times New Roman" w:hAnsi="Times New Roman"/>
          <w:b/>
          <w:bCs/>
          <w:sz w:val="24"/>
          <w:szCs w:val="24"/>
        </w:rPr>
      </w:pPr>
      <w:r w:rsidRPr="00DB5D11">
        <w:rPr>
          <w:rFonts w:ascii="Times New Roman" w:hAnsi="Times New Roman"/>
          <w:b/>
          <w:bCs/>
          <w:sz w:val="24"/>
          <w:szCs w:val="24"/>
        </w:rPr>
        <w:t xml:space="preserve">Références : </w:t>
      </w:r>
    </w:p>
    <w:p w14:paraId="08C219C9" w14:textId="77777777" w:rsidR="0000030E" w:rsidRPr="00DB5D11" w:rsidRDefault="0000030E" w:rsidP="0000030E">
      <w:pPr>
        <w:spacing w:after="120" w:line="240" w:lineRule="auto"/>
        <w:jc w:val="both"/>
        <w:rPr>
          <w:rFonts w:ascii="Times New Roman" w:hAnsi="Times New Roman"/>
          <w:sz w:val="24"/>
          <w:szCs w:val="24"/>
        </w:rPr>
      </w:pPr>
      <w:hyperlink r:id="rId10" w:history="1">
        <w:r w:rsidRPr="00DB5D11">
          <w:rPr>
            <w:rFonts w:ascii="Times New Roman" w:hAnsi="Times New Roman"/>
            <w:sz w:val="24"/>
            <w:szCs w:val="24"/>
          </w:rPr>
          <w:t xml:space="preserve">Dupré M., Le </w:t>
        </w:r>
        <w:proofErr w:type="spellStart"/>
        <w:r w:rsidRPr="00DB5D11">
          <w:rPr>
            <w:rFonts w:ascii="Times New Roman" w:hAnsi="Times New Roman"/>
            <w:sz w:val="24"/>
            <w:szCs w:val="24"/>
          </w:rPr>
          <w:t>Coze</w:t>
        </w:r>
        <w:proofErr w:type="spellEnd"/>
        <w:r w:rsidRPr="00DB5D11">
          <w:rPr>
            <w:rFonts w:ascii="Times New Roman" w:hAnsi="Times New Roman"/>
            <w:sz w:val="24"/>
            <w:szCs w:val="24"/>
          </w:rPr>
          <w:t xml:space="preserve"> JC., 2014, </w:t>
        </w:r>
        <w:r w:rsidRPr="00DB5D11">
          <w:rPr>
            <w:rFonts w:ascii="Times New Roman" w:hAnsi="Times New Roman"/>
            <w:i/>
            <w:iCs/>
            <w:sz w:val="24"/>
            <w:szCs w:val="24"/>
          </w:rPr>
          <w:t>Réactions à risques, Regards croisés sur la sécurité dans la chimie</w:t>
        </w:r>
        <w:r w:rsidRPr="00DB5D11">
          <w:rPr>
            <w:rFonts w:ascii="Times New Roman" w:hAnsi="Times New Roman"/>
            <w:sz w:val="24"/>
            <w:szCs w:val="24"/>
          </w:rPr>
          <w:t>, Lavoisier.</w:t>
        </w:r>
      </w:hyperlink>
    </w:p>
    <w:p w14:paraId="1963ECAB" w14:textId="77777777" w:rsidR="0000030E" w:rsidRPr="00DB5D11" w:rsidRDefault="0000030E" w:rsidP="0000030E">
      <w:pPr>
        <w:spacing w:after="120" w:line="240" w:lineRule="auto"/>
        <w:jc w:val="both"/>
        <w:rPr>
          <w:rFonts w:ascii="Times New Roman" w:hAnsi="Times New Roman"/>
          <w:sz w:val="24"/>
          <w:szCs w:val="24"/>
        </w:rPr>
      </w:pPr>
      <w:r w:rsidRPr="00DB5D11">
        <w:rPr>
          <w:rFonts w:ascii="Times New Roman" w:hAnsi="Times New Roman"/>
          <w:sz w:val="24"/>
          <w:szCs w:val="24"/>
        </w:rPr>
        <w:t xml:space="preserve">Dupré M., Le </w:t>
      </w:r>
      <w:proofErr w:type="spellStart"/>
      <w:r w:rsidRPr="00DB5D11">
        <w:rPr>
          <w:rFonts w:ascii="Times New Roman" w:hAnsi="Times New Roman"/>
          <w:sz w:val="24"/>
          <w:szCs w:val="24"/>
        </w:rPr>
        <w:t>Coze</w:t>
      </w:r>
      <w:proofErr w:type="spellEnd"/>
      <w:r w:rsidRPr="00DB5D11">
        <w:rPr>
          <w:rFonts w:ascii="Times New Roman" w:hAnsi="Times New Roman"/>
          <w:sz w:val="24"/>
          <w:szCs w:val="24"/>
        </w:rPr>
        <w:t xml:space="preserve"> J.-C., 2021, </w:t>
      </w:r>
      <w:r w:rsidRPr="00DB5D11">
        <w:rPr>
          <w:rFonts w:ascii="Times New Roman" w:hAnsi="Times New Roman"/>
          <w:i/>
          <w:iCs/>
          <w:sz w:val="24"/>
          <w:szCs w:val="24"/>
        </w:rPr>
        <w:t>Des usines, des matières et des hommes</w:t>
      </w:r>
      <w:r w:rsidRPr="00DB5D11">
        <w:rPr>
          <w:rFonts w:ascii="Times New Roman" w:hAnsi="Times New Roman"/>
          <w:sz w:val="24"/>
          <w:szCs w:val="24"/>
        </w:rPr>
        <w:t>. Presses des Mines.</w:t>
      </w:r>
    </w:p>
    <w:p w14:paraId="297B1BE3" w14:textId="77777777" w:rsidR="0000030E" w:rsidRPr="00DB5D11" w:rsidRDefault="0000030E" w:rsidP="0000030E">
      <w:pPr>
        <w:spacing w:after="120" w:line="240" w:lineRule="auto"/>
        <w:jc w:val="both"/>
        <w:rPr>
          <w:rFonts w:ascii="Times New Roman" w:hAnsi="Times New Roman"/>
          <w:sz w:val="24"/>
          <w:szCs w:val="24"/>
        </w:rPr>
      </w:pPr>
      <w:hyperlink r:id="rId11" w:history="1">
        <w:r w:rsidRPr="00DB5D11">
          <w:rPr>
            <w:rFonts w:ascii="Times New Roman" w:hAnsi="Times New Roman"/>
            <w:sz w:val="24"/>
            <w:szCs w:val="24"/>
          </w:rPr>
          <w:t xml:space="preserve">Dupré M., Le Coze J.-C., 2021, Pluralisme juridique, sécurité industrielle et globalisation </w:t>
        </w:r>
        <w:r w:rsidRPr="00DB5D11">
          <w:rPr>
            <w:rFonts w:ascii="Times New Roman" w:hAnsi="Times New Roman"/>
            <w:sz w:val="24"/>
            <w:szCs w:val="24"/>
          </w:rPr>
          <w:br/>
          <w:t xml:space="preserve">une étude de cas dans la chimie. In : Communitas, Université du Québec à Montréal., 2021, </w:t>
        </w:r>
        <w:r w:rsidRPr="00DB5D11">
          <w:rPr>
            <w:rFonts w:ascii="Times New Roman" w:hAnsi="Times New Roman"/>
            <w:i/>
            <w:iCs/>
            <w:sz w:val="24"/>
            <w:szCs w:val="24"/>
          </w:rPr>
          <w:t>La pluralité de normativités en matière de sécurité et de santé du travail</w:t>
        </w:r>
        <w:r w:rsidRPr="00DB5D11">
          <w:rPr>
            <w:rFonts w:ascii="Times New Roman" w:hAnsi="Times New Roman"/>
            <w:sz w:val="24"/>
            <w:szCs w:val="24"/>
          </w:rPr>
          <w:t>.</w:t>
        </w:r>
      </w:hyperlink>
      <w:r w:rsidRPr="00DB5D11">
        <w:rPr>
          <w:rFonts w:ascii="Times New Roman" w:hAnsi="Times New Roman"/>
          <w:sz w:val="24"/>
          <w:szCs w:val="24"/>
        </w:rPr>
        <w:t xml:space="preserve"> https://www.erudit.org/fr/revues/communitas/2021-v2-n1-communitas07949/1098906ar/?ticket=bfd7682cf79b52ae98a193fc9bf011d1</w:t>
      </w:r>
    </w:p>
    <w:p w14:paraId="72E99D0B" w14:textId="77777777" w:rsidR="0000030E" w:rsidRPr="00DB5D11" w:rsidRDefault="0000030E" w:rsidP="0000030E">
      <w:pPr>
        <w:spacing w:after="120" w:line="240" w:lineRule="auto"/>
        <w:jc w:val="both"/>
        <w:rPr>
          <w:rFonts w:ascii="Times New Roman" w:hAnsi="Times New Roman"/>
          <w:sz w:val="24"/>
          <w:szCs w:val="24"/>
        </w:rPr>
      </w:pPr>
      <w:hyperlink r:id="rId12" w:history="1">
        <w:r w:rsidRPr="00DB5D11">
          <w:rPr>
            <w:rFonts w:ascii="Times New Roman" w:hAnsi="Times New Roman"/>
            <w:sz w:val="24"/>
            <w:szCs w:val="24"/>
          </w:rPr>
          <w:t xml:space="preserve">Dupré M., Le </w:t>
        </w:r>
        <w:proofErr w:type="spellStart"/>
        <w:r w:rsidRPr="00DB5D11">
          <w:rPr>
            <w:rFonts w:ascii="Times New Roman" w:hAnsi="Times New Roman"/>
            <w:sz w:val="24"/>
            <w:szCs w:val="24"/>
          </w:rPr>
          <w:t>Coze</w:t>
        </w:r>
        <w:proofErr w:type="spellEnd"/>
        <w:r w:rsidRPr="00DB5D11">
          <w:rPr>
            <w:rFonts w:ascii="Times New Roman" w:hAnsi="Times New Roman"/>
            <w:sz w:val="24"/>
            <w:szCs w:val="24"/>
          </w:rPr>
          <w:t xml:space="preserve"> JC., 2022, </w:t>
        </w:r>
        <w:proofErr w:type="spellStart"/>
        <w:r w:rsidRPr="00DB5D11">
          <w:rPr>
            <w:rFonts w:ascii="Times New Roman" w:hAnsi="Times New Roman"/>
            <w:sz w:val="24"/>
            <w:szCs w:val="24"/>
          </w:rPr>
          <w:t>Safety</w:t>
        </w:r>
        <w:proofErr w:type="spellEnd"/>
        <w:r w:rsidRPr="00DB5D11">
          <w:rPr>
            <w:rFonts w:ascii="Times New Roman" w:hAnsi="Times New Roman"/>
            <w:sz w:val="24"/>
            <w:szCs w:val="24"/>
          </w:rPr>
          <w:t xml:space="preserve"> as </w:t>
        </w:r>
        <w:proofErr w:type="gramStart"/>
        <w:r w:rsidRPr="00DB5D11">
          <w:rPr>
            <w:rFonts w:ascii="Times New Roman" w:hAnsi="Times New Roman"/>
            <w:sz w:val="24"/>
            <w:szCs w:val="24"/>
          </w:rPr>
          <w:t>a</w:t>
        </w:r>
        <w:proofErr w:type="gramEnd"/>
        <w:r w:rsidRPr="00DB5D11">
          <w:rPr>
            <w:rFonts w:ascii="Times New Roman" w:hAnsi="Times New Roman"/>
            <w:sz w:val="24"/>
            <w:szCs w:val="24"/>
          </w:rPr>
          <w:t xml:space="preserve"> network, digital and global reality, </w:t>
        </w:r>
        <w:proofErr w:type="spellStart"/>
        <w:r w:rsidRPr="00DB5D11">
          <w:rPr>
            <w:rFonts w:ascii="Times New Roman" w:hAnsi="Times New Roman"/>
            <w:i/>
            <w:iCs/>
            <w:sz w:val="24"/>
            <w:szCs w:val="24"/>
          </w:rPr>
          <w:t>Safety</w:t>
        </w:r>
        <w:proofErr w:type="spellEnd"/>
        <w:r w:rsidRPr="00DB5D11">
          <w:rPr>
            <w:rFonts w:ascii="Times New Roman" w:hAnsi="Times New Roman"/>
            <w:i/>
            <w:iCs/>
            <w:sz w:val="24"/>
            <w:szCs w:val="24"/>
          </w:rPr>
          <w:t xml:space="preserve"> Science</w:t>
        </w:r>
        <w:r w:rsidRPr="00DB5D11">
          <w:rPr>
            <w:rFonts w:ascii="Times New Roman" w:hAnsi="Times New Roman"/>
            <w:sz w:val="24"/>
            <w:szCs w:val="24"/>
          </w:rPr>
          <w:t>.</w:t>
        </w:r>
      </w:hyperlink>
    </w:p>
    <w:p w14:paraId="073A9713" w14:textId="77777777" w:rsidR="0000030E" w:rsidRPr="00DB5D11" w:rsidRDefault="0000030E" w:rsidP="0000030E">
      <w:pPr>
        <w:spacing w:after="120" w:line="240" w:lineRule="auto"/>
        <w:jc w:val="both"/>
        <w:rPr>
          <w:rFonts w:ascii="Times New Roman" w:hAnsi="Times New Roman"/>
          <w:sz w:val="24"/>
          <w:szCs w:val="24"/>
        </w:rPr>
      </w:pPr>
      <w:proofErr w:type="spellStart"/>
      <w:r w:rsidRPr="00DB5D11">
        <w:rPr>
          <w:rFonts w:ascii="Times New Roman" w:hAnsi="Times New Roman"/>
          <w:sz w:val="24"/>
          <w:szCs w:val="24"/>
        </w:rPr>
        <w:t>Lascoumes</w:t>
      </w:r>
      <w:proofErr w:type="spellEnd"/>
      <w:r w:rsidRPr="00DB5D11">
        <w:rPr>
          <w:rFonts w:ascii="Times New Roman" w:hAnsi="Times New Roman"/>
          <w:sz w:val="24"/>
          <w:szCs w:val="24"/>
        </w:rPr>
        <w:t xml:space="preserve"> P., De l’atteinte à la prévention des risques industriels, in : </w:t>
      </w:r>
      <w:proofErr w:type="spellStart"/>
      <w:r w:rsidRPr="00DB5D11">
        <w:rPr>
          <w:rFonts w:ascii="Times New Roman" w:hAnsi="Times New Roman"/>
          <w:sz w:val="24"/>
          <w:szCs w:val="24"/>
        </w:rPr>
        <w:t>Dourlens</w:t>
      </w:r>
      <w:proofErr w:type="spellEnd"/>
      <w:r w:rsidRPr="00DB5D11">
        <w:rPr>
          <w:rFonts w:ascii="Times New Roman" w:hAnsi="Times New Roman"/>
          <w:sz w:val="24"/>
          <w:szCs w:val="24"/>
        </w:rPr>
        <w:t xml:space="preserve"> C. et alii, 1991, </w:t>
      </w:r>
      <w:r w:rsidRPr="00DB5D11">
        <w:rPr>
          <w:rFonts w:ascii="Times New Roman" w:hAnsi="Times New Roman"/>
          <w:i/>
          <w:iCs/>
          <w:sz w:val="24"/>
          <w:szCs w:val="24"/>
        </w:rPr>
        <w:t>Conquête de la sécurité, gestion des risques</w:t>
      </w:r>
      <w:r w:rsidRPr="00DB5D11">
        <w:rPr>
          <w:rFonts w:ascii="Times New Roman" w:hAnsi="Times New Roman"/>
          <w:sz w:val="24"/>
          <w:szCs w:val="24"/>
        </w:rPr>
        <w:t xml:space="preserve">, </w:t>
      </w:r>
      <w:proofErr w:type="spellStart"/>
      <w:r w:rsidRPr="00DB5D11">
        <w:rPr>
          <w:rFonts w:ascii="Times New Roman" w:hAnsi="Times New Roman"/>
          <w:sz w:val="24"/>
          <w:szCs w:val="24"/>
        </w:rPr>
        <w:t>L’Harmattan</w:t>
      </w:r>
      <w:proofErr w:type="spellEnd"/>
      <w:r w:rsidRPr="00DB5D11">
        <w:rPr>
          <w:rFonts w:ascii="Times New Roman" w:hAnsi="Times New Roman"/>
          <w:sz w:val="24"/>
          <w:szCs w:val="24"/>
        </w:rPr>
        <w:t>, Logiques Sociales.</w:t>
      </w:r>
    </w:p>
    <w:p w14:paraId="6DC272EA" w14:textId="77777777" w:rsidR="0000030E" w:rsidRPr="00DB5D11" w:rsidRDefault="0000030E" w:rsidP="0000030E">
      <w:pPr>
        <w:spacing w:after="120" w:line="240" w:lineRule="auto"/>
        <w:jc w:val="both"/>
        <w:rPr>
          <w:rFonts w:ascii="Times New Roman" w:hAnsi="Times New Roman"/>
          <w:sz w:val="24"/>
          <w:szCs w:val="24"/>
        </w:rPr>
      </w:pPr>
      <w:proofErr w:type="spellStart"/>
      <w:r w:rsidRPr="00DB5D11">
        <w:rPr>
          <w:rFonts w:ascii="Times New Roman" w:hAnsi="Times New Roman"/>
          <w:sz w:val="24"/>
          <w:szCs w:val="24"/>
        </w:rPr>
        <w:t>Lascoumes</w:t>
      </w:r>
      <w:proofErr w:type="spellEnd"/>
      <w:r w:rsidRPr="00DB5D11">
        <w:rPr>
          <w:rFonts w:ascii="Times New Roman" w:hAnsi="Times New Roman"/>
          <w:sz w:val="24"/>
          <w:szCs w:val="24"/>
        </w:rPr>
        <w:t xml:space="preserve"> P., 2012, </w:t>
      </w:r>
      <w:r w:rsidRPr="00DB5D11">
        <w:rPr>
          <w:rFonts w:ascii="Times New Roman" w:hAnsi="Times New Roman"/>
          <w:i/>
          <w:iCs/>
          <w:sz w:val="24"/>
          <w:szCs w:val="24"/>
        </w:rPr>
        <w:t>Action publique et Environnement</w:t>
      </w:r>
      <w:r w:rsidRPr="00DB5D11">
        <w:rPr>
          <w:rFonts w:ascii="Times New Roman" w:hAnsi="Times New Roman"/>
          <w:sz w:val="24"/>
          <w:szCs w:val="24"/>
        </w:rPr>
        <w:t>, PUF</w:t>
      </w:r>
    </w:p>
    <w:p w14:paraId="57BF71FE" w14:textId="77777777" w:rsidR="0000030E" w:rsidRDefault="0000030E" w:rsidP="0000030E">
      <w:pPr>
        <w:spacing w:after="120" w:line="240" w:lineRule="auto"/>
        <w:jc w:val="both"/>
        <w:rPr>
          <w:rFonts w:ascii="Times New Roman" w:hAnsi="Times New Roman"/>
          <w:sz w:val="24"/>
          <w:szCs w:val="24"/>
        </w:rPr>
      </w:pPr>
      <w:proofErr w:type="spellStart"/>
      <w:r w:rsidRPr="00DB5D11">
        <w:rPr>
          <w:rFonts w:ascii="Times New Roman" w:hAnsi="Times New Roman"/>
          <w:sz w:val="24"/>
          <w:szCs w:val="24"/>
        </w:rPr>
        <w:t>Noiville</w:t>
      </w:r>
      <w:proofErr w:type="spellEnd"/>
      <w:r w:rsidRPr="00DB5D11">
        <w:rPr>
          <w:rFonts w:ascii="Times New Roman" w:hAnsi="Times New Roman"/>
          <w:sz w:val="24"/>
          <w:szCs w:val="24"/>
        </w:rPr>
        <w:t xml:space="preserve"> C., 2003, </w:t>
      </w:r>
      <w:r w:rsidRPr="00DB5D11">
        <w:rPr>
          <w:rFonts w:ascii="Times New Roman" w:hAnsi="Times New Roman"/>
          <w:i/>
          <w:iCs/>
          <w:sz w:val="24"/>
          <w:szCs w:val="24"/>
        </w:rPr>
        <w:t>Du bon gouvernement des risques,</w:t>
      </w:r>
      <w:r w:rsidRPr="00DB5D11">
        <w:rPr>
          <w:rFonts w:ascii="Times New Roman" w:hAnsi="Times New Roman"/>
          <w:sz w:val="24"/>
          <w:szCs w:val="24"/>
        </w:rPr>
        <w:t xml:space="preserve"> PUF</w:t>
      </w:r>
    </w:p>
    <w:p w14:paraId="572765F5" w14:textId="77777777" w:rsidR="008A6181" w:rsidRDefault="008A6181"/>
    <w:sectPr w:rsidR="008A61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2392E"/>
    <w:multiLevelType w:val="multilevel"/>
    <w:tmpl w:val="D25802C0"/>
    <w:lvl w:ilvl="0">
      <w:start w:val="1"/>
      <w:numFmt w:val="decimal"/>
      <w:pStyle w:val="Titre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48215D0"/>
    <w:multiLevelType w:val="hybridMultilevel"/>
    <w:tmpl w:val="9B40567A"/>
    <w:lvl w:ilvl="0" w:tplc="E43A1FF4">
      <w:start w:val="1"/>
      <w:numFmt w:val="lowerLetter"/>
      <w:lvlText w:val="%1."/>
      <w:lvlJc w:val="left"/>
      <w:pPr>
        <w:ind w:left="2705" w:hanging="360"/>
      </w:pPr>
    </w:lvl>
    <w:lvl w:ilvl="1" w:tplc="040C0019" w:tentative="1">
      <w:start w:val="1"/>
      <w:numFmt w:val="lowerLetter"/>
      <w:lvlText w:val="%2."/>
      <w:lvlJc w:val="left"/>
      <w:pPr>
        <w:ind w:left="3425" w:hanging="360"/>
      </w:pPr>
    </w:lvl>
    <w:lvl w:ilvl="2" w:tplc="040C001B" w:tentative="1">
      <w:start w:val="1"/>
      <w:numFmt w:val="lowerRoman"/>
      <w:lvlText w:val="%3."/>
      <w:lvlJc w:val="right"/>
      <w:pPr>
        <w:ind w:left="4145" w:hanging="180"/>
      </w:pPr>
    </w:lvl>
    <w:lvl w:ilvl="3" w:tplc="040C000F" w:tentative="1">
      <w:start w:val="1"/>
      <w:numFmt w:val="decimal"/>
      <w:lvlText w:val="%4."/>
      <w:lvlJc w:val="left"/>
      <w:pPr>
        <w:ind w:left="4865" w:hanging="360"/>
      </w:pPr>
    </w:lvl>
    <w:lvl w:ilvl="4" w:tplc="040C0019" w:tentative="1">
      <w:start w:val="1"/>
      <w:numFmt w:val="lowerLetter"/>
      <w:lvlText w:val="%5."/>
      <w:lvlJc w:val="left"/>
      <w:pPr>
        <w:ind w:left="5585" w:hanging="360"/>
      </w:pPr>
    </w:lvl>
    <w:lvl w:ilvl="5" w:tplc="040C001B" w:tentative="1">
      <w:start w:val="1"/>
      <w:numFmt w:val="lowerRoman"/>
      <w:lvlText w:val="%6."/>
      <w:lvlJc w:val="right"/>
      <w:pPr>
        <w:ind w:left="6305" w:hanging="180"/>
      </w:pPr>
    </w:lvl>
    <w:lvl w:ilvl="6" w:tplc="040C000F" w:tentative="1">
      <w:start w:val="1"/>
      <w:numFmt w:val="decimal"/>
      <w:lvlText w:val="%7."/>
      <w:lvlJc w:val="left"/>
      <w:pPr>
        <w:ind w:left="7025" w:hanging="360"/>
      </w:pPr>
    </w:lvl>
    <w:lvl w:ilvl="7" w:tplc="040C0019" w:tentative="1">
      <w:start w:val="1"/>
      <w:numFmt w:val="lowerLetter"/>
      <w:lvlText w:val="%8."/>
      <w:lvlJc w:val="left"/>
      <w:pPr>
        <w:ind w:left="7745" w:hanging="360"/>
      </w:pPr>
    </w:lvl>
    <w:lvl w:ilvl="8" w:tplc="040C001B" w:tentative="1">
      <w:start w:val="1"/>
      <w:numFmt w:val="lowerRoman"/>
      <w:lvlText w:val="%9."/>
      <w:lvlJc w:val="right"/>
      <w:pPr>
        <w:ind w:left="8465" w:hanging="180"/>
      </w:pPr>
    </w:lvl>
  </w:abstractNum>
  <w:abstractNum w:abstractNumId="2" w15:restartNumberingAfterBreak="0">
    <w:nsid w:val="442A3F64"/>
    <w:multiLevelType w:val="hybridMultilevel"/>
    <w:tmpl w:val="5406FDF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CC14DD2"/>
    <w:multiLevelType w:val="hybridMultilevel"/>
    <w:tmpl w:val="8248A33A"/>
    <w:lvl w:ilvl="0" w:tplc="72F8EF44">
      <w:start w:val="1"/>
      <w:numFmt w:val="decimal"/>
      <w:pStyle w:val="Sous-titre"/>
      <w:lvlText w:val="%1."/>
      <w:lvlJc w:val="left"/>
      <w:pPr>
        <w:ind w:left="2138" w:hanging="360"/>
      </w:pPr>
    </w:lvl>
    <w:lvl w:ilvl="1" w:tplc="040C0019" w:tentative="1">
      <w:start w:val="1"/>
      <w:numFmt w:val="lowerLetter"/>
      <w:lvlText w:val="%2."/>
      <w:lvlJc w:val="left"/>
      <w:pPr>
        <w:ind w:left="2858" w:hanging="360"/>
      </w:pPr>
    </w:lvl>
    <w:lvl w:ilvl="2" w:tplc="040C001B" w:tentative="1">
      <w:start w:val="1"/>
      <w:numFmt w:val="lowerRoman"/>
      <w:lvlText w:val="%3."/>
      <w:lvlJc w:val="right"/>
      <w:pPr>
        <w:ind w:left="3578" w:hanging="180"/>
      </w:pPr>
    </w:lvl>
    <w:lvl w:ilvl="3" w:tplc="040C000F" w:tentative="1">
      <w:start w:val="1"/>
      <w:numFmt w:val="decimal"/>
      <w:lvlText w:val="%4."/>
      <w:lvlJc w:val="left"/>
      <w:pPr>
        <w:ind w:left="4298" w:hanging="360"/>
      </w:pPr>
    </w:lvl>
    <w:lvl w:ilvl="4" w:tplc="040C0019" w:tentative="1">
      <w:start w:val="1"/>
      <w:numFmt w:val="lowerLetter"/>
      <w:lvlText w:val="%5."/>
      <w:lvlJc w:val="left"/>
      <w:pPr>
        <w:ind w:left="5018" w:hanging="360"/>
      </w:pPr>
    </w:lvl>
    <w:lvl w:ilvl="5" w:tplc="040C001B" w:tentative="1">
      <w:start w:val="1"/>
      <w:numFmt w:val="lowerRoman"/>
      <w:lvlText w:val="%6."/>
      <w:lvlJc w:val="right"/>
      <w:pPr>
        <w:ind w:left="5738" w:hanging="180"/>
      </w:pPr>
    </w:lvl>
    <w:lvl w:ilvl="6" w:tplc="040C000F" w:tentative="1">
      <w:start w:val="1"/>
      <w:numFmt w:val="decimal"/>
      <w:lvlText w:val="%7."/>
      <w:lvlJc w:val="left"/>
      <w:pPr>
        <w:ind w:left="6458" w:hanging="360"/>
      </w:pPr>
    </w:lvl>
    <w:lvl w:ilvl="7" w:tplc="040C0019" w:tentative="1">
      <w:start w:val="1"/>
      <w:numFmt w:val="lowerLetter"/>
      <w:lvlText w:val="%8."/>
      <w:lvlJc w:val="left"/>
      <w:pPr>
        <w:ind w:left="7178" w:hanging="360"/>
      </w:pPr>
    </w:lvl>
    <w:lvl w:ilvl="8" w:tplc="040C001B" w:tentative="1">
      <w:start w:val="1"/>
      <w:numFmt w:val="lowerRoman"/>
      <w:lvlText w:val="%9."/>
      <w:lvlJc w:val="right"/>
      <w:pPr>
        <w:ind w:left="7898" w:hanging="180"/>
      </w:pPr>
    </w:lvl>
  </w:abstractNum>
  <w:num w:numId="1" w16cid:durableId="1996450934">
    <w:abstractNumId w:val="3"/>
  </w:num>
  <w:num w:numId="2" w16cid:durableId="1060519935">
    <w:abstractNumId w:val="1"/>
  </w:num>
  <w:num w:numId="3" w16cid:durableId="1878001967">
    <w:abstractNumId w:val="0"/>
  </w:num>
  <w:num w:numId="4" w16cid:durableId="1009963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30E"/>
    <w:rsid w:val="0000030E"/>
    <w:rsid w:val="00141484"/>
    <w:rsid w:val="002D5D12"/>
    <w:rsid w:val="004B784C"/>
    <w:rsid w:val="00540FC3"/>
    <w:rsid w:val="008A6181"/>
    <w:rsid w:val="00C06E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4160B"/>
  <w15:chartTrackingRefBased/>
  <w15:docId w15:val="{99CE9909-7702-4C57-801E-7E79F1B4A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30E"/>
    <w:pPr>
      <w:spacing w:after="200" w:line="276" w:lineRule="auto"/>
    </w:pPr>
    <w:rPr>
      <w:rFonts w:ascii="Calibri" w:eastAsia="Times New Roman" w:hAnsi="Calibri" w:cs="Times New Roman"/>
      <w:kern w:val="0"/>
      <w:lang w:eastAsia="fr-FR"/>
      <w14:ligatures w14:val="none"/>
    </w:rPr>
  </w:style>
  <w:style w:type="paragraph" w:styleId="Titre2">
    <w:name w:val="heading 2"/>
    <w:aliases w:val="SOUSPARTIE"/>
    <w:basedOn w:val="Normal"/>
    <w:next w:val="Normal"/>
    <w:link w:val="Titre2Car"/>
    <w:uiPriority w:val="9"/>
    <w:unhideWhenUsed/>
    <w:qFormat/>
    <w:rsid w:val="00540FC3"/>
    <w:pPr>
      <w:keepNext/>
      <w:numPr>
        <w:numId w:val="3"/>
      </w:numPr>
      <w:spacing w:before="120" w:after="60"/>
      <w:ind w:left="2705" w:hanging="360"/>
      <w:outlineLvl w:val="1"/>
    </w:pPr>
    <w:rPr>
      <w:rFonts w:eastAsiaTheme="majorEastAsia" w:cstheme="majorBidi"/>
      <w:b/>
      <w:bCs/>
      <w:iCs/>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ous-titre">
    <w:name w:val="Subtitle"/>
    <w:basedOn w:val="Normal"/>
    <w:next w:val="Normal"/>
    <w:link w:val="Sous-titreCar"/>
    <w:uiPriority w:val="11"/>
    <w:qFormat/>
    <w:rsid w:val="00C06E52"/>
    <w:pPr>
      <w:numPr>
        <w:numId w:val="1"/>
      </w:numPr>
      <w:spacing w:before="120"/>
    </w:pPr>
    <w:rPr>
      <w:rFonts w:eastAsiaTheme="minorEastAsia"/>
      <w:spacing w:val="15"/>
    </w:rPr>
  </w:style>
  <w:style w:type="character" w:customStyle="1" w:styleId="Sous-titreCar">
    <w:name w:val="Sous-titre Car"/>
    <w:basedOn w:val="Policepardfaut"/>
    <w:link w:val="Sous-titre"/>
    <w:uiPriority w:val="11"/>
    <w:rsid w:val="00C06E52"/>
    <w:rPr>
      <w:rFonts w:ascii="Times New Roman" w:eastAsiaTheme="minorEastAsia" w:hAnsi="Times New Roman"/>
      <w:spacing w:val="15"/>
      <w:sz w:val="24"/>
    </w:rPr>
  </w:style>
  <w:style w:type="character" w:customStyle="1" w:styleId="Titre2Car">
    <w:name w:val="Titre 2 Car"/>
    <w:aliases w:val="SOUSPARTIE Car"/>
    <w:basedOn w:val="Policepardfaut"/>
    <w:link w:val="Titre2"/>
    <w:uiPriority w:val="9"/>
    <w:rsid w:val="00540FC3"/>
    <w:rPr>
      <w:rFonts w:ascii="Times New Roman" w:eastAsiaTheme="majorEastAsia" w:hAnsi="Times New Roman" w:cstheme="majorBidi"/>
      <w:b/>
      <w:bCs/>
      <w:i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sciencedirect.com/science/article/abs/pii/S092575352200235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communitas.uqam.ca/la-pluralite-de-normativites-en-matiere-de-sante-et-de-securite-du-travail/" TargetMode="External"/><Relationship Id="rId5" Type="http://schemas.openxmlformats.org/officeDocument/2006/relationships/image" Target="media/image1.png"/><Relationship Id="rId10" Type="http://schemas.openxmlformats.org/officeDocument/2006/relationships/hyperlink" Target="https://www.centre-max-weber.fr/Reactions-a-risque-regards-croises-220" TargetMode="External"/><Relationship Id="rId4" Type="http://schemas.openxmlformats.org/officeDocument/2006/relationships/webSettings" Target="webSettings.xml"/><Relationship Id="rId9" Type="http://schemas.openxmlformats.org/officeDocument/2006/relationships/hyperlink" Target="https://fr.wikipedia.org/wiki/Journal_officiel_de_l%E2%80%99Union_europ%C3%A9enne"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797</Words>
  <Characters>4389</Characters>
  <Application>Microsoft Office Word</Application>
  <DocSecurity>0</DocSecurity>
  <Lines>36</Lines>
  <Paragraphs>10</Paragraphs>
  <ScaleCrop>false</ScaleCrop>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Michèle DUPRE</dc:creator>
  <cp:keywords/>
  <dc:description/>
  <cp:lastModifiedBy>Michèle DUPRE</cp:lastModifiedBy>
  <cp:revision>1</cp:revision>
  <dcterms:created xsi:type="dcterms:W3CDTF">2024-10-02T13:24:00Z</dcterms:created>
  <dcterms:modified xsi:type="dcterms:W3CDTF">2024-10-02T13:26:00Z</dcterms:modified>
</cp:coreProperties>
</file>