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EAE6" w14:textId="305D1499" w:rsidR="00794779" w:rsidRPr="00A66A1A" w:rsidRDefault="00794779" w:rsidP="00A66A1A">
      <w:pPr>
        <w:pStyle w:val="Tabletitle"/>
      </w:pPr>
      <w:r w:rsidRPr="00A66A1A">
        <w:t>Table 1. Details of methods used</w:t>
      </w:r>
      <w:r w:rsidR="00A66A1A" w:rsidRPr="00A66A1A">
        <w:t xml:space="preserve"> by participating laboratories.</w:t>
      </w:r>
    </w:p>
    <w:tbl>
      <w:tblPr>
        <w:tblW w:w="93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7"/>
        <w:gridCol w:w="2410"/>
        <w:gridCol w:w="2736"/>
        <w:gridCol w:w="2333"/>
      </w:tblGrid>
      <w:tr w:rsidR="00794779" w14:paraId="0FEE5E2E" w14:textId="77777777" w:rsidTr="009C08F2">
        <w:trPr>
          <w:trHeight w:val="276"/>
        </w:trPr>
        <w:tc>
          <w:tcPr>
            <w:tcW w:w="1917" w:type="dxa"/>
          </w:tcPr>
          <w:p w14:paraId="465725EA" w14:textId="77777777" w:rsidR="00794779" w:rsidRDefault="00794779" w:rsidP="00794779">
            <w:pPr>
              <w:spacing w:line="276" w:lineRule="auto"/>
            </w:pPr>
          </w:p>
        </w:tc>
        <w:tc>
          <w:tcPr>
            <w:tcW w:w="2410" w:type="dxa"/>
          </w:tcPr>
          <w:p w14:paraId="185649DE" w14:textId="02677B15" w:rsidR="00794779" w:rsidRDefault="007B7366" w:rsidP="007B7366">
            <w:pPr>
              <w:spacing w:line="276" w:lineRule="auto"/>
            </w:pPr>
            <w:r>
              <w:t>Laboratory 1</w:t>
            </w:r>
          </w:p>
        </w:tc>
        <w:tc>
          <w:tcPr>
            <w:tcW w:w="2736" w:type="dxa"/>
          </w:tcPr>
          <w:p w14:paraId="415C848B" w14:textId="464AC849" w:rsidR="00794779" w:rsidRDefault="00794779" w:rsidP="007B7366">
            <w:pPr>
              <w:spacing w:line="276" w:lineRule="auto"/>
            </w:pPr>
            <w:r>
              <w:t>Laboratory 2</w:t>
            </w:r>
          </w:p>
        </w:tc>
        <w:tc>
          <w:tcPr>
            <w:tcW w:w="2333" w:type="dxa"/>
          </w:tcPr>
          <w:p w14:paraId="1555997F" w14:textId="0BB8F59E" w:rsidR="00794779" w:rsidRDefault="00794779" w:rsidP="007B7366">
            <w:pPr>
              <w:spacing w:line="276" w:lineRule="auto"/>
            </w:pPr>
            <w:r>
              <w:t>Laboratory 3</w:t>
            </w:r>
          </w:p>
        </w:tc>
      </w:tr>
      <w:tr w:rsidR="00794779" w14:paraId="7836105C" w14:textId="77777777" w:rsidTr="009C08F2">
        <w:tc>
          <w:tcPr>
            <w:tcW w:w="1917" w:type="dxa"/>
          </w:tcPr>
          <w:p w14:paraId="469FB14D" w14:textId="77777777" w:rsidR="00794779" w:rsidRDefault="00794779" w:rsidP="00794779">
            <w:pPr>
              <w:spacing w:line="276" w:lineRule="auto"/>
            </w:pPr>
            <w:r>
              <w:t>RNA isolation method</w:t>
            </w:r>
          </w:p>
        </w:tc>
        <w:tc>
          <w:tcPr>
            <w:tcW w:w="2410" w:type="dxa"/>
          </w:tcPr>
          <w:p w14:paraId="77619F5A" w14:textId="77777777" w:rsidR="00794779" w:rsidRDefault="00794779" w:rsidP="00794779">
            <w:pPr>
              <w:spacing w:line="276" w:lineRule="auto"/>
            </w:pPr>
            <w:r w:rsidRPr="004C2DCD">
              <w:t>PAXgene Blood RNA Kit (Qiagen)</w:t>
            </w:r>
          </w:p>
        </w:tc>
        <w:tc>
          <w:tcPr>
            <w:tcW w:w="2736" w:type="dxa"/>
          </w:tcPr>
          <w:p w14:paraId="772B2B5D" w14:textId="77777777" w:rsidR="00794779" w:rsidRDefault="00794779" w:rsidP="00794779">
            <w:pPr>
              <w:spacing w:line="276" w:lineRule="auto"/>
            </w:pPr>
            <w:r>
              <w:t>PAXgene Blood RNA kit (Qiagen)</w:t>
            </w:r>
          </w:p>
        </w:tc>
        <w:tc>
          <w:tcPr>
            <w:tcW w:w="2333" w:type="dxa"/>
          </w:tcPr>
          <w:p w14:paraId="4E2B8FBC" w14:textId="4A8CDD97" w:rsidR="00794779" w:rsidRDefault="00794779" w:rsidP="00B71CE5">
            <w:pPr>
              <w:spacing w:line="276" w:lineRule="auto"/>
            </w:pPr>
            <w:r w:rsidRPr="00614B12">
              <w:t>PAXgene Blood RNA Kit (Qiagen)</w:t>
            </w:r>
          </w:p>
        </w:tc>
      </w:tr>
      <w:tr w:rsidR="00794779" w14:paraId="2EE85368" w14:textId="77777777" w:rsidTr="009C08F2">
        <w:tc>
          <w:tcPr>
            <w:tcW w:w="1917" w:type="dxa"/>
          </w:tcPr>
          <w:p w14:paraId="4D1E9D4C" w14:textId="77777777" w:rsidR="00794779" w:rsidRDefault="00794779" w:rsidP="00794779">
            <w:pPr>
              <w:spacing w:line="276" w:lineRule="auto"/>
            </w:pPr>
            <w:r>
              <w:t>cDNA synthesis method</w:t>
            </w:r>
          </w:p>
        </w:tc>
        <w:tc>
          <w:tcPr>
            <w:tcW w:w="2410" w:type="dxa"/>
          </w:tcPr>
          <w:p w14:paraId="2A853A76" w14:textId="77777777" w:rsidR="00794779" w:rsidRDefault="00794779" w:rsidP="00794779">
            <w:pPr>
              <w:spacing w:line="276" w:lineRule="auto"/>
            </w:pPr>
            <w:r>
              <w:t>High Capacity cDNA Reverse Transcription Kit (Thermo Fisher Scientific)</w:t>
            </w:r>
          </w:p>
        </w:tc>
        <w:tc>
          <w:tcPr>
            <w:tcW w:w="2736" w:type="dxa"/>
          </w:tcPr>
          <w:p w14:paraId="54209024" w14:textId="77777777" w:rsidR="00794779" w:rsidRDefault="00794779" w:rsidP="00794779">
            <w:pPr>
              <w:spacing w:line="276" w:lineRule="auto"/>
            </w:pPr>
            <w:r>
              <w:t>High Capacity cDNA Reverse Transcription Kit (Thermo Fisher Scientific)</w:t>
            </w:r>
          </w:p>
        </w:tc>
        <w:tc>
          <w:tcPr>
            <w:tcW w:w="2333" w:type="dxa"/>
          </w:tcPr>
          <w:p w14:paraId="004695AA" w14:textId="0783B59B" w:rsidR="00794779" w:rsidRDefault="00794779" w:rsidP="00794779">
            <w:pPr>
              <w:spacing w:line="276" w:lineRule="auto"/>
            </w:pPr>
            <w:r w:rsidRPr="00614B12">
              <w:t>High Capacity cDNA Reverse Transcription Kit (Thermo Fisher Scientific)</w:t>
            </w:r>
          </w:p>
        </w:tc>
      </w:tr>
      <w:tr w:rsidR="00794779" w14:paraId="497781F9" w14:textId="77777777" w:rsidTr="009C08F2">
        <w:tc>
          <w:tcPr>
            <w:tcW w:w="1917" w:type="dxa"/>
          </w:tcPr>
          <w:p w14:paraId="21D47C8D" w14:textId="77777777" w:rsidR="00794779" w:rsidRDefault="00794779" w:rsidP="00794779">
            <w:pPr>
              <w:spacing w:line="276" w:lineRule="auto"/>
            </w:pPr>
            <w:r>
              <w:t>qPCR kit/mastermix</w:t>
            </w:r>
          </w:p>
        </w:tc>
        <w:tc>
          <w:tcPr>
            <w:tcW w:w="2410" w:type="dxa"/>
          </w:tcPr>
          <w:p w14:paraId="6FBADED3" w14:textId="77777777" w:rsidR="00794779" w:rsidRDefault="00794779" w:rsidP="00794779">
            <w:pPr>
              <w:spacing w:line="276" w:lineRule="auto"/>
            </w:pPr>
            <w:r>
              <w:t>TaqMan Universal Master Mix II, no UNG (Thermo Fisher Scientific)</w:t>
            </w:r>
          </w:p>
        </w:tc>
        <w:tc>
          <w:tcPr>
            <w:tcW w:w="2736" w:type="dxa"/>
          </w:tcPr>
          <w:p w14:paraId="6F0327EE" w14:textId="7DD7603A" w:rsidR="00794779" w:rsidRDefault="00794779" w:rsidP="003105B3">
            <w:pPr>
              <w:spacing w:line="276" w:lineRule="auto"/>
            </w:pPr>
            <w:r w:rsidRPr="001B01A7">
              <w:rPr>
                <w:lang w:val="fr-FR"/>
              </w:rPr>
              <w:t xml:space="preserve">PerfeCTa Multiplex qPCR SuperMix (Quanta Biosciences Inc. </w:t>
            </w:r>
            <w:r>
              <w:t>Gaithersburg, MD, USA)</w:t>
            </w:r>
          </w:p>
        </w:tc>
        <w:tc>
          <w:tcPr>
            <w:tcW w:w="2333" w:type="dxa"/>
          </w:tcPr>
          <w:p w14:paraId="671FC939" w14:textId="77777777" w:rsidR="00794779" w:rsidRDefault="00794779" w:rsidP="00794779">
            <w:pPr>
              <w:spacing w:line="276" w:lineRule="auto"/>
            </w:pPr>
            <w:r w:rsidRPr="00614B12">
              <w:t>TaqMan Universal Master Mix</w:t>
            </w:r>
            <w:r>
              <w:t xml:space="preserve"> </w:t>
            </w:r>
            <w:r w:rsidRPr="00614B12">
              <w:t>(Thermo Fisher Scientific)</w:t>
            </w:r>
          </w:p>
        </w:tc>
      </w:tr>
      <w:tr w:rsidR="00794779" w14:paraId="0DCCAF1E" w14:textId="77777777" w:rsidTr="009C08F2">
        <w:tc>
          <w:tcPr>
            <w:tcW w:w="1917" w:type="dxa"/>
          </w:tcPr>
          <w:p w14:paraId="08C20760" w14:textId="5E9534D7" w:rsidR="00794779" w:rsidRDefault="009C08F2" w:rsidP="009C08F2">
            <w:pPr>
              <w:spacing w:line="276" w:lineRule="auto"/>
            </w:pPr>
            <w:r>
              <w:t xml:space="preserve">Primers and probes for </w:t>
            </w:r>
            <w:r w:rsidR="00794779">
              <w:t xml:space="preserve">FDXR </w:t>
            </w:r>
          </w:p>
        </w:tc>
        <w:tc>
          <w:tcPr>
            <w:tcW w:w="2410" w:type="dxa"/>
          </w:tcPr>
          <w:p w14:paraId="16A1A028" w14:textId="65E46571" w:rsidR="00794779" w:rsidRDefault="009C08F2" w:rsidP="00794779">
            <w:pPr>
              <w:tabs>
                <w:tab w:val="left" w:pos="530"/>
              </w:tabs>
              <w:spacing w:line="276" w:lineRule="auto"/>
            </w:pPr>
            <w:r>
              <w:t xml:space="preserve">TaqMan assay </w:t>
            </w:r>
            <w:r w:rsidR="00794779">
              <w:t>Hs00244586_m1</w:t>
            </w:r>
          </w:p>
        </w:tc>
        <w:tc>
          <w:tcPr>
            <w:tcW w:w="2736" w:type="dxa"/>
          </w:tcPr>
          <w:p w14:paraId="630C921E" w14:textId="77777777" w:rsidR="00794779" w:rsidRPr="00FE019E" w:rsidRDefault="00FE019E" w:rsidP="00FE019E">
            <w:pPr>
              <w:tabs>
                <w:tab w:val="left" w:pos="530"/>
              </w:tabs>
              <w:spacing w:line="276" w:lineRule="auto"/>
              <w:rPr>
                <w:sz w:val="20"/>
                <w:szCs w:val="20"/>
              </w:rPr>
            </w:pPr>
            <w:r>
              <w:t xml:space="preserve">Primer F: </w:t>
            </w:r>
            <w:r w:rsidRPr="00FE019E">
              <w:rPr>
                <w:sz w:val="20"/>
                <w:szCs w:val="20"/>
              </w:rPr>
              <w:t>GTACAACGGGCTTCCTGAGA</w:t>
            </w:r>
          </w:p>
          <w:p w14:paraId="02C21FB4" w14:textId="77777777" w:rsidR="00FE019E" w:rsidRPr="00FE019E" w:rsidRDefault="00FE019E" w:rsidP="00FE019E">
            <w:pPr>
              <w:tabs>
                <w:tab w:val="left" w:pos="530"/>
              </w:tabs>
              <w:spacing w:line="276" w:lineRule="auto"/>
              <w:rPr>
                <w:sz w:val="20"/>
                <w:szCs w:val="20"/>
              </w:rPr>
            </w:pPr>
            <w:r>
              <w:t xml:space="preserve">Primer R: </w:t>
            </w:r>
            <w:r w:rsidRPr="00FE019E">
              <w:rPr>
                <w:sz w:val="20"/>
                <w:szCs w:val="20"/>
              </w:rPr>
              <w:t>CTCAGGTGGGGTCAGTAGGA</w:t>
            </w:r>
          </w:p>
          <w:p w14:paraId="5189CD70" w14:textId="25FB1381" w:rsidR="00FE019E" w:rsidRDefault="00FE019E" w:rsidP="00FE019E">
            <w:pPr>
              <w:tabs>
                <w:tab w:val="left" w:pos="530"/>
              </w:tabs>
              <w:spacing w:line="276" w:lineRule="auto"/>
            </w:pPr>
            <w:r>
              <w:t xml:space="preserve">Probe: </w:t>
            </w:r>
            <w:r w:rsidRPr="00FE019E">
              <w:rPr>
                <w:sz w:val="20"/>
                <w:szCs w:val="20"/>
              </w:rPr>
              <w:t>CGGGCCACGTCCAGAGCCA</w:t>
            </w:r>
          </w:p>
        </w:tc>
        <w:tc>
          <w:tcPr>
            <w:tcW w:w="2333" w:type="dxa"/>
          </w:tcPr>
          <w:p w14:paraId="2E9B104A" w14:textId="06148056" w:rsidR="00794779" w:rsidRDefault="009C08F2" w:rsidP="00794779">
            <w:pPr>
              <w:spacing w:line="276" w:lineRule="auto"/>
            </w:pPr>
            <w:r>
              <w:t xml:space="preserve">TaqMan assay </w:t>
            </w:r>
            <w:r w:rsidR="00794779">
              <w:t>Hs</w:t>
            </w:r>
            <w:r w:rsidR="00794779" w:rsidRPr="00614B12">
              <w:t>01031617_m1</w:t>
            </w:r>
          </w:p>
        </w:tc>
      </w:tr>
      <w:tr w:rsidR="00794779" w14:paraId="04784575" w14:textId="77777777" w:rsidTr="009C08F2">
        <w:tc>
          <w:tcPr>
            <w:tcW w:w="1917" w:type="dxa"/>
          </w:tcPr>
          <w:p w14:paraId="0066C946" w14:textId="1D19126B" w:rsidR="00794779" w:rsidRDefault="009C08F2" w:rsidP="009C08F2">
            <w:pPr>
              <w:spacing w:line="276" w:lineRule="auto"/>
            </w:pPr>
            <w:r w:rsidRPr="009C08F2">
              <w:t>Primers and probe</w:t>
            </w:r>
            <w:r>
              <w:t>s</w:t>
            </w:r>
            <w:r w:rsidRPr="009C08F2">
              <w:t xml:space="preserve"> for </w:t>
            </w:r>
            <w:r>
              <w:t>reference gene</w:t>
            </w:r>
          </w:p>
        </w:tc>
        <w:tc>
          <w:tcPr>
            <w:tcW w:w="2410" w:type="dxa"/>
          </w:tcPr>
          <w:p w14:paraId="02443ED3" w14:textId="5B8C2660" w:rsidR="00794779" w:rsidRDefault="009C08F2" w:rsidP="00794779">
            <w:pPr>
              <w:spacing w:line="276" w:lineRule="auto"/>
            </w:pPr>
            <w:r>
              <w:t xml:space="preserve">TaqMan assay </w:t>
            </w:r>
            <w:r w:rsidR="00794779">
              <w:t xml:space="preserve">Hs00229263_m1 (ITFG1) </w:t>
            </w:r>
          </w:p>
        </w:tc>
        <w:tc>
          <w:tcPr>
            <w:tcW w:w="2736" w:type="dxa"/>
          </w:tcPr>
          <w:p w14:paraId="4BFCB2EF" w14:textId="257DB130" w:rsidR="00794779" w:rsidRDefault="00240D4D" w:rsidP="00240D4D">
            <w:pPr>
              <w:spacing w:line="276" w:lineRule="auto"/>
            </w:pPr>
            <w:r>
              <w:t>(</w:t>
            </w:r>
            <w:r w:rsidR="00FE019E">
              <w:t>HPRT1</w:t>
            </w:r>
            <w:r>
              <w:t>)</w:t>
            </w:r>
          </w:p>
          <w:p w14:paraId="3A459CF2" w14:textId="77777777" w:rsidR="00FE019E" w:rsidRPr="00240D4D" w:rsidRDefault="00FE019E" w:rsidP="00240D4D">
            <w:pPr>
              <w:spacing w:line="276" w:lineRule="auto"/>
              <w:rPr>
                <w:sz w:val="20"/>
                <w:szCs w:val="20"/>
              </w:rPr>
            </w:pPr>
            <w:r>
              <w:t xml:space="preserve">Primer F: </w:t>
            </w:r>
            <w:r w:rsidRPr="00240D4D">
              <w:rPr>
                <w:sz w:val="20"/>
                <w:szCs w:val="20"/>
              </w:rPr>
              <w:t>TCAGGCAGTATAATCCAAAGATGGT</w:t>
            </w:r>
          </w:p>
          <w:p w14:paraId="57F1B20B" w14:textId="77777777" w:rsidR="00FE019E" w:rsidRPr="00240D4D" w:rsidRDefault="00FE019E" w:rsidP="00240D4D">
            <w:pPr>
              <w:spacing w:line="276" w:lineRule="auto"/>
              <w:rPr>
                <w:sz w:val="20"/>
                <w:szCs w:val="20"/>
              </w:rPr>
            </w:pPr>
            <w:r>
              <w:t xml:space="preserve">Primer R: </w:t>
            </w:r>
            <w:r w:rsidRPr="00240D4D">
              <w:rPr>
                <w:sz w:val="20"/>
                <w:szCs w:val="20"/>
              </w:rPr>
              <w:t>AGTCTGGCTTATATCCAACACTTCG</w:t>
            </w:r>
          </w:p>
          <w:p w14:paraId="6E483FB6" w14:textId="77777777" w:rsidR="00FE019E" w:rsidRDefault="00FE019E" w:rsidP="00240D4D">
            <w:pPr>
              <w:spacing w:line="276" w:lineRule="auto"/>
            </w:pPr>
            <w:r>
              <w:t>Probe:</w:t>
            </w:r>
          </w:p>
          <w:p w14:paraId="0F2AE791" w14:textId="7751105E" w:rsidR="00FE019E" w:rsidRPr="00240D4D" w:rsidRDefault="00240D4D" w:rsidP="00FE019E">
            <w:pPr>
              <w:spacing w:line="276" w:lineRule="auto"/>
              <w:rPr>
                <w:sz w:val="20"/>
                <w:szCs w:val="20"/>
              </w:rPr>
            </w:pPr>
            <w:r w:rsidRPr="00240D4D">
              <w:rPr>
                <w:sz w:val="20"/>
                <w:szCs w:val="20"/>
              </w:rPr>
              <w:t>CGCAAGCTTGCTGGTGAAAAGGACCC</w:t>
            </w:r>
          </w:p>
        </w:tc>
        <w:tc>
          <w:tcPr>
            <w:tcW w:w="2333" w:type="dxa"/>
          </w:tcPr>
          <w:p w14:paraId="587FA07F" w14:textId="77777777" w:rsidR="009C08F2" w:rsidRDefault="009C08F2" w:rsidP="009C08F2">
            <w:pPr>
              <w:spacing w:line="276" w:lineRule="auto"/>
            </w:pPr>
            <w:r>
              <w:t>TaqMan assay Hs</w:t>
            </w:r>
            <w:r w:rsidR="00512B86" w:rsidRPr="00512B86">
              <w:t>99999901_s1</w:t>
            </w:r>
            <w:r w:rsidR="00B71CE5">
              <w:t xml:space="preserve"> </w:t>
            </w:r>
          </w:p>
          <w:p w14:paraId="7C026F64" w14:textId="333CFF6E" w:rsidR="00794779" w:rsidRDefault="00B71CE5" w:rsidP="00B71CE5">
            <w:pPr>
              <w:spacing w:line="276" w:lineRule="auto"/>
            </w:pPr>
            <w:r>
              <w:t>(18S rRNA)</w:t>
            </w:r>
          </w:p>
        </w:tc>
      </w:tr>
      <w:tr w:rsidR="00794779" w:rsidRPr="008353A6" w14:paraId="7712F153" w14:textId="77777777" w:rsidTr="009C08F2">
        <w:tc>
          <w:tcPr>
            <w:tcW w:w="1917" w:type="dxa"/>
          </w:tcPr>
          <w:p w14:paraId="150D4770" w14:textId="64C122A6" w:rsidR="00794779" w:rsidRDefault="00794779" w:rsidP="00794779">
            <w:pPr>
              <w:spacing w:line="276" w:lineRule="auto"/>
            </w:pPr>
            <w:r>
              <w:t>PCR conditions</w:t>
            </w:r>
          </w:p>
        </w:tc>
        <w:tc>
          <w:tcPr>
            <w:tcW w:w="2410" w:type="dxa"/>
          </w:tcPr>
          <w:p w14:paraId="397A546D" w14:textId="77777777" w:rsidR="00794779" w:rsidRPr="0007300C" w:rsidRDefault="00794779" w:rsidP="00794779">
            <w:pPr>
              <w:spacing w:line="276" w:lineRule="auto"/>
              <w:rPr>
                <w:lang w:val="pl-PL"/>
              </w:rPr>
            </w:pPr>
            <w:r w:rsidRPr="00442DD4">
              <w:rPr>
                <w:lang w:val="pl-PL"/>
              </w:rPr>
              <w:t>1x/95°C/10min, 40x/95°C/15s, 60°C/1min</w:t>
            </w:r>
          </w:p>
        </w:tc>
        <w:tc>
          <w:tcPr>
            <w:tcW w:w="2736" w:type="dxa"/>
          </w:tcPr>
          <w:p w14:paraId="2505B10A" w14:textId="77777777" w:rsidR="00794779" w:rsidRDefault="00794779" w:rsidP="00B71CE5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1x/95</w:t>
            </w:r>
            <w:r w:rsidRPr="008450FB">
              <w:rPr>
                <w:vertAlign w:val="superscript"/>
                <w:lang w:val="pl-PL"/>
              </w:rPr>
              <w:t>o</w:t>
            </w:r>
            <w:r>
              <w:rPr>
                <w:lang w:val="pl-PL"/>
              </w:rPr>
              <w:t>C/2min,</w:t>
            </w:r>
          </w:p>
          <w:p w14:paraId="6665A57F" w14:textId="77777777" w:rsidR="00794779" w:rsidRDefault="00794779" w:rsidP="00794779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45x/95</w:t>
            </w:r>
            <w:r w:rsidRPr="0063430B">
              <w:rPr>
                <w:vertAlign w:val="superscript"/>
                <w:lang w:val="pl-PL"/>
              </w:rPr>
              <w:t>o</w:t>
            </w:r>
            <w:r>
              <w:rPr>
                <w:lang w:val="pl-PL"/>
              </w:rPr>
              <w:t>C/10s, 60</w:t>
            </w:r>
            <w:r w:rsidRPr="0063430B">
              <w:rPr>
                <w:vertAlign w:val="superscript"/>
                <w:lang w:val="pl-PL"/>
              </w:rPr>
              <w:t>o</w:t>
            </w:r>
            <w:r>
              <w:rPr>
                <w:lang w:val="pl-PL"/>
              </w:rPr>
              <w:t>C/1min</w:t>
            </w:r>
          </w:p>
          <w:p w14:paraId="648AE34F" w14:textId="77777777" w:rsidR="00794779" w:rsidRPr="00442DD4" w:rsidRDefault="00794779" w:rsidP="00794779">
            <w:pPr>
              <w:spacing w:line="276" w:lineRule="auto"/>
              <w:rPr>
                <w:lang w:val="pl-PL"/>
              </w:rPr>
            </w:pPr>
          </w:p>
        </w:tc>
        <w:tc>
          <w:tcPr>
            <w:tcW w:w="2333" w:type="dxa"/>
          </w:tcPr>
          <w:p w14:paraId="3F3F364D" w14:textId="5429CD46" w:rsidR="00794779" w:rsidRPr="00442DD4" w:rsidRDefault="00794779" w:rsidP="00B71CE5">
            <w:pPr>
              <w:spacing w:line="276" w:lineRule="auto"/>
              <w:rPr>
                <w:lang w:val="pl-PL"/>
              </w:rPr>
            </w:pPr>
            <w:r w:rsidRPr="0007300C">
              <w:rPr>
                <w:lang w:val="pl-PL"/>
              </w:rPr>
              <w:t>1×/50°C/2min, 1x/95°C/10min, 40x/95°C/</w:t>
            </w:r>
            <w:r w:rsidR="00B71CE5">
              <w:rPr>
                <w:lang w:val="pl-PL"/>
              </w:rPr>
              <w:t>15s,</w:t>
            </w:r>
            <w:r w:rsidRPr="0007300C">
              <w:rPr>
                <w:lang w:val="pl-PL"/>
              </w:rPr>
              <w:t xml:space="preserve"> 60°C/1min</w:t>
            </w:r>
          </w:p>
        </w:tc>
      </w:tr>
      <w:tr w:rsidR="00794779" w14:paraId="1ECB84DB" w14:textId="77777777" w:rsidTr="009C08F2">
        <w:tc>
          <w:tcPr>
            <w:tcW w:w="1917" w:type="dxa"/>
          </w:tcPr>
          <w:p w14:paraId="2CC0F6B0" w14:textId="77777777" w:rsidR="00794779" w:rsidRDefault="00794779" w:rsidP="00794779">
            <w:pPr>
              <w:spacing w:line="276" w:lineRule="auto"/>
            </w:pPr>
            <w:r>
              <w:t>Detection system</w:t>
            </w:r>
          </w:p>
          <w:p w14:paraId="01C4893F" w14:textId="77777777" w:rsidR="00794779" w:rsidRDefault="00794779" w:rsidP="00794779">
            <w:pPr>
              <w:spacing w:line="276" w:lineRule="auto"/>
            </w:pPr>
          </w:p>
        </w:tc>
        <w:tc>
          <w:tcPr>
            <w:tcW w:w="2410" w:type="dxa"/>
          </w:tcPr>
          <w:p w14:paraId="6BD1D80D" w14:textId="77777777" w:rsidR="00794779" w:rsidRDefault="00794779" w:rsidP="00794779">
            <w:pPr>
              <w:spacing w:line="276" w:lineRule="auto"/>
            </w:pPr>
            <w:r>
              <w:t>7500 Real-Time PCR System (Thermo Fisher Scientific)</w:t>
            </w:r>
          </w:p>
        </w:tc>
        <w:tc>
          <w:tcPr>
            <w:tcW w:w="2736" w:type="dxa"/>
          </w:tcPr>
          <w:p w14:paraId="6C5A6455" w14:textId="77777777" w:rsidR="00794779" w:rsidRDefault="00794779" w:rsidP="00794779">
            <w:pPr>
              <w:spacing w:line="276" w:lineRule="auto"/>
            </w:pPr>
            <w:r>
              <w:t>Rotor-Gene Q (Qiagen)</w:t>
            </w:r>
          </w:p>
        </w:tc>
        <w:tc>
          <w:tcPr>
            <w:tcW w:w="2333" w:type="dxa"/>
          </w:tcPr>
          <w:p w14:paraId="7109C4B0" w14:textId="00A39047" w:rsidR="00794779" w:rsidRDefault="00794779" w:rsidP="00B71CE5">
            <w:pPr>
              <w:spacing w:line="276" w:lineRule="auto"/>
            </w:pPr>
            <w:r w:rsidRPr="00064055">
              <w:t>QuantStudio 12K OA Real-Time PCR System (ThermoFisher Scientific)</w:t>
            </w:r>
          </w:p>
        </w:tc>
      </w:tr>
    </w:tbl>
    <w:p w14:paraId="035327F2" w14:textId="77777777" w:rsidR="000356A1" w:rsidRPr="00A66A1A" w:rsidRDefault="000356A1" w:rsidP="00A66A1A">
      <w:pPr>
        <w:pStyle w:val="Tabletitle"/>
      </w:pPr>
      <w:bookmarkStart w:id="0" w:name="_GoBack"/>
      <w:bookmarkEnd w:id="0"/>
      <w:r w:rsidRPr="00A66A1A">
        <w:lastRenderedPageBreak/>
        <w:t xml:space="preserve">Table 2. Dose estimates of blind samples calculated from FDXR expression data generated independently by three laboratories. </w:t>
      </w:r>
    </w:p>
    <w:tbl>
      <w:tblPr>
        <w:tblW w:w="716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305"/>
        <w:gridCol w:w="1305"/>
        <w:gridCol w:w="1260"/>
        <w:gridCol w:w="2160"/>
      </w:tblGrid>
      <w:tr w:rsidR="000356A1" w14:paraId="5C2540B2" w14:textId="77777777" w:rsidTr="00006868">
        <w:trPr>
          <w:trHeight w:val="269"/>
        </w:trPr>
        <w:tc>
          <w:tcPr>
            <w:tcW w:w="1134" w:type="dxa"/>
            <w:vMerge w:val="restart"/>
            <w:vAlign w:val="center"/>
          </w:tcPr>
          <w:p w14:paraId="28302E88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Sample</w:t>
            </w:r>
          </w:p>
        </w:tc>
        <w:tc>
          <w:tcPr>
            <w:tcW w:w="3870" w:type="dxa"/>
            <w:gridSpan w:val="3"/>
            <w:vAlign w:val="center"/>
          </w:tcPr>
          <w:p w14:paraId="5B75D30D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Estimated dose (Gy)</w:t>
            </w:r>
          </w:p>
        </w:tc>
        <w:tc>
          <w:tcPr>
            <w:tcW w:w="2160" w:type="dxa"/>
            <w:vMerge w:val="restart"/>
            <w:vAlign w:val="center"/>
          </w:tcPr>
          <w:p w14:paraId="522E7AAE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True dose (Gy)</w:t>
            </w:r>
          </w:p>
        </w:tc>
      </w:tr>
      <w:tr w:rsidR="000356A1" w14:paraId="203A43EA" w14:textId="77777777" w:rsidTr="00006868">
        <w:tc>
          <w:tcPr>
            <w:tcW w:w="1134" w:type="dxa"/>
            <w:vMerge/>
            <w:vAlign w:val="center"/>
          </w:tcPr>
          <w:p w14:paraId="1C2FE48D" w14:textId="77777777" w:rsidR="000356A1" w:rsidRPr="008339BD" w:rsidRDefault="000356A1" w:rsidP="0003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745FC0AC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Lab 1</w:t>
            </w:r>
          </w:p>
        </w:tc>
        <w:tc>
          <w:tcPr>
            <w:tcW w:w="1305" w:type="dxa"/>
            <w:vAlign w:val="center"/>
          </w:tcPr>
          <w:p w14:paraId="186F8351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Lab 2</w:t>
            </w:r>
          </w:p>
        </w:tc>
        <w:tc>
          <w:tcPr>
            <w:tcW w:w="1260" w:type="dxa"/>
            <w:vAlign w:val="center"/>
          </w:tcPr>
          <w:p w14:paraId="090D856F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Lab 3*</w:t>
            </w:r>
          </w:p>
        </w:tc>
        <w:tc>
          <w:tcPr>
            <w:tcW w:w="2160" w:type="dxa"/>
            <w:vMerge/>
            <w:vAlign w:val="center"/>
          </w:tcPr>
          <w:p w14:paraId="66C49FFB" w14:textId="77777777" w:rsidR="000356A1" w:rsidRDefault="000356A1" w:rsidP="0003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0356A1" w14:paraId="07C4F76D" w14:textId="77777777" w:rsidTr="00006868">
        <w:trPr>
          <w:trHeight w:val="354"/>
        </w:trPr>
        <w:tc>
          <w:tcPr>
            <w:tcW w:w="1134" w:type="dxa"/>
            <w:vAlign w:val="center"/>
          </w:tcPr>
          <w:p w14:paraId="764C38C7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05" w:type="dxa"/>
            <w:vAlign w:val="center"/>
          </w:tcPr>
          <w:p w14:paraId="652B2326" w14:textId="77777777" w:rsidR="000356A1" w:rsidRDefault="000356A1" w:rsidP="000356A1">
            <w:pPr>
              <w:spacing w:line="276" w:lineRule="auto"/>
              <w:jc w:val="center"/>
            </w:pPr>
            <w:r>
              <w:t>2.011</w:t>
            </w:r>
          </w:p>
        </w:tc>
        <w:tc>
          <w:tcPr>
            <w:tcW w:w="1305" w:type="dxa"/>
            <w:vAlign w:val="center"/>
          </w:tcPr>
          <w:p w14:paraId="42F0688F" w14:textId="77777777" w:rsidR="000356A1" w:rsidRDefault="000356A1" w:rsidP="000356A1">
            <w:pPr>
              <w:spacing w:line="276" w:lineRule="auto"/>
              <w:jc w:val="center"/>
            </w:pPr>
            <w:r>
              <w:t>1.737</w:t>
            </w:r>
          </w:p>
        </w:tc>
        <w:tc>
          <w:tcPr>
            <w:tcW w:w="1260" w:type="dxa"/>
            <w:vAlign w:val="center"/>
          </w:tcPr>
          <w:p w14:paraId="1BE8042D" w14:textId="77777777" w:rsidR="000356A1" w:rsidRDefault="000356A1" w:rsidP="000356A1">
            <w:pPr>
              <w:spacing w:line="276" w:lineRule="auto"/>
              <w:jc w:val="center"/>
            </w:pPr>
            <w:r>
              <w:t>1.198</w:t>
            </w:r>
          </w:p>
        </w:tc>
        <w:tc>
          <w:tcPr>
            <w:tcW w:w="2160" w:type="dxa"/>
            <w:vAlign w:val="center"/>
          </w:tcPr>
          <w:p w14:paraId="2EF4FE1A" w14:textId="77777777" w:rsidR="000356A1" w:rsidRDefault="000356A1" w:rsidP="000356A1">
            <w:pPr>
              <w:spacing w:line="276" w:lineRule="auto"/>
              <w:jc w:val="center"/>
            </w:pPr>
            <w:r>
              <w:t>1.800</w:t>
            </w:r>
          </w:p>
        </w:tc>
      </w:tr>
      <w:tr w:rsidR="000356A1" w14:paraId="7B49FFCC" w14:textId="77777777" w:rsidTr="00006868">
        <w:tc>
          <w:tcPr>
            <w:tcW w:w="1134" w:type="dxa"/>
            <w:vAlign w:val="center"/>
          </w:tcPr>
          <w:p w14:paraId="2A54CB1E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B</w:t>
            </w:r>
          </w:p>
        </w:tc>
        <w:tc>
          <w:tcPr>
            <w:tcW w:w="1305" w:type="dxa"/>
            <w:vAlign w:val="center"/>
          </w:tcPr>
          <w:p w14:paraId="1201126C" w14:textId="77777777" w:rsidR="000356A1" w:rsidRDefault="000356A1" w:rsidP="000356A1">
            <w:pPr>
              <w:spacing w:line="276" w:lineRule="auto"/>
              <w:jc w:val="center"/>
            </w:pPr>
            <w:r>
              <w:t>0.024</w:t>
            </w:r>
          </w:p>
        </w:tc>
        <w:tc>
          <w:tcPr>
            <w:tcW w:w="1305" w:type="dxa"/>
            <w:vAlign w:val="center"/>
          </w:tcPr>
          <w:p w14:paraId="4E2C6883" w14:textId="77777777" w:rsidR="000356A1" w:rsidRDefault="000356A1" w:rsidP="000356A1">
            <w:pPr>
              <w:spacing w:line="276" w:lineRule="auto"/>
              <w:jc w:val="center"/>
            </w:pPr>
            <w:r>
              <w:t>0.020</w:t>
            </w:r>
          </w:p>
        </w:tc>
        <w:tc>
          <w:tcPr>
            <w:tcW w:w="1260" w:type="dxa"/>
            <w:vAlign w:val="center"/>
          </w:tcPr>
          <w:p w14:paraId="18B25B09" w14:textId="77777777" w:rsidR="000356A1" w:rsidRDefault="000356A1" w:rsidP="000356A1">
            <w:pPr>
              <w:spacing w:line="276" w:lineRule="auto"/>
              <w:jc w:val="center"/>
            </w:pPr>
            <w:r>
              <w:t>0.023</w:t>
            </w:r>
          </w:p>
        </w:tc>
        <w:tc>
          <w:tcPr>
            <w:tcW w:w="2160" w:type="dxa"/>
            <w:vAlign w:val="center"/>
          </w:tcPr>
          <w:p w14:paraId="0D5B1BE6" w14:textId="77777777" w:rsidR="000356A1" w:rsidRDefault="000356A1" w:rsidP="000356A1">
            <w:pPr>
              <w:spacing w:line="276" w:lineRule="auto"/>
              <w:jc w:val="center"/>
            </w:pPr>
            <w:r>
              <w:t>0.000</w:t>
            </w:r>
          </w:p>
        </w:tc>
      </w:tr>
      <w:tr w:rsidR="000356A1" w14:paraId="233C763D" w14:textId="77777777" w:rsidTr="00006868">
        <w:tc>
          <w:tcPr>
            <w:tcW w:w="1134" w:type="dxa"/>
            <w:vAlign w:val="center"/>
          </w:tcPr>
          <w:p w14:paraId="60E72C9E" w14:textId="77777777" w:rsidR="000356A1" w:rsidRPr="008339BD" w:rsidRDefault="000356A1" w:rsidP="000356A1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C</w:t>
            </w:r>
          </w:p>
        </w:tc>
        <w:tc>
          <w:tcPr>
            <w:tcW w:w="1305" w:type="dxa"/>
            <w:vAlign w:val="center"/>
          </w:tcPr>
          <w:p w14:paraId="1FA79ED0" w14:textId="77777777" w:rsidR="000356A1" w:rsidRDefault="000356A1" w:rsidP="000356A1">
            <w:pPr>
              <w:spacing w:line="276" w:lineRule="auto"/>
              <w:jc w:val="center"/>
            </w:pPr>
            <w:r>
              <w:t>0.381</w:t>
            </w:r>
          </w:p>
        </w:tc>
        <w:tc>
          <w:tcPr>
            <w:tcW w:w="1305" w:type="dxa"/>
            <w:vAlign w:val="center"/>
          </w:tcPr>
          <w:p w14:paraId="7C845D3D" w14:textId="77777777" w:rsidR="000356A1" w:rsidRDefault="000356A1" w:rsidP="000356A1">
            <w:pPr>
              <w:spacing w:line="276" w:lineRule="auto"/>
              <w:jc w:val="center"/>
            </w:pPr>
            <w:r>
              <w:t>0.369</w:t>
            </w:r>
          </w:p>
        </w:tc>
        <w:tc>
          <w:tcPr>
            <w:tcW w:w="1260" w:type="dxa"/>
            <w:vAlign w:val="center"/>
          </w:tcPr>
          <w:p w14:paraId="7CF9D887" w14:textId="77777777" w:rsidR="000356A1" w:rsidRDefault="000356A1" w:rsidP="000356A1">
            <w:pPr>
              <w:spacing w:line="276" w:lineRule="auto"/>
              <w:jc w:val="center"/>
            </w:pPr>
            <w:r>
              <w:t>0.373</w:t>
            </w:r>
          </w:p>
        </w:tc>
        <w:tc>
          <w:tcPr>
            <w:tcW w:w="2160" w:type="dxa"/>
            <w:vAlign w:val="center"/>
          </w:tcPr>
          <w:p w14:paraId="17F4BE7D" w14:textId="77777777" w:rsidR="000356A1" w:rsidRDefault="000356A1" w:rsidP="000356A1">
            <w:pPr>
              <w:spacing w:line="276" w:lineRule="auto"/>
              <w:jc w:val="center"/>
            </w:pPr>
            <w:r>
              <w:t>0.400</w:t>
            </w:r>
          </w:p>
        </w:tc>
      </w:tr>
    </w:tbl>
    <w:p w14:paraId="6190B7CF" w14:textId="77777777" w:rsidR="000356A1" w:rsidRPr="00A66A1A" w:rsidRDefault="000356A1" w:rsidP="00A66A1A">
      <w:pPr>
        <w:pStyle w:val="Tabletitle"/>
      </w:pPr>
      <w:r w:rsidRPr="00A66A1A">
        <w:t>* In the case of Lab 3, the calibration curve without 2 Gy dose point was used to calculate dose estimates (see Figure 1 data).</w:t>
      </w:r>
    </w:p>
    <w:p w14:paraId="00421578" w14:textId="77777777" w:rsidR="000356A1" w:rsidRDefault="000356A1" w:rsidP="006617FA">
      <w:pPr>
        <w:spacing w:line="360" w:lineRule="auto"/>
      </w:pPr>
    </w:p>
    <w:p w14:paraId="3A238596" w14:textId="77777777" w:rsidR="00EB6982" w:rsidRDefault="00EB6982" w:rsidP="006617FA">
      <w:pPr>
        <w:spacing w:line="360" w:lineRule="auto"/>
      </w:pPr>
    </w:p>
    <w:p w14:paraId="7FC8A2B5" w14:textId="77777777" w:rsidR="00EB6982" w:rsidRDefault="00EB6982" w:rsidP="006617FA">
      <w:pPr>
        <w:spacing w:line="360" w:lineRule="auto"/>
      </w:pPr>
    </w:p>
    <w:p w14:paraId="3C38A384" w14:textId="77777777" w:rsidR="00EB6982" w:rsidRDefault="00EB6982" w:rsidP="006617FA">
      <w:pPr>
        <w:spacing w:line="360" w:lineRule="auto"/>
      </w:pPr>
    </w:p>
    <w:p w14:paraId="2DF6D61B" w14:textId="7041FF8D" w:rsidR="0092396E" w:rsidRPr="00A66A1A" w:rsidRDefault="0092396E" w:rsidP="00A66A1A">
      <w:pPr>
        <w:pStyle w:val="Tabletitle"/>
      </w:pPr>
      <w:r w:rsidRPr="00A66A1A">
        <w:t xml:space="preserve">Table 3. Dose estimates of blind samples based on </w:t>
      </w:r>
      <w:r w:rsidR="00B71CE5" w:rsidRPr="00A66A1A">
        <w:t xml:space="preserve">laboratory 1 data and </w:t>
      </w:r>
      <w:r w:rsidRPr="00A66A1A">
        <w:t>a linear c</w:t>
      </w:r>
      <w:r w:rsidR="004E0534" w:rsidRPr="00A66A1A">
        <w:t>alibration curves presented in F</w:t>
      </w:r>
      <w:r w:rsidRPr="00A66A1A">
        <w:t xml:space="preserve">igure 2 for which the non-irradiated sample was excluded or represented as 0.01 Gy or 0.001 Gy. </w:t>
      </w:r>
    </w:p>
    <w:tbl>
      <w:tblPr>
        <w:tblStyle w:val="a3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1660"/>
        <w:gridCol w:w="1985"/>
        <w:gridCol w:w="1992"/>
        <w:gridCol w:w="1772"/>
      </w:tblGrid>
      <w:tr w:rsidR="0092396E" w14:paraId="2A5615C5" w14:textId="77777777" w:rsidTr="004E0534">
        <w:tc>
          <w:tcPr>
            <w:tcW w:w="1096" w:type="dxa"/>
            <w:vMerge w:val="restart"/>
            <w:vAlign w:val="center"/>
          </w:tcPr>
          <w:p w14:paraId="718094CF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  <w:bCs/>
              </w:rPr>
            </w:pPr>
            <w:r w:rsidRPr="008339BD">
              <w:rPr>
                <w:b/>
                <w:bCs/>
              </w:rPr>
              <w:t>Sample</w:t>
            </w:r>
          </w:p>
        </w:tc>
        <w:tc>
          <w:tcPr>
            <w:tcW w:w="5637" w:type="dxa"/>
            <w:gridSpan w:val="3"/>
            <w:vAlign w:val="center"/>
          </w:tcPr>
          <w:p w14:paraId="6CD9C295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Estimated dose (Gy)</w:t>
            </w:r>
          </w:p>
        </w:tc>
        <w:tc>
          <w:tcPr>
            <w:tcW w:w="1772" w:type="dxa"/>
            <w:vMerge w:val="restart"/>
          </w:tcPr>
          <w:p w14:paraId="790AB1DB" w14:textId="77777777" w:rsidR="0092396E" w:rsidRPr="008339BD" w:rsidRDefault="0092396E" w:rsidP="00006868">
            <w:pPr>
              <w:spacing w:line="276" w:lineRule="auto"/>
              <w:rPr>
                <w:b/>
                <w:bCs/>
              </w:rPr>
            </w:pPr>
            <w:r w:rsidRPr="008339BD">
              <w:rPr>
                <w:b/>
              </w:rPr>
              <w:t>True dose</w:t>
            </w:r>
            <w:r w:rsidRPr="008339BD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Gy)</w:t>
            </w:r>
          </w:p>
        </w:tc>
      </w:tr>
      <w:tr w:rsidR="0092396E" w14:paraId="3D35A9A9" w14:textId="77777777" w:rsidTr="004E0534">
        <w:tc>
          <w:tcPr>
            <w:tcW w:w="1096" w:type="dxa"/>
            <w:vMerge/>
            <w:vAlign w:val="center"/>
          </w:tcPr>
          <w:p w14:paraId="438E001B" w14:textId="77777777" w:rsidR="0092396E" w:rsidRPr="008339BD" w:rsidRDefault="0092396E" w:rsidP="00006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14:paraId="39A6E7F9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Curve without 0 Gy</w:t>
            </w:r>
          </w:p>
        </w:tc>
        <w:tc>
          <w:tcPr>
            <w:tcW w:w="1985" w:type="dxa"/>
            <w:vAlign w:val="center"/>
          </w:tcPr>
          <w:p w14:paraId="531DFEF7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Curve with 0 Gy as 0.01 Gy</w:t>
            </w:r>
          </w:p>
        </w:tc>
        <w:tc>
          <w:tcPr>
            <w:tcW w:w="1992" w:type="dxa"/>
            <w:vAlign w:val="center"/>
          </w:tcPr>
          <w:p w14:paraId="40CB3CD2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</w:rPr>
            </w:pPr>
            <w:r w:rsidRPr="008339BD">
              <w:rPr>
                <w:b/>
              </w:rPr>
              <w:t>Curve with 0 Gy as 0.001 Gy</w:t>
            </w:r>
          </w:p>
        </w:tc>
        <w:tc>
          <w:tcPr>
            <w:tcW w:w="1772" w:type="dxa"/>
            <w:vMerge/>
          </w:tcPr>
          <w:p w14:paraId="4FE91E21" w14:textId="77777777" w:rsidR="0092396E" w:rsidRDefault="0092396E" w:rsidP="00006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396E" w14:paraId="31DBD51D" w14:textId="77777777" w:rsidTr="004E0534">
        <w:tc>
          <w:tcPr>
            <w:tcW w:w="1096" w:type="dxa"/>
            <w:vAlign w:val="center"/>
          </w:tcPr>
          <w:p w14:paraId="4EBA91C9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  <w:bCs/>
              </w:rPr>
            </w:pPr>
            <w:r w:rsidRPr="008339BD">
              <w:rPr>
                <w:b/>
                <w:bCs/>
              </w:rPr>
              <w:t>A</w:t>
            </w:r>
          </w:p>
        </w:tc>
        <w:tc>
          <w:tcPr>
            <w:tcW w:w="1660" w:type="dxa"/>
            <w:vAlign w:val="center"/>
          </w:tcPr>
          <w:p w14:paraId="66779A3E" w14:textId="77777777" w:rsidR="0092396E" w:rsidRDefault="0092396E" w:rsidP="00006868">
            <w:pPr>
              <w:spacing w:line="276" w:lineRule="auto"/>
              <w:jc w:val="center"/>
            </w:pPr>
            <w:r>
              <w:t>2.025</w:t>
            </w:r>
          </w:p>
        </w:tc>
        <w:tc>
          <w:tcPr>
            <w:tcW w:w="1985" w:type="dxa"/>
            <w:vAlign w:val="center"/>
          </w:tcPr>
          <w:p w14:paraId="15652EA4" w14:textId="77777777" w:rsidR="0092396E" w:rsidRDefault="0092396E" w:rsidP="00006868">
            <w:pPr>
              <w:spacing w:line="276" w:lineRule="auto"/>
              <w:jc w:val="center"/>
            </w:pPr>
            <w:r>
              <w:t>2.149</w:t>
            </w:r>
          </w:p>
        </w:tc>
        <w:tc>
          <w:tcPr>
            <w:tcW w:w="1992" w:type="dxa"/>
            <w:vAlign w:val="center"/>
          </w:tcPr>
          <w:p w14:paraId="65BB158E" w14:textId="77777777" w:rsidR="0092396E" w:rsidRDefault="0092396E" w:rsidP="00006868">
            <w:pPr>
              <w:spacing w:line="276" w:lineRule="auto"/>
              <w:jc w:val="center"/>
            </w:pPr>
            <w:r>
              <w:t>2.383</w:t>
            </w:r>
          </w:p>
        </w:tc>
        <w:tc>
          <w:tcPr>
            <w:tcW w:w="1772" w:type="dxa"/>
            <w:vAlign w:val="center"/>
          </w:tcPr>
          <w:p w14:paraId="5536C978" w14:textId="77777777" w:rsidR="0092396E" w:rsidRDefault="0092396E" w:rsidP="00006868">
            <w:pPr>
              <w:spacing w:line="276" w:lineRule="auto"/>
              <w:jc w:val="center"/>
            </w:pPr>
            <w:r>
              <w:t>1.800</w:t>
            </w:r>
          </w:p>
        </w:tc>
      </w:tr>
      <w:tr w:rsidR="0092396E" w14:paraId="78AF421E" w14:textId="77777777" w:rsidTr="004E0534">
        <w:tc>
          <w:tcPr>
            <w:tcW w:w="1096" w:type="dxa"/>
            <w:vAlign w:val="center"/>
          </w:tcPr>
          <w:p w14:paraId="598B8F2D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  <w:bCs/>
              </w:rPr>
            </w:pPr>
            <w:r w:rsidRPr="008339BD">
              <w:rPr>
                <w:b/>
                <w:bCs/>
              </w:rPr>
              <w:t>B</w:t>
            </w:r>
          </w:p>
        </w:tc>
        <w:tc>
          <w:tcPr>
            <w:tcW w:w="1660" w:type="dxa"/>
            <w:vAlign w:val="center"/>
          </w:tcPr>
          <w:p w14:paraId="5A00A2CA" w14:textId="77777777" w:rsidR="0092396E" w:rsidRDefault="0092396E" w:rsidP="00006868">
            <w:pPr>
              <w:spacing w:line="276" w:lineRule="auto"/>
              <w:jc w:val="center"/>
            </w:pPr>
            <w:r>
              <w:t>0.027</w:t>
            </w:r>
          </w:p>
        </w:tc>
        <w:tc>
          <w:tcPr>
            <w:tcW w:w="1985" w:type="dxa"/>
            <w:vAlign w:val="center"/>
          </w:tcPr>
          <w:p w14:paraId="6571F95F" w14:textId="77777777" w:rsidR="0092396E" w:rsidRDefault="0092396E" w:rsidP="00006868">
            <w:pPr>
              <w:spacing w:line="276" w:lineRule="auto"/>
              <w:jc w:val="center"/>
            </w:pPr>
            <w:r>
              <w:t>0.010</w:t>
            </w:r>
          </w:p>
        </w:tc>
        <w:tc>
          <w:tcPr>
            <w:tcW w:w="1992" w:type="dxa"/>
            <w:vAlign w:val="center"/>
          </w:tcPr>
          <w:p w14:paraId="6078911E" w14:textId="77777777" w:rsidR="0092396E" w:rsidRDefault="0092396E" w:rsidP="00006868">
            <w:pPr>
              <w:spacing w:line="276" w:lineRule="auto"/>
              <w:jc w:val="center"/>
            </w:pPr>
            <w:r>
              <w:t>0.002</w:t>
            </w:r>
          </w:p>
        </w:tc>
        <w:tc>
          <w:tcPr>
            <w:tcW w:w="1772" w:type="dxa"/>
            <w:vAlign w:val="center"/>
          </w:tcPr>
          <w:p w14:paraId="0C64236A" w14:textId="77777777" w:rsidR="0092396E" w:rsidRDefault="0092396E" w:rsidP="00006868">
            <w:pPr>
              <w:spacing w:line="276" w:lineRule="auto"/>
              <w:jc w:val="center"/>
            </w:pPr>
            <w:r>
              <w:t>0.000</w:t>
            </w:r>
          </w:p>
        </w:tc>
      </w:tr>
      <w:tr w:rsidR="0092396E" w14:paraId="05969E09" w14:textId="77777777" w:rsidTr="004E0534">
        <w:tc>
          <w:tcPr>
            <w:tcW w:w="1096" w:type="dxa"/>
            <w:vAlign w:val="center"/>
          </w:tcPr>
          <w:p w14:paraId="768863F8" w14:textId="77777777" w:rsidR="0092396E" w:rsidRPr="008339BD" w:rsidRDefault="0092396E" w:rsidP="00006868">
            <w:pPr>
              <w:spacing w:line="276" w:lineRule="auto"/>
              <w:jc w:val="center"/>
              <w:rPr>
                <w:b/>
                <w:bCs/>
              </w:rPr>
            </w:pPr>
            <w:r w:rsidRPr="008339BD">
              <w:rPr>
                <w:b/>
                <w:bCs/>
              </w:rPr>
              <w:t>C</w:t>
            </w:r>
          </w:p>
        </w:tc>
        <w:tc>
          <w:tcPr>
            <w:tcW w:w="1660" w:type="dxa"/>
            <w:vAlign w:val="center"/>
          </w:tcPr>
          <w:p w14:paraId="697010A9" w14:textId="77777777" w:rsidR="0092396E" w:rsidRDefault="0092396E" w:rsidP="00006868">
            <w:pPr>
              <w:spacing w:line="276" w:lineRule="auto"/>
              <w:jc w:val="center"/>
            </w:pPr>
            <w:r>
              <w:t>0.401</w:t>
            </w:r>
          </w:p>
        </w:tc>
        <w:tc>
          <w:tcPr>
            <w:tcW w:w="1985" w:type="dxa"/>
            <w:vAlign w:val="center"/>
          </w:tcPr>
          <w:p w14:paraId="0B3C0F12" w14:textId="77777777" w:rsidR="0092396E" w:rsidRDefault="0092396E" w:rsidP="00006868">
            <w:pPr>
              <w:spacing w:line="276" w:lineRule="auto"/>
              <w:jc w:val="center"/>
            </w:pPr>
            <w:r>
              <w:t>0.287</w:t>
            </w:r>
          </w:p>
        </w:tc>
        <w:tc>
          <w:tcPr>
            <w:tcW w:w="1992" w:type="dxa"/>
            <w:vAlign w:val="center"/>
          </w:tcPr>
          <w:p w14:paraId="1A1AD9B1" w14:textId="77777777" w:rsidR="0092396E" w:rsidRDefault="0092396E" w:rsidP="00006868">
            <w:pPr>
              <w:spacing w:line="276" w:lineRule="auto"/>
              <w:jc w:val="center"/>
            </w:pPr>
            <w:r>
              <w:t>0.160</w:t>
            </w:r>
          </w:p>
        </w:tc>
        <w:tc>
          <w:tcPr>
            <w:tcW w:w="1772" w:type="dxa"/>
            <w:vAlign w:val="center"/>
          </w:tcPr>
          <w:p w14:paraId="131E1EF7" w14:textId="77777777" w:rsidR="0092396E" w:rsidRDefault="0092396E" w:rsidP="00006868">
            <w:pPr>
              <w:spacing w:line="276" w:lineRule="auto"/>
              <w:jc w:val="center"/>
            </w:pPr>
            <w:r>
              <w:t>0.400</w:t>
            </w:r>
          </w:p>
        </w:tc>
      </w:tr>
    </w:tbl>
    <w:p w14:paraId="39C4B051" w14:textId="77777777" w:rsidR="004F2215" w:rsidRDefault="004F2215" w:rsidP="006617FA">
      <w:pPr>
        <w:spacing w:line="360" w:lineRule="auto"/>
      </w:pPr>
    </w:p>
    <w:p w14:paraId="49ACF415" w14:textId="77777777" w:rsidR="004F2215" w:rsidRDefault="004F2215" w:rsidP="006617FA">
      <w:pPr>
        <w:spacing w:line="360" w:lineRule="auto"/>
      </w:pPr>
    </w:p>
    <w:p w14:paraId="34634B36" w14:textId="77777777" w:rsidR="00C51480" w:rsidRDefault="00C51480" w:rsidP="006617FA">
      <w:pPr>
        <w:spacing w:line="360" w:lineRule="auto"/>
        <w:sectPr w:rsidR="00C51480">
          <w:footerReference w:type="default" r:id="rId9"/>
          <w:pgSz w:w="12240" w:h="15840"/>
          <w:pgMar w:top="1417" w:right="1417" w:bottom="1417" w:left="1417" w:header="708" w:footer="708" w:gutter="0"/>
          <w:pgNumType w:start="1"/>
          <w:cols w:space="720"/>
        </w:sectPr>
      </w:pPr>
    </w:p>
    <w:p w14:paraId="00B3CF84" w14:textId="14353176" w:rsidR="00EB6982" w:rsidRPr="00AF2B02" w:rsidRDefault="00C51480" w:rsidP="00AF2B02">
      <w:pPr>
        <w:pStyle w:val="Tabletitle"/>
      </w:pPr>
      <w:r w:rsidRPr="00AF2B02">
        <w:lastRenderedPageBreak/>
        <w:t>Table 4. Summary of the available studies on FDXR expressio</w:t>
      </w:r>
      <w:r w:rsidR="008E1D02" w:rsidRPr="00AF2B02">
        <w:t>n in blood after doses ≤ 50</w:t>
      </w:r>
      <w:r w:rsidR="008E0BBE" w:rsidRPr="00AF2B02">
        <w:t xml:space="preserve"> mGy</w:t>
      </w:r>
      <w:r w:rsidRPr="00AF2B0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8"/>
        <w:gridCol w:w="1170"/>
        <w:gridCol w:w="1483"/>
        <w:gridCol w:w="1496"/>
        <w:gridCol w:w="1440"/>
        <w:gridCol w:w="1363"/>
        <w:gridCol w:w="2340"/>
        <w:gridCol w:w="1576"/>
      </w:tblGrid>
      <w:tr w:rsidR="00301129" w14:paraId="033CD740" w14:textId="77777777" w:rsidTr="000A2B53">
        <w:tc>
          <w:tcPr>
            <w:tcW w:w="1908" w:type="dxa"/>
          </w:tcPr>
          <w:p w14:paraId="2A3CFDF3" w14:textId="7B980470" w:rsidR="00C51480" w:rsidRPr="00937898" w:rsidRDefault="00C51480" w:rsidP="006617FA">
            <w:pPr>
              <w:spacing w:line="360" w:lineRule="auto"/>
            </w:pPr>
            <w:r w:rsidRPr="00937898">
              <w:t>Model</w:t>
            </w:r>
          </w:p>
        </w:tc>
        <w:tc>
          <w:tcPr>
            <w:tcW w:w="1170" w:type="dxa"/>
          </w:tcPr>
          <w:p w14:paraId="00E7275A" w14:textId="026E02D7" w:rsidR="00C51480" w:rsidRPr="00937898" w:rsidRDefault="00C51480" w:rsidP="006617FA">
            <w:pPr>
              <w:spacing w:line="360" w:lineRule="auto"/>
            </w:pPr>
            <w:r w:rsidRPr="004D41FF">
              <w:rPr>
                <w:i/>
              </w:rPr>
              <w:t>ex vivo</w:t>
            </w:r>
            <w:r w:rsidRPr="00937898">
              <w:t>/</w:t>
            </w:r>
            <w:r w:rsidR="00097E15" w:rsidRPr="004D41FF">
              <w:rPr>
                <w:i/>
              </w:rPr>
              <w:t>in vivo</w:t>
            </w:r>
          </w:p>
        </w:tc>
        <w:tc>
          <w:tcPr>
            <w:tcW w:w="1483" w:type="dxa"/>
          </w:tcPr>
          <w:p w14:paraId="3EDD5387" w14:textId="01CACC71" w:rsidR="00C51480" w:rsidRPr="00937898" w:rsidRDefault="00C51480" w:rsidP="006617FA">
            <w:pPr>
              <w:spacing w:line="360" w:lineRule="auto"/>
            </w:pPr>
            <w:r w:rsidRPr="00937898">
              <w:t>Dose</w:t>
            </w:r>
          </w:p>
        </w:tc>
        <w:tc>
          <w:tcPr>
            <w:tcW w:w="1496" w:type="dxa"/>
          </w:tcPr>
          <w:p w14:paraId="4BDA45D9" w14:textId="2D125F8A" w:rsidR="00C51480" w:rsidRPr="00937898" w:rsidRDefault="00C51480" w:rsidP="006617FA">
            <w:pPr>
              <w:spacing w:line="360" w:lineRule="auto"/>
            </w:pPr>
            <w:r w:rsidRPr="00937898">
              <w:t>Radiation type</w:t>
            </w:r>
          </w:p>
        </w:tc>
        <w:tc>
          <w:tcPr>
            <w:tcW w:w="1440" w:type="dxa"/>
          </w:tcPr>
          <w:p w14:paraId="0FB6790A" w14:textId="4F1B5A10" w:rsidR="00C51480" w:rsidRPr="00937898" w:rsidRDefault="00C51480" w:rsidP="006617FA">
            <w:pPr>
              <w:spacing w:line="360" w:lineRule="auto"/>
            </w:pPr>
            <w:r w:rsidRPr="00937898">
              <w:t>Time points</w:t>
            </w:r>
          </w:p>
        </w:tc>
        <w:tc>
          <w:tcPr>
            <w:tcW w:w="1363" w:type="dxa"/>
          </w:tcPr>
          <w:p w14:paraId="664E3AFD" w14:textId="2593D540" w:rsidR="00C51480" w:rsidRPr="00937898" w:rsidRDefault="00C51480" w:rsidP="006617FA">
            <w:pPr>
              <w:spacing w:line="360" w:lineRule="auto"/>
            </w:pPr>
            <w:r w:rsidRPr="00937898">
              <w:t>Method</w:t>
            </w:r>
          </w:p>
        </w:tc>
        <w:tc>
          <w:tcPr>
            <w:tcW w:w="2340" w:type="dxa"/>
          </w:tcPr>
          <w:p w14:paraId="6239EB40" w14:textId="0372D2C3" w:rsidR="00C51480" w:rsidRPr="00937898" w:rsidRDefault="00811088" w:rsidP="006617FA">
            <w:pPr>
              <w:spacing w:line="360" w:lineRule="auto"/>
            </w:pPr>
            <w:r>
              <w:t xml:space="preserve">Main </w:t>
            </w:r>
            <w:r w:rsidR="00C51480" w:rsidRPr="00937898">
              <w:t>Findings</w:t>
            </w:r>
          </w:p>
        </w:tc>
        <w:tc>
          <w:tcPr>
            <w:tcW w:w="1576" w:type="dxa"/>
          </w:tcPr>
          <w:p w14:paraId="6302F34E" w14:textId="1ACE2994" w:rsidR="00C51480" w:rsidRPr="00937898" w:rsidRDefault="00C51480" w:rsidP="006617FA">
            <w:pPr>
              <w:spacing w:line="360" w:lineRule="auto"/>
            </w:pPr>
            <w:r w:rsidRPr="00937898">
              <w:t>Reference</w:t>
            </w:r>
          </w:p>
        </w:tc>
      </w:tr>
      <w:tr w:rsidR="000A2B53" w14:paraId="7F7C0F5E" w14:textId="77777777" w:rsidTr="000A2B53">
        <w:tc>
          <w:tcPr>
            <w:tcW w:w="1908" w:type="dxa"/>
          </w:tcPr>
          <w:p w14:paraId="6F84320A" w14:textId="451CB0AB" w:rsidR="000A2B53" w:rsidRPr="00937898" w:rsidRDefault="000A2B53" w:rsidP="000A2B53">
            <w:pPr>
              <w:spacing w:line="360" w:lineRule="auto"/>
            </w:pPr>
            <w:r>
              <w:t>C</w:t>
            </w:r>
            <w:r w:rsidRPr="00843DD3">
              <w:t>ardiac fluoroscopy</w:t>
            </w:r>
            <w:r>
              <w:t xml:space="preserve"> patients and </w:t>
            </w:r>
            <w:r w:rsidRPr="00843DD3">
              <w:t>CT</w:t>
            </w:r>
            <w:r>
              <w:t xml:space="preserve"> patients</w:t>
            </w:r>
            <w:r w:rsidRPr="00843DD3">
              <w:t>.</w:t>
            </w:r>
          </w:p>
        </w:tc>
        <w:tc>
          <w:tcPr>
            <w:tcW w:w="1170" w:type="dxa"/>
          </w:tcPr>
          <w:p w14:paraId="3D80AB8F" w14:textId="78B27725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in vivo</w:t>
            </w:r>
          </w:p>
        </w:tc>
        <w:tc>
          <w:tcPr>
            <w:tcW w:w="1483" w:type="dxa"/>
          </w:tcPr>
          <w:p w14:paraId="7191BD46" w14:textId="77777777" w:rsidR="000A2B53" w:rsidRDefault="000A2B53" w:rsidP="000A2B53">
            <w:pPr>
              <w:spacing w:line="360" w:lineRule="auto"/>
            </w:pPr>
            <w:r>
              <w:t>9-76 mSv (Cardiac Fluoroscopy Patiens);</w:t>
            </w:r>
          </w:p>
          <w:p w14:paraId="7F1729ED" w14:textId="77777777" w:rsidR="000A2B53" w:rsidRDefault="000A2B53" w:rsidP="000A2B53">
            <w:pPr>
              <w:spacing w:line="360" w:lineRule="auto"/>
            </w:pPr>
            <w:r>
              <w:t>2.9-20.9 mGy (CT Patients)</w:t>
            </w:r>
          </w:p>
          <w:p w14:paraId="0C426598" w14:textId="77777777" w:rsidR="000A2B53" w:rsidRPr="00937898" w:rsidRDefault="000A2B53" w:rsidP="000A2B53">
            <w:pPr>
              <w:spacing w:line="360" w:lineRule="auto"/>
            </w:pPr>
          </w:p>
        </w:tc>
        <w:tc>
          <w:tcPr>
            <w:tcW w:w="1496" w:type="dxa"/>
          </w:tcPr>
          <w:p w14:paraId="6A40271F" w14:textId="36B060E9" w:rsidR="000A2B53" w:rsidRPr="00937898" w:rsidRDefault="000A2B53" w:rsidP="000A2B53">
            <w:pPr>
              <w:spacing w:line="360" w:lineRule="auto"/>
            </w:pPr>
            <w:r>
              <w:t>X-rays</w:t>
            </w:r>
          </w:p>
        </w:tc>
        <w:tc>
          <w:tcPr>
            <w:tcW w:w="1440" w:type="dxa"/>
          </w:tcPr>
          <w:p w14:paraId="27828F35" w14:textId="77777777" w:rsidR="000A2B53" w:rsidRDefault="000A2B53" w:rsidP="000A2B53">
            <w:pPr>
              <w:spacing w:line="360" w:lineRule="auto"/>
            </w:pPr>
            <w:r>
              <w:t xml:space="preserve">24 h, 1 month (Cardiac Fluoroscopy Patients); </w:t>
            </w:r>
          </w:p>
          <w:p w14:paraId="3A29C53A" w14:textId="56BC9F72" w:rsidR="000A2B53" w:rsidRDefault="000A2B53" w:rsidP="000A2B53">
            <w:pPr>
              <w:spacing w:line="360" w:lineRule="auto"/>
            </w:pPr>
            <w:r>
              <w:t>2 h, 6h, 24 h, 2 d, 3d, 7d (CT Patients)</w:t>
            </w:r>
          </w:p>
        </w:tc>
        <w:tc>
          <w:tcPr>
            <w:tcW w:w="1363" w:type="dxa"/>
          </w:tcPr>
          <w:p w14:paraId="6F800A4C" w14:textId="1D3DC54A" w:rsidR="000A2B53" w:rsidRDefault="000A2B53" w:rsidP="000A2B53">
            <w:pPr>
              <w:spacing w:line="360" w:lineRule="auto"/>
            </w:pPr>
            <w:r>
              <w:t>qPCR</w:t>
            </w:r>
          </w:p>
        </w:tc>
        <w:tc>
          <w:tcPr>
            <w:tcW w:w="2340" w:type="dxa"/>
          </w:tcPr>
          <w:p w14:paraId="1E1809B6" w14:textId="65C6586F" w:rsidR="000A2B53" w:rsidRPr="00937898" w:rsidRDefault="000A2B53" w:rsidP="000A2B53">
            <w:pPr>
              <w:spacing w:line="360" w:lineRule="auto"/>
            </w:pPr>
            <w:r w:rsidRPr="0093664E">
              <w:t>FDXR expression appeared generally unchanged for cardiac fluoroscopy and CT patients, however, a 1.3 to 1.7 fold up-regulation was still evident in some patients with a</w:t>
            </w:r>
            <w:r>
              <w:t xml:space="preserve"> </w:t>
            </w:r>
            <w:r w:rsidRPr="0093664E">
              <w:t>significant up-regulation at 2 hr in diagnostic CT patients.</w:t>
            </w:r>
          </w:p>
        </w:tc>
        <w:tc>
          <w:tcPr>
            <w:tcW w:w="1576" w:type="dxa"/>
          </w:tcPr>
          <w:p w14:paraId="1B394796" w14:textId="053B8F24" w:rsidR="000A2B53" w:rsidRPr="00937898" w:rsidRDefault="000A2B53" w:rsidP="000A2B53">
            <w:pPr>
              <w:spacing w:line="360" w:lineRule="auto"/>
            </w:pPr>
            <w:r>
              <w:t>O’Brien et al. 2018</w:t>
            </w:r>
          </w:p>
        </w:tc>
      </w:tr>
      <w:tr w:rsidR="000A2B53" w14:paraId="3BC128F2" w14:textId="77777777" w:rsidTr="000A2B53">
        <w:tc>
          <w:tcPr>
            <w:tcW w:w="1908" w:type="dxa"/>
          </w:tcPr>
          <w:p w14:paraId="501A528B" w14:textId="62AD13BF" w:rsidR="000A2B53" w:rsidRPr="00937898" w:rsidRDefault="000A2B53" w:rsidP="000A2B53">
            <w:pPr>
              <w:spacing w:line="360" w:lineRule="auto"/>
            </w:pPr>
            <w:r w:rsidRPr="00937898">
              <w:t>Pediatric patients exposed to X-rays during interventional cardiology procedures</w:t>
            </w:r>
          </w:p>
        </w:tc>
        <w:tc>
          <w:tcPr>
            <w:tcW w:w="1170" w:type="dxa"/>
          </w:tcPr>
          <w:p w14:paraId="1CDD835B" w14:textId="5A9637AB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in vivo</w:t>
            </w:r>
          </w:p>
        </w:tc>
        <w:tc>
          <w:tcPr>
            <w:tcW w:w="1483" w:type="dxa"/>
          </w:tcPr>
          <w:p w14:paraId="7904F0E7" w14:textId="267AB41A" w:rsidR="000A2B53" w:rsidRPr="00937898" w:rsidRDefault="000A2B53" w:rsidP="000A2B53">
            <w:pPr>
              <w:spacing w:line="360" w:lineRule="auto"/>
            </w:pPr>
            <w:r w:rsidRPr="00937898">
              <w:t>0.002 – 8.004 mSv</w:t>
            </w:r>
          </w:p>
        </w:tc>
        <w:tc>
          <w:tcPr>
            <w:tcW w:w="1496" w:type="dxa"/>
          </w:tcPr>
          <w:p w14:paraId="4D9ACC9F" w14:textId="016A0B3F" w:rsidR="000A2B53" w:rsidRPr="00937898" w:rsidRDefault="000A2B53" w:rsidP="000A2B53">
            <w:pPr>
              <w:spacing w:line="360" w:lineRule="auto"/>
            </w:pPr>
            <w:r w:rsidRPr="00937898">
              <w:t>X-rays</w:t>
            </w:r>
          </w:p>
        </w:tc>
        <w:tc>
          <w:tcPr>
            <w:tcW w:w="1440" w:type="dxa"/>
          </w:tcPr>
          <w:p w14:paraId="46A8CF98" w14:textId="2436B44F" w:rsidR="000A2B53" w:rsidRPr="00937898" w:rsidRDefault="000A2B53" w:rsidP="000A2B53">
            <w:pPr>
              <w:spacing w:line="360" w:lineRule="auto"/>
            </w:pPr>
            <w:r>
              <w:t>24 h</w:t>
            </w:r>
          </w:p>
        </w:tc>
        <w:tc>
          <w:tcPr>
            <w:tcW w:w="1363" w:type="dxa"/>
          </w:tcPr>
          <w:p w14:paraId="5530E045" w14:textId="3587A390" w:rsidR="000A2B53" w:rsidRPr="00937898" w:rsidRDefault="000A2B53" w:rsidP="000A2B53">
            <w:pPr>
              <w:spacing w:line="360" w:lineRule="auto"/>
            </w:pPr>
            <w:r>
              <w:t>qPCR</w:t>
            </w:r>
          </w:p>
        </w:tc>
        <w:tc>
          <w:tcPr>
            <w:tcW w:w="2340" w:type="dxa"/>
          </w:tcPr>
          <w:p w14:paraId="4F18A00A" w14:textId="1C0346E0" w:rsidR="000A2B53" w:rsidRPr="00937898" w:rsidRDefault="000A2B53" w:rsidP="000A2B53">
            <w:pPr>
              <w:spacing w:line="360" w:lineRule="auto"/>
            </w:pPr>
            <w:r w:rsidRPr="00937898">
              <w:t>No correlation between FDXR expression and dose.</w:t>
            </w:r>
          </w:p>
        </w:tc>
        <w:tc>
          <w:tcPr>
            <w:tcW w:w="1576" w:type="dxa"/>
          </w:tcPr>
          <w:p w14:paraId="7EC08BD3" w14:textId="7E8DA95E" w:rsidR="000A2B53" w:rsidRPr="00937898" w:rsidRDefault="000A2B53" w:rsidP="000A2B53">
            <w:pPr>
              <w:spacing w:line="360" w:lineRule="auto"/>
            </w:pPr>
            <w:r w:rsidRPr="00937898">
              <w:t>Spyratou et al. 2022</w:t>
            </w:r>
          </w:p>
        </w:tc>
      </w:tr>
      <w:tr w:rsidR="000A2B53" w14:paraId="120F2BC4" w14:textId="77777777" w:rsidTr="000A2B53">
        <w:tc>
          <w:tcPr>
            <w:tcW w:w="1908" w:type="dxa"/>
          </w:tcPr>
          <w:p w14:paraId="515B2A1E" w14:textId="5E48903B" w:rsidR="000A2B53" w:rsidRDefault="000A2B53" w:rsidP="000A2B53">
            <w:pPr>
              <w:spacing w:line="360" w:lineRule="auto"/>
            </w:pPr>
            <w:r>
              <w:lastRenderedPageBreak/>
              <w:t>Lung, neck, brain, pelvis cancer patients</w:t>
            </w:r>
            <w:r w:rsidRPr="00862414">
              <w:t xml:space="preserve"> undergoing</w:t>
            </w:r>
            <w:r>
              <w:t xml:space="preserve"> </w:t>
            </w:r>
            <w:r w:rsidRPr="00862414">
              <w:t>radiotherapy</w:t>
            </w:r>
          </w:p>
        </w:tc>
        <w:tc>
          <w:tcPr>
            <w:tcW w:w="1170" w:type="dxa"/>
          </w:tcPr>
          <w:p w14:paraId="316BAE5F" w14:textId="4DC7DBB9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in vivo</w:t>
            </w:r>
          </w:p>
        </w:tc>
        <w:tc>
          <w:tcPr>
            <w:tcW w:w="1483" w:type="dxa"/>
          </w:tcPr>
          <w:p w14:paraId="0B0D3474" w14:textId="66B8BA78" w:rsidR="000A2B53" w:rsidRDefault="000A2B53" w:rsidP="000A2B53">
            <w:pPr>
              <w:spacing w:line="360" w:lineRule="auto"/>
            </w:pPr>
            <w:r w:rsidRPr="00D03452">
              <w:t>0.038–0.169 Gy</w:t>
            </w:r>
          </w:p>
        </w:tc>
        <w:tc>
          <w:tcPr>
            <w:tcW w:w="1496" w:type="dxa"/>
          </w:tcPr>
          <w:p w14:paraId="14A1F3A0" w14:textId="022B7E4A" w:rsidR="000A2B53" w:rsidRDefault="000A2B53" w:rsidP="000A2B53">
            <w:pPr>
              <w:spacing w:line="360" w:lineRule="auto"/>
            </w:pPr>
            <w:r>
              <w:t>X-rays</w:t>
            </w:r>
          </w:p>
        </w:tc>
        <w:tc>
          <w:tcPr>
            <w:tcW w:w="1440" w:type="dxa"/>
          </w:tcPr>
          <w:p w14:paraId="240BFE6B" w14:textId="7571889D" w:rsidR="000A2B53" w:rsidRDefault="000A2B53" w:rsidP="000A2B53">
            <w:pPr>
              <w:spacing w:line="360" w:lineRule="auto"/>
            </w:pPr>
            <w:r w:rsidRPr="007D12B0">
              <w:t>2</w:t>
            </w:r>
            <w:r>
              <w:t xml:space="preserve"> h</w:t>
            </w:r>
            <w:r w:rsidRPr="007D12B0">
              <w:t>, 6–8</w:t>
            </w:r>
            <w:r>
              <w:t xml:space="preserve"> h</w:t>
            </w:r>
            <w:r w:rsidRPr="007D12B0">
              <w:t>, 16–18</w:t>
            </w:r>
            <w:r>
              <w:t xml:space="preserve"> h</w:t>
            </w:r>
            <w:r w:rsidRPr="007D12B0">
              <w:t>, 24 h</w:t>
            </w:r>
          </w:p>
        </w:tc>
        <w:tc>
          <w:tcPr>
            <w:tcW w:w="1363" w:type="dxa"/>
          </w:tcPr>
          <w:p w14:paraId="7B2C18AC" w14:textId="4F25D13B" w:rsidR="000A2B53" w:rsidRDefault="000A2B53" w:rsidP="000A2B53">
            <w:pPr>
              <w:spacing w:line="360" w:lineRule="auto"/>
            </w:pPr>
            <w:r>
              <w:t>qPCR</w:t>
            </w:r>
          </w:p>
        </w:tc>
        <w:tc>
          <w:tcPr>
            <w:tcW w:w="2340" w:type="dxa"/>
          </w:tcPr>
          <w:p w14:paraId="65BB7B76" w14:textId="287F7A4C" w:rsidR="000A2B53" w:rsidRPr="0093664E" w:rsidRDefault="000A2B53" w:rsidP="000A2B53">
            <w:pPr>
              <w:spacing w:line="360" w:lineRule="auto"/>
            </w:pPr>
            <w:r>
              <w:t>Average fold change across all patients (and all doses) 24 h post exposure significantly higher compared to pre exposure.</w:t>
            </w:r>
          </w:p>
        </w:tc>
        <w:tc>
          <w:tcPr>
            <w:tcW w:w="1576" w:type="dxa"/>
          </w:tcPr>
          <w:p w14:paraId="647C5D2B" w14:textId="55644510" w:rsidR="000A2B53" w:rsidRDefault="000A2B53" w:rsidP="000A2B53">
            <w:pPr>
              <w:spacing w:line="360" w:lineRule="auto"/>
            </w:pPr>
            <w:r w:rsidRPr="00450D53">
              <w:t>Cruz-Garcia</w:t>
            </w:r>
            <w:r>
              <w:t xml:space="preserve"> et al. 2022</w:t>
            </w:r>
          </w:p>
        </w:tc>
      </w:tr>
      <w:tr w:rsidR="000A2B53" w14:paraId="2A8B57F8" w14:textId="77777777" w:rsidTr="000A2B53">
        <w:tc>
          <w:tcPr>
            <w:tcW w:w="1908" w:type="dxa"/>
          </w:tcPr>
          <w:p w14:paraId="714E336C" w14:textId="77777777" w:rsidR="000A2B53" w:rsidRPr="00B5170D" w:rsidRDefault="000A2B53" w:rsidP="000A2B53">
            <w:pPr>
              <w:spacing w:line="360" w:lineRule="auto"/>
            </w:pPr>
            <w:r>
              <w:t>P</w:t>
            </w:r>
            <w:r w:rsidRPr="00B5170D">
              <w:t>atients undergoing</w:t>
            </w:r>
          </w:p>
          <w:p w14:paraId="4572FF69" w14:textId="6017A221" w:rsidR="000A2B53" w:rsidRDefault="000A2B53" w:rsidP="000A2B53">
            <w:pPr>
              <w:spacing w:line="360" w:lineRule="auto"/>
            </w:pPr>
            <w:r w:rsidRPr="00B5170D">
              <w:t>positron emission tomography–computed tomography scan (PET-CT) and skeletal scintigraphy</w:t>
            </w:r>
          </w:p>
        </w:tc>
        <w:tc>
          <w:tcPr>
            <w:tcW w:w="1170" w:type="dxa"/>
          </w:tcPr>
          <w:p w14:paraId="67BD3323" w14:textId="05B3BB69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in vivo</w:t>
            </w:r>
          </w:p>
        </w:tc>
        <w:tc>
          <w:tcPr>
            <w:tcW w:w="1483" w:type="dxa"/>
          </w:tcPr>
          <w:p w14:paraId="5B296271" w14:textId="77777777" w:rsidR="000A2B53" w:rsidRDefault="000A2B53" w:rsidP="000A2B53">
            <w:pPr>
              <w:spacing w:line="360" w:lineRule="auto"/>
            </w:pPr>
            <w:r>
              <w:t>4.66-5.09 mSv (scintigraphy patients);</w:t>
            </w:r>
          </w:p>
          <w:p w14:paraId="605FB74E" w14:textId="5DB264D6" w:rsidR="000A2B53" w:rsidRDefault="000A2B53" w:rsidP="000A2B53">
            <w:pPr>
              <w:spacing w:line="360" w:lineRule="auto"/>
            </w:pPr>
            <w:r>
              <w:t>10.78-15.95 mSv (PET-CT patients)</w:t>
            </w:r>
          </w:p>
        </w:tc>
        <w:tc>
          <w:tcPr>
            <w:tcW w:w="1496" w:type="dxa"/>
          </w:tcPr>
          <w:p w14:paraId="1FD35324" w14:textId="77777777" w:rsidR="000A2B53" w:rsidRPr="001B01A7" w:rsidRDefault="000A2B53" w:rsidP="000A2B53">
            <w:pPr>
              <w:spacing w:line="360" w:lineRule="auto"/>
              <w:rPr>
                <w:lang w:val="fr-FR"/>
              </w:rPr>
            </w:pPr>
            <w:r w:rsidRPr="001B01A7">
              <w:rPr>
                <w:vertAlign w:val="superscript"/>
                <w:lang w:val="fr-FR"/>
              </w:rPr>
              <w:t>99</w:t>
            </w:r>
            <w:r w:rsidRPr="001B01A7">
              <w:rPr>
                <w:lang w:val="fr-FR"/>
              </w:rPr>
              <w:t>mTc-MDP (scintigraphy patients);</w:t>
            </w:r>
          </w:p>
          <w:p w14:paraId="0929470D" w14:textId="77777777" w:rsidR="000A2B53" w:rsidRPr="001B01A7" w:rsidRDefault="000A2B53" w:rsidP="000A2B53">
            <w:pPr>
              <w:spacing w:line="360" w:lineRule="auto"/>
              <w:rPr>
                <w:lang w:val="fr-FR"/>
              </w:rPr>
            </w:pPr>
            <w:r w:rsidRPr="001B01A7">
              <w:rPr>
                <w:vertAlign w:val="superscript"/>
                <w:lang w:val="fr-FR"/>
              </w:rPr>
              <w:t>18</w:t>
            </w:r>
            <w:r w:rsidRPr="001B01A7">
              <w:rPr>
                <w:lang w:val="fr-FR"/>
              </w:rPr>
              <w:t>F-FDG;</w:t>
            </w:r>
          </w:p>
          <w:p w14:paraId="0F976F54" w14:textId="77777777" w:rsidR="000A2B53" w:rsidRPr="001B01A7" w:rsidRDefault="000A2B53" w:rsidP="000A2B53">
            <w:pPr>
              <w:spacing w:line="360" w:lineRule="auto"/>
              <w:rPr>
                <w:lang w:val="fr-FR"/>
              </w:rPr>
            </w:pPr>
            <w:r w:rsidRPr="001B01A7">
              <w:rPr>
                <w:vertAlign w:val="superscript"/>
                <w:lang w:val="fr-FR"/>
              </w:rPr>
              <w:t>18</w:t>
            </w:r>
            <w:r w:rsidRPr="001B01A7">
              <w:rPr>
                <w:lang w:val="fr-FR"/>
              </w:rPr>
              <w:t>F-PSMA;</w:t>
            </w:r>
          </w:p>
          <w:p w14:paraId="53081343" w14:textId="3F96A66F" w:rsidR="000A2B53" w:rsidRPr="001B01A7" w:rsidRDefault="000A2B53" w:rsidP="000A2B53">
            <w:pPr>
              <w:spacing w:line="360" w:lineRule="auto"/>
              <w:rPr>
                <w:lang w:val="fr-FR"/>
              </w:rPr>
            </w:pPr>
            <w:r w:rsidRPr="001B01A7">
              <w:rPr>
                <w:vertAlign w:val="superscript"/>
                <w:lang w:val="fr-FR"/>
              </w:rPr>
              <w:t>68</w:t>
            </w:r>
            <w:r w:rsidRPr="001B01A7">
              <w:rPr>
                <w:lang w:val="fr-FR"/>
              </w:rPr>
              <w:t>Ga-DOTATATE (PET-CT patients)</w:t>
            </w:r>
          </w:p>
        </w:tc>
        <w:tc>
          <w:tcPr>
            <w:tcW w:w="1440" w:type="dxa"/>
          </w:tcPr>
          <w:p w14:paraId="77D7C8B4" w14:textId="117BBDA7" w:rsidR="000A2B53" w:rsidRDefault="000A2B53" w:rsidP="000A2B53">
            <w:pPr>
              <w:spacing w:line="360" w:lineRule="auto"/>
            </w:pPr>
            <w:r>
              <w:t>2 h</w:t>
            </w:r>
          </w:p>
        </w:tc>
        <w:tc>
          <w:tcPr>
            <w:tcW w:w="1363" w:type="dxa"/>
          </w:tcPr>
          <w:p w14:paraId="2C3B99A7" w14:textId="53277487" w:rsidR="000A2B53" w:rsidRDefault="000A2B53" w:rsidP="000A2B53">
            <w:pPr>
              <w:spacing w:line="360" w:lineRule="auto"/>
            </w:pPr>
            <w:r>
              <w:t>qPCR</w:t>
            </w:r>
          </w:p>
        </w:tc>
        <w:tc>
          <w:tcPr>
            <w:tcW w:w="2340" w:type="dxa"/>
          </w:tcPr>
          <w:p w14:paraId="058263AE" w14:textId="2BAE361C" w:rsidR="000A2B53" w:rsidRDefault="000A2B53" w:rsidP="000A2B53">
            <w:pPr>
              <w:spacing w:line="360" w:lineRule="auto"/>
            </w:pPr>
            <w:r>
              <w:t>No statistically significant change in FDXR expression.</w:t>
            </w:r>
          </w:p>
        </w:tc>
        <w:tc>
          <w:tcPr>
            <w:tcW w:w="1576" w:type="dxa"/>
          </w:tcPr>
          <w:p w14:paraId="7636ACAD" w14:textId="555EAC8F" w:rsidR="000A2B53" w:rsidRDefault="000A2B53" w:rsidP="000A2B53">
            <w:pPr>
              <w:spacing w:line="360" w:lineRule="auto"/>
            </w:pPr>
            <w:r w:rsidRPr="00413073">
              <w:t>López‑Riego</w:t>
            </w:r>
            <w:r>
              <w:t xml:space="preserve"> et al. 2023</w:t>
            </w:r>
          </w:p>
        </w:tc>
      </w:tr>
      <w:tr w:rsidR="000A2B53" w14:paraId="2C29D7F6" w14:textId="77777777" w:rsidTr="000A2B53">
        <w:tc>
          <w:tcPr>
            <w:tcW w:w="1908" w:type="dxa"/>
          </w:tcPr>
          <w:p w14:paraId="6D848867" w14:textId="08F7337D" w:rsidR="000A2B53" w:rsidRDefault="000A2B53" w:rsidP="000A2B53">
            <w:pPr>
              <w:spacing w:line="360" w:lineRule="auto"/>
            </w:pPr>
            <w:r w:rsidRPr="00044744">
              <w:t xml:space="preserve">Irradiated </w:t>
            </w:r>
            <w:r w:rsidRPr="004D41FF">
              <w:rPr>
                <w:i/>
              </w:rPr>
              <w:t>ex vivo</w:t>
            </w:r>
            <w:r w:rsidRPr="00044744">
              <w:t xml:space="preserve"> blood from healthy donors</w:t>
            </w:r>
            <w:r>
              <w:t>.</w:t>
            </w:r>
          </w:p>
        </w:tc>
        <w:tc>
          <w:tcPr>
            <w:tcW w:w="1170" w:type="dxa"/>
          </w:tcPr>
          <w:p w14:paraId="1071D826" w14:textId="0E7EFC55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ex vivo</w:t>
            </w:r>
          </w:p>
        </w:tc>
        <w:tc>
          <w:tcPr>
            <w:tcW w:w="1483" w:type="dxa"/>
          </w:tcPr>
          <w:p w14:paraId="7A7DDFAD" w14:textId="38A30C04" w:rsidR="000A2B53" w:rsidRDefault="000A2B53" w:rsidP="000A2B53">
            <w:pPr>
              <w:spacing w:line="360" w:lineRule="auto"/>
            </w:pPr>
            <w:r>
              <w:t>0.005 Gy – 4 Gy</w:t>
            </w:r>
          </w:p>
        </w:tc>
        <w:tc>
          <w:tcPr>
            <w:tcW w:w="1496" w:type="dxa"/>
          </w:tcPr>
          <w:p w14:paraId="49FAE0B0" w14:textId="6210C5B3" w:rsidR="000A2B53" w:rsidRDefault="000A2B53" w:rsidP="000A2B53">
            <w:pPr>
              <w:spacing w:line="360" w:lineRule="auto"/>
            </w:pPr>
            <w:r>
              <w:t>X-rays</w:t>
            </w:r>
          </w:p>
        </w:tc>
        <w:tc>
          <w:tcPr>
            <w:tcW w:w="1440" w:type="dxa"/>
          </w:tcPr>
          <w:p w14:paraId="388AAF0F" w14:textId="387D5279" w:rsidR="000A2B53" w:rsidRDefault="000A2B53" w:rsidP="000A2B53">
            <w:pPr>
              <w:spacing w:line="360" w:lineRule="auto"/>
            </w:pPr>
            <w:r>
              <w:t>2 h, 24 h</w:t>
            </w:r>
          </w:p>
        </w:tc>
        <w:tc>
          <w:tcPr>
            <w:tcW w:w="1363" w:type="dxa"/>
          </w:tcPr>
          <w:p w14:paraId="3B6A943D" w14:textId="3AD1BBC2" w:rsidR="000A2B53" w:rsidRDefault="000A2B53" w:rsidP="000A2B53">
            <w:pPr>
              <w:spacing w:line="360" w:lineRule="auto"/>
            </w:pPr>
            <w:r>
              <w:t>qPCR</w:t>
            </w:r>
          </w:p>
        </w:tc>
        <w:tc>
          <w:tcPr>
            <w:tcW w:w="2340" w:type="dxa"/>
          </w:tcPr>
          <w:p w14:paraId="02C5AE13" w14:textId="1B1CC61D" w:rsidR="000A2B53" w:rsidRDefault="000A2B53" w:rsidP="000A2B53">
            <w:pPr>
              <w:spacing w:line="360" w:lineRule="auto"/>
            </w:pPr>
            <w:r>
              <w:t xml:space="preserve">Statistically significant upregulation of FDXR at 24 h time point after 50 mGy </w:t>
            </w:r>
            <w:r>
              <w:lastRenderedPageBreak/>
              <w:t>but not lower doses. Result from three independent experiments performed using blood from single donor.</w:t>
            </w:r>
          </w:p>
        </w:tc>
        <w:tc>
          <w:tcPr>
            <w:tcW w:w="1576" w:type="dxa"/>
          </w:tcPr>
          <w:p w14:paraId="74B3AE12" w14:textId="39E908B3" w:rsidR="000A2B53" w:rsidRDefault="000A2B53" w:rsidP="000A2B53">
            <w:pPr>
              <w:spacing w:line="360" w:lineRule="auto"/>
            </w:pPr>
            <w:r w:rsidRPr="008E0BBE">
              <w:lastRenderedPageBreak/>
              <w:t>Manning</w:t>
            </w:r>
            <w:r>
              <w:t xml:space="preserve"> et al. 2013</w:t>
            </w:r>
          </w:p>
        </w:tc>
      </w:tr>
      <w:tr w:rsidR="000A2B53" w14:paraId="1927B0FF" w14:textId="77777777" w:rsidTr="000A2B53">
        <w:tc>
          <w:tcPr>
            <w:tcW w:w="1908" w:type="dxa"/>
          </w:tcPr>
          <w:p w14:paraId="4A0C06D5" w14:textId="51E8A1FC" w:rsidR="000A2B53" w:rsidRDefault="000A2B53" w:rsidP="000A2B53">
            <w:pPr>
              <w:spacing w:line="360" w:lineRule="auto"/>
            </w:pPr>
            <w:r>
              <w:t>CD4</w:t>
            </w:r>
            <w:r w:rsidRPr="00186C68">
              <w:rPr>
                <w:vertAlign w:val="superscript"/>
              </w:rPr>
              <w:t>+</w:t>
            </w:r>
            <w:r>
              <w:t xml:space="preserve"> T lymphocytes isolated from i</w:t>
            </w:r>
            <w:r w:rsidRPr="00275F64">
              <w:t xml:space="preserve">rradiated </w:t>
            </w:r>
            <w:r w:rsidRPr="00186C68">
              <w:rPr>
                <w:i/>
              </w:rPr>
              <w:t>ex vivo</w:t>
            </w:r>
            <w:r w:rsidRPr="00275F64">
              <w:t xml:space="preserve"> blood from healthy donors.</w:t>
            </w:r>
          </w:p>
        </w:tc>
        <w:tc>
          <w:tcPr>
            <w:tcW w:w="1170" w:type="dxa"/>
          </w:tcPr>
          <w:p w14:paraId="4A6EE49B" w14:textId="649B1DC1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275F64">
              <w:rPr>
                <w:i/>
              </w:rPr>
              <w:t>ex vivo</w:t>
            </w:r>
          </w:p>
        </w:tc>
        <w:tc>
          <w:tcPr>
            <w:tcW w:w="1483" w:type="dxa"/>
          </w:tcPr>
          <w:p w14:paraId="1B44F63D" w14:textId="2DD173D2" w:rsidR="000A2B53" w:rsidRDefault="000A2B53" w:rsidP="000A2B53">
            <w:pPr>
              <w:spacing w:line="360" w:lineRule="auto"/>
            </w:pPr>
            <w:r>
              <w:t>5 – 500 mGy</w:t>
            </w:r>
          </w:p>
        </w:tc>
        <w:tc>
          <w:tcPr>
            <w:tcW w:w="1496" w:type="dxa"/>
          </w:tcPr>
          <w:p w14:paraId="3FA7332A" w14:textId="5754F8AF" w:rsidR="000A2B53" w:rsidRDefault="000A2B53" w:rsidP="000A2B53">
            <w:pPr>
              <w:spacing w:line="360" w:lineRule="auto"/>
            </w:pPr>
            <w:r>
              <w:t>γ</w:t>
            </w:r>
            <w:r w:rsidRPr="00186C68">
              <w:t>-rays</w:t>
            </w:r>
          </w:p>
        </w:tc>
        <w:tc>
          <w:tcPr>
            <w:tcW w:w="1440" w:type="dxa"/>
          </w:tcPr>
          <w:p w14:paraId="0C62A428" w14:textId="71D530A8" w:rsidR="000A2B53" w:rsidRDefault="000A2B53" w:rsidP="000A2B53">
            <w:pPr>
              <w:spacing w:line="360" w:lineRule="auto"/>
            </w:pPr>
            <w:r>
              <w:t>2.5 h, 5 h, 7.5 h, 10h</w:t>
            </w:r>
          </w:p>
        </w:tc>
        <w:tc>
          <w:tcPr>
            <w:tcW w:w="1363" w:type="dxa"/>
          </w:tcPr>
          <w:p w14:paraId="3F405A76" w14:textId="1AB88A21" w:rsidR="000A2B53" w:rsidRDefault="000A2B53" w:rsidP="000A2B53">
            <w:pPr>
              <w:spacing w:line="360" w:lineRule="auto"/>
            </w:pPr>
            <w:r w:rsidRPr="003A04C6">
              <w:t>microarray</w:t>
            </w:r>
            <w:r>
              <w:t>s</w:t>
            </w:r>
          </w:p>
        </w:tc>
        <w:tc>
          <w:tcPr>
            <w:tcW w:w="2340" w:type="dxa"/>
          </w:tcPr>
          <w:p w14:paraId="22DB4918" w14:textId="3497D973" w:rsidR="000A2B53" w:rsidRDefault="000A2B53" w:rsidP="000A2B53">
            <w:pPr>
              <w:spacing w:line="360" w:lineRule="auto"/>
            </w:pPr>
            <w:r>
              <w:t>Statistically significant upregulation of FDXR after 10 mGy (5 h, 7.5 h), 25 mGy (5 h, 7.5 h, 10 h), 50 m Gy (5 h, 7.5 h), 100 mGy (all time points), 500 mGy (all time points).</w:t>
            </w:r>
          </w:p>
        </w:tc>
        <w:tc>
          <w:tcPr>
            <w:tcW w:w="1576" w:type="dxa"/>
          </w:tcPr>
          <w:p w14:paraId="518FEA98" w14:textId="407DD2DD" w:rsidR="000A2B53" w:rsidRDefault="000A2B53" w:rsidP="000A2B53">
            <w:pPr>
              <w:spacing w:line="360" w:lineRule="auto"/>
            </w:pPr>
            <w:r>
              <w:t>Nosel et al. 2013</w:t>
            </w:r>
          </w:p>
        </w:tc>
      </w:tr>
      <w:tr w:rsidR="000A2B53" w14:paraId="210ACE75" w14:textId="77777777" w:rsidTr="000A2B53">
        <w:tc>
          <w:tcPr>
            <w:tcW w:w="1908" w:type="dxa"/>
          </w:tcPr>
          <w:p w14:paraId="4105811F" w14:textId="5962731F" w:rsidR="000A2B53" w:rsidRDefault="000A2B53" w:rsidP="000A2B53">
            <w:pPr>
              <w:spacing w:line="360" w:lineRule="auto"/>
            </w:pPr>
            <w:r w:rsidRPr="00044744">
              <w:t xml:space="preserve">Irradiated </w:t>
            </w:r>
            <w:r w:rsidRPr="004D41FF">
              <w:rPr>
                <w:i/>
              </w:rPr>
              <w:t>ex vivo</w:t>
            </w:r>
            <w:r w:rsidRPr="00044744">
              <w:t xml:space="preserve"> blood from healthy donors</w:t>
            </w:r>
            <w:r>
              <w:t>.</w:t>
            </w:r>
          </w:p>
        </w:tc>
        <w:tc>
          <w:tcPr>
            <w:tcW w:w="1170" w:type="dxa"/>
          </w:tcPr>
          <w:p w14:paraId="0B3748B3" w14:textId="30E74CFF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ex vivo</w:t>
            </w:r>
          </w:p>
        </w:tc>
        <w:tc>
          <w:tcPr>
            <w:tcW w:w="1483" w:type="dxa"/>
          </w:tcPr>
          <w:p w14:paraId="62ECA49C" w14:textId="34819938" w:rsidR="000A2B53" w:rsidRDefault="000A2B53" w:rsidP="000A2B53">
            <w:pPr>
              <w:spacing w:line="360" w:lineRule="auto"/>
            </w:pPr>
            <w:r>
              <w:t>9.6 mSv</w:t>
            </w:r>
          </w:p>
        </w:tc>
        <w:tc>
          <w:tcPr>
            <w:tcW w:w="1496" w:type="dxa"/>
          </w:tcPr>
          <w:p w14:paraId="2B73ED9C" w14:textId="6ADFD73A" w:rsidR="000A2B53" w:rsidRDefault="000A2B53" w:rsidP="000A2B53">
            <w:pPr>
              <w:spacing w:line="360" w:lineRule="auto"/>
            </w:pPr>
            <w:r>
              <w:t>X-rays</w:t>
            </w:r>
          </w:p>
        </w:tc>
        <w:tc>
          <w:tcPr>
            <w:tcW w:w="1440" w:type="dxa"/>
          </w:tcPr>
          <w:p w14:paraId="196F3398" w14:textId="2850BCC4" w:rsidR="000A2B53" w:rsidRDefault="000A2B53" w:rsidP="000A2B53">
            <w:pPr>
              <w:spacing w:line="360" w:lineRule="auto"/>
            </w:pPr>
            <w:r>
              <w:t>1h, 6h</w:t>
            </w:r>
          </w:p>
        </w:tc>
        <w:tc>
          <w:tcPr>
            <w:tcW w:w="1363" w:type="dxa"/>
          </w:tcPr>
          <w:p w14:paraId="5A1B115A" w14:textId="3C6665DF" w:rsidR="000A2B53" w:rsidRDefault="000A2B53" w:rsidP="000A2B53">
            <w:pPr>
              <w:spacing w:line="360" w:lineRule="auto"/>
            </w:pPr>
            <w:r>
              <w:t>NGS validated by qPCR</w:t>
            </w:r>
          </w:p>
        </w:tc>
        <w:tc>
          <w:tcPr>
            <w:tcW w:w="2340" w:type="dxa"/>
          </w:tcPr>
          <w:p w14:paraId="5B75A04E" w14:textId="3F5EFE78" w:rsidR="000A2B53" w:rsidRDefault="000A2B53" w:rsidP="000A2B53">
            <w:pPr>
              <w:spacing w:line="360" w:lineRule="auto"/>
            </w:pPr>
            <w:r>
              <w:t>Statistically significant upregulation of FDXR after 6h.</w:t>
            </w:r>
          </w:p>
        </w:tc>
        <w:tc>
          <w:tcPr>
            <w:tcW w:w="1576" w:type="dxa"/>
          </w:tcPr>
          <w:p w14:paraId="4A93BEC8" w14:textId="3A550EFF" w:rsidR="000A2B53" w:rsidRDefault="000A2B53" w:rsidP="000A2B53">
            <w:pPr>
              <w:spacing w:line="360" w:lineRule="auto"/>
            </w:pPr>
            <w:r>
              <w:t>Kaatsch et al. 2020</w:t>
            </w:r>
          </w:p>
        </w:tc>
      </w:tr>
      <w:tr w:rsidR="000A2B53" w14:paraId="6114275D" w14:textId="77777777" w:rsidTr="000A2B53">
        <w:tc>
          <w:tcPr>
            <w:tcW w:w="1908" w:type="dxa"/>
          </w:tcPr>
          <w:p w14:paraId="648CAAFB" w14:textId="6EC4C529" w:rsidR="000A2B53" w:rsidRDefault="000A2B53" w:rsidP="000A2B53">
            <w:pPr>
              <w:spacing w:line="360" w:lineRule="auto"/>
            </w:pPr>
            <w:r w:rsidRPr="00044744">
              <w:t xml:space="preserve">Irradiated </w:t>
            </w:r>
            <w:r w:rsidRPr="004D41FF">
              <w:rPr>
                <w:i/>
              </w:rPr>
              <w:t>ex vivo</w:t>
            </w:r>
            <w:r w:rsidRPr="00044744">
              <w:t xml:space="preserve"> </w:t>
            </w:r>
            <w:r w:rsidRPr="00044744">
              <w:lastRenderedPageBreak/>
              <w:t>blood from healthy donors</w:t>
            </w:r>
            <w:r>
              <w:t>.</w:t>
            </w:r>
          </w:p>
        </w:tc>
        <w:tc>
          <w:tcPr>
            <w:tcW w:w="1170" w:type="dxa"/>
          </w:tcPr>
          <w:p w14:paraId="0388482A" w14:textId="0DCCB2CE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lastRenderedPageBreak/>
              <w:t>ex vivo</w:t>
            </w:r>
          </w:p>
        </w:tc>
        <w:tc>
          <w:tcPr>
            <w:tcW w:w="1483" w:type="dxa"/>
          </w:tcPr>
          <w:p w14:paraId="00F43486" w14:textId="77777777" w:rsidR="000A2B53" w:rsidRPr="00BE0FF9" w:rsidRDefault="000A2B53" w:rsidP="000A2B53">
            <w:pPr>
              <w:spacing w:line="360" w:lineRule="auto"/>
            </w:pPr>
            <w:r w:rsidRPr="00BE0FF9">
              <w:t xml:space="preserve">Volume CT </w:t>
            </w:r>
            <w:r w:rsidRPr="00BE0FF9">
              <w:lastRenderedPageBreak/>
              <w:t>Dose Index (CTDIvol)</w:t>
            </w:r>
          </w:p>
          <w:p w14:paraId="338FA82F" w14:textId="77777777" w:rsidR="000A2B53" w:rsidRPr="00901052" w:rsidRDefault="000A2B53" w:rsidP="000A2B53">
            <w:pPr>
              <w:spacing w:line="360" w:lineRule="auto"/>
            </w:pPr>
            <w:r w:rsidRPr="00BE0FF9">
              <w:t>15.79–18.26 mGy</w:t>
            </w:r>
            <w:r>
              <w:t>; E</w:t>
            </w:r>
            <w:r w:rsidRPr="00901052">
              <w:t>ffective</w:t>
            </w:r>
          </w:p>
          <w:p w14:paraId="1E4512BB" w14:textId="2933F30F" w:rsidR="000A2B53" w:rsidRDefault="000A2B53" w:rsidP="000A2B53">
            <w:pPr>
              <w:spacing w:line="360" w:lineRule="auto"/>
            </w:pPr>
            <w:r>
              <w:t>dose 7 mSv</w:t>
            </w:r>
          </w:p>
        </w:tc>
        <w:tc>
          <w:tcPr>
            <w:tcW w:w="1496" w:type="dxa"/>
          </w:tcPr>
          <w:p w14:paraId="5AEC4E7F" w14:textId="49005F94" w:rsidR="000A2B53" w:rsidRDefault="000A2B53" w:rsidP="000A2B53">
            <w:pPr>
              <w:spacing w:line="360" w:lineRule="auto"/>
            </w:pPr>
            <w:r>
              <w:lastRenderedPageBreak/>
              <w:t>X-rays</w:t>
            </w:r>
          </w:p>
        </w:tc>
        <w:tc>
          <w:tcPr>
            <w:tcW w:w="1440" w:type="dxa"/>
          </w:tcPr>
          <w:p w14:paraId="368C51AD" w14:textId="2E5F79C9" w:rsidR="000A2B53" w:rsidRDefault="000A2B53" w:rsidP="000A2B53">
            <w:pPr>
              <w:spacing w:line="360" w:lineRule="auto"/>
            </w:pPr>
            <w:r>
              <w:t>6 h</w:t>
            </w:r>
          </w:p>
        </w:tc>
        <w:tc>
          <w:tcPr>
            <w:tcW w:w="1363" w:type="dxa"/>
          </w:tcPr>
          <w:p w14:paraId="40263722" w14:textId="1FCFDB0E" w:rsidR="000A2B53" w:rsidRDefault="000A2B53" w:rsidP="000A2B53">
            <w:pPr>
              <w:spacing w:line="360" w:lineRule="auto"/>
            </w:pPr>
            <w:r>
              <w:t xml:space="preserve">NGS </w:t>
            </w:r>
            <w:r>
              <w:lastRenderedPageBreak/>
              <w:t>validated by qPCR</w:t>
            </w:r>
          </w:p>
        </w:tc>
        <w:tc>
          <w:tcPr>
            <w:tcW w:w="2340" w:type="dxa"/>
          </w:tcPr>
          <w:p w14:paraId="151DF2AA" w14:textId="0413630F" w:rsidR="000A2B53" w:rsidRDefault="000A2B53" w:rsidP="000A2B53">
            <w:pPr>
              <w:spacing w:line="360" w:lineRule="auto"/>
            </w:pPr>
            <w:r>
              <w:lastRenderedPageBreak/>
              <w:t xml:space="preserve">Statistically </w:t>
            </w:r>
            <w:r>
              <w:lastRenderedPageBreak/>
              <w:t>significant upregulation of FDXR.</w:t>
            </w:r>
          </w:p>
        </w:tc>
        <w:tc>
          <w:tcPr>
            <w:tcW w:w="1576" w:type="dxa"/>
          </w:tcPr>
          <w:p w14:paraId="38F31908" w14:textId="76CBE80C" w:rsidR="000A2B53" w:rsidRDefault="000A2B53" w:rsidP="000A2B53">
            <w:pPr>
              <w:spacing w:line="360" w:lineRule="auto"/>
            </w:pPr>
            <w:r>
              <w:lastRenderedPageBreak/>
              <w:t xml:space="preserve">Kaatsch et al. </w:t>
            </w:r>
            <w:r>
              <w:lastRenderedPageBreak/>
              <w:t>2021</w:t>
            </w:r>
          </w:p>
        </w:tc>
      </w:tr>
      <w:tr w:rsidR="000A2B53" w14:paraId="3188242C" w14:textId="77777777" w:rsidTr="000A2B53">
        <w:tc>
          <w:tcPr>
            <w:tcW w:w="1908" w:type="dxa"/>
          </w:tcPr>
          <w:p w14:paraId="58E205E4" w14:textId="6DEE2074" w:rsidR="000A2B53" w:rsidRPr="00937898" w:rsidRDefault="000A2B53" w:rsidP="000A2B53">
            <w:pPr>
              <w:spacing w:line="360" w:lineRule="auto"/>
            </w:pPr>
            <w:r>
              <w:t xml:space="preserve">Irradiated </w:t>
            </w:r>
            <w:r w:rsidRPr="004D41FF">
              <w:rPr>
                <w:i/>
              </w:rPr>
              <w:t>ex vivo</w:t>
            </w:r>
            <w:r>
              <w:t xml:space="preserve"> blood from healthy donors and prostate cancer patients. </w:t>
            </w:r>
          </w:p>
        </w:tc>
        <w:tc>
          <w:tcPr>
            <w:tcW w:w="1170" w:type="dxa"/>
          </w:tcPr>
          <w:p w14:paraId="7208DC8F" w14:textId="433C6F35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ex vivo</w:t>
            </w:r>
          </w:p>
        </w:tc>
        <w:tc>
          <w:tcPr>
            <w:tcW w:w="1483" w:type="dxa"/>
          </w:tcPr>
          <w:p w14:paraId="590246E5" w14:textId="2F12925B" w:rsidR="000A2B53" w:rsidRPr="00937898" w:rsidRDefault="000A2B53" w:rsidP="000A2B53">
            <w:pPr>
              <w:spacing w:line="360" w:lineRule="auto"/>
            </w:pPr>
            <w:r>
              <w:t>50 mGy</w:t>
            </w:r>
          </w:p>
        </w:tc>
        <w:tc>
          <w:tcPr>
            <w:tcW w:w="1496" w:type="dxa"/>
          </w:tcPr>
          <w:p w14:paraId="47669D3A" w14:textId="72A05A3C" w:rsidR="000A2B53" w:rsidRPr="00937898" w:rsidRDefault="000A2B53" w:rsidP="000A2B53">
            <w:pPr>
              <w:spacing w:line="360" w:lineRule="auto"/>
            </w:pPr>
            <w:r>
              <w:t>X-rays</w:t>
            </w:r>
          </w:p>
        </w:tc>
        <w:tc>
          <w:tcPr>
            <w:tcW w:w="1440" w:type="dxa"/>
          </w:tcPr>
          <w:p w14:paraId="46AA9256" w14:textId="111FF933" w:rsidR="000A2B53" w:rsidRPr="00937898" w:rsidRDefault="000A2B53" w:rsidP="000A2B53">
            <w:pPr>
              <w:spacing w:line="360" w:lineRule="auto"/>
            </w:pPr>
            <w:r>
              <w:t>1 h</w:t>
            </w:r>
          </w:p>
        </w:tc>
        <w:tc>
          <w:tcPr>
            <w:tcW w:w="1363" w:type="dxa"/>
          </w:tcPr>
          <w:p w14:paraId="18BCC609" w14:textId="701AF0D1" w:rsidR="000A2B53" w:rsidRPr="00937898" w:rsidRDefault="000A2B53" w:rsidP="000A2B53">
            <w:pPr>
              <w:spacing w:line="360" w:lineRule="auto"/>
            </w:pPr>
            <w:r>
              <w:t>qPCR</w:t>
            </w:r>
          </w:p>
        </w:tc>
        <w:tc>
          <w:tcPr>
            <w:tcW w:w="2340" w:type="dxa"/>
          </w:tcPr>
          <w:p w14:paraId="1D06041D" w14:textId="3B25F813" w:rsidR="000A2B53" w:rsidRPr="00937898" w:rsidRDefault="000A2B53" w:rsidP="000A2B53">
            <w:pPr>
              <w:spacing w:line="360" w:lineRule="auto"/>
            </w:pPr>
            <w:r>
              <w:t>No statistically significant change in FDXR expression.</w:t>
            </w:r>
          </w:p>
        </w:tc>
        <w:tc>
          <w:tcPr>
            <w:tcW w:w="1576" w:type="dxa"/>
          </w:tcPr>
          <w:p w14:paraId="0AD892E5" w14:textId="31C3B4BD" w:rsidR="000A2B53" w:rsidRPr="00937898" w:rsidRDefault="000A2B53" w:rsidP="000A2B53">
            <w:pPr>
              <w:spacing w:line="360" w:lineRule="auto"/>
            </w:pPr>
            <w:r>
              <w:t>Howe et al. 2021</w:t>
            </w:r>
          </w:p>
        </w:tc>
      </w:tr>
      <w:tr w:rsidR="000A2B53" w14:paraId="77C9DFB9" w14:textId="77777777" w:rsidTr="000A2B53">
        <w:tc>
          <w:tcPr>
            <w:tcW w:w="1908" w:type="dxa"/>
          </w:tcPr>
          <w:p w14:paraId="3F174041" w14:textId="241E5D94" w:rsidR="000A2B53" w:rsidRPr="00937898" w:rsidRDefault="000A2B53" w:rsidP="000A2B53">
            <w:pPr>
              <w:spacing w:line="360" w:lineRule="auto"/>
            </w:pPr>
            <w:r w:rsidRPr="00044744">
              <w:t xml:space="preserve">Irradiated </w:t>
            </w:r>
            <w:r w:rsidRPr="004D41FF">
              <w:rPr>
                <w:i/>
              </w:rPr>
              <w:t>ex vivo</w:t>
            </w:r>
            <w:r w:rsidRPr="00044744">
              <w:t xml:space="preserve"> blood from healthy donors</w:t>
            </w:r>
            <w:r>
              <w:t>.</w:t>
            </w:r>
          </w:p>
        </w:tc>
        <w:tc>
          <w:tcPr>
            <w:tcW w:w="1170" w:type="dxa"/>
          </w:tcPr>
          <w:p w14:paraId="7A08DFC4" w14:textId="4317EE55" w:rsidR="000A2B53" w:rsidRPr="004D41FF" w:rsidRDefault="000A2B53" w:rsidP="000A2B53">
            <w:pPr>
              <w:spacing w:line="360" w:lineRule="auto"/>
              <w:rPr>
                <w:i/>
              </w:rPr>
            </w:pPr>
            <w:r w:rsidRPr="004D41FF">
              <w:rPr>
                <w:i/>
              </w:rPr>
              <w:t>ex vivo</w:t>
            </w:r>
          </w:p>
        </w:tc>
        <w:tc>
          <w:tcPr>
            <w:tcW w:w="1483" w:type="dxa"/>
          </w:tcPr>
          <w:p w14:paraId="417D6075" w14:textId="4CA42DAB" w:rsidR="000A2B53" w:rsidRPr="00937898" w:rsidRDefault="000A2B53" w:rsidP="000A2B53">
            <w:pPr>
              <w:spacing w:line="360" w:lineRule="auto"/>
            </w:pPr>
            <w:r>
              <w:t>2.6-49.7 mGy</w:t>
            </w:r>
          </w:p>
        </w:tc>
        <w:tc>
          <w:tcPr>
            <w:tcW w:w="1496" w:type="dxa"/>
          </w:tcPr>
          <w:p w14:paraId="01EA44E5" w14:textId="231C9AB9" w:rsidR="000A2B53" w:rsidRPr="00937898" w:rsidRDefault="000A2B53" w:rsidP="000A2B53">
            <w:pPr>
              <w:spacing w:line="360" w:lineRule="auto"/>
            </w:pPr>
            <w:r>
              <w:t>X-rays</w:t>
            </w:r>
          </w:p>
        </w:tc>
        <w:tc>
          <w:tcPr>
            <w:tcW w:w="1440" w:type="dxa"/>
          </w:tcPr>
          <w:p w14:paraId="1361B73F" w14:textId="1B686D72" w:rsidR="000A2B53" w:rsidRPr="00937898" w:rsidRDefault="000A2B53" w:rsidP="000A2B53">
            <w:pPr>
              <w:spacing w:line="360" w:lineRule="auto"/>
            </w:pPr>
            <w:r>
              <w:t>6 h</w:t>
            </w:r>
          </w:p>
        </w:tc>
        <w:tc>
          <w:tcPr>
            <w:tcW w:w="1363" w:type="dxa"/>
          </w:tcPr>
          <w:p w14:paraId="26BFAC41" w14:textId="546E93BC" w:rsidR="000A2B53" w:rsidRPr="00937898" w:rsidRDefault="000A2B53" w:rsidP="000A2B53">
            <w:pPr>
              <w:spacing w:line="360" w:lineRule="auto"/>
            </w:pPr>
            <w:r>
              <w:t>qPCR</w:t>
            </w:r>
          </w:p>
        </w:tc>
        <w:tc>
          <w:tcPr>
            <w:tcW w:w="2340" w:type="dxa"/>
          </w:tcPr>
          <w:p w14:paraId="22400538" w14:textId="1646C8DD" w:rsidR="000A2B53" w:rsidRPr="00937898" w:rsidRDefault="000A2B53" w:rsidP="000A2B53">
            <w:pPr>
              <w:spacing w:line="360" w:lineRule="auto"/>
            </w:pPr>
            <w:r>
              <w:t>Statistically significant upregulation of FDXR expression after 22.6 and 49.7 mGy.</w:t>
            </w:r>
          </w:p>
        </w:tc>
        <w:tc>
          <w:tcPr>
            <w:tcW w:w="1576" w:type="dxa"/>
          </w:tcPr>
          <w:p w14:paraId="0D14F363" w14:textId="3B94D151" w:rsidR="000A2B53" w:rsidRPr="00937898" w:rsidRDefault="000A2B53" w:rsidP="000A2B53">
            <w:pPr>
              <w:spacing w:line="360" w:lineRule="auto"/>
            </w:pPr>
            <w:r w:rsidRPr="00044744">
              <w:t>Schüle</w:t>
            </w:r>
            <w:r>
              <w:t xml:space="preserve"> et al. 2023</w:t>
            </w:r>
          </w:p>
        </w:tc>
      </w:tr>
    </w:tbl>
    <w:p w14:paraId="7FD87840" w14:textId="77777777" w:rsidR="00EB6982" w:rsidRDefault="00EB6982" w:rsidP="006617FA">
      <w:pPr>
        <w:spacing w:line="360" w:lineRule="auto"/>
      </w:pPr>
    </w:p>
    <w:p w14:paraId="2387AF7E" w14:textId="77777777" w:rsidR="00944132" w:rsidRPr="00AF2B02" w:rsidRDefault="00944132" w:rsidP="00944132">
      <w:pPr>
        <w:pStyle w:val="Figurecaption"/>
      </w:pPr>
    </w:p>
    <w:sectPr w:rsidR="00944132" w:rsidRPr="00AF2B02" w:rsidSect="00944132">
      <w:pgSz w:w="15840" w:h="12240" w:orient="landscape"/>
      <w:pgMar w:top="1417" w:right="1417" w:bottom="1417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03B8D" w14:textId="77777777" w:rsidR="00CE750E" w:rsidRDefault="00CE750E" w:rsidP="00902C2E">
      <w:pPr>
        <w:spacing w:line="240" w:lineRule="auto"/>
      </w:pPr>
      <w:r>
        <w:separator/>
      </w:r>
    </w:p>
  </w:endnote>
  <w:endnote w:type="continuationSeparator" w:id="0">
    <w:p w14:paraId="215D6DBC" w14:textId="77777777" w:rsidR="00CE750E" w:rsidRDefault="00CE750E" w:rsidP="00902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72"/>
      <w:docPartObj>
        <w:docPartGallery w:val="Page Numbers (Bottom of Page)"/>
        <w:docPartUnique/>
      </w:docPartObj>
    </w:sdtPr>
    <w:sdtEndPr/>
    <w:sdtContent>
      <w:p w14:paraId="32CDC89D" w14:textId="3F0D1F4B" w:rsidR="00DB105A" w:rsidRPr="00902C2E" w:rsidRDefault="00DB105A">
        <w:pPr>
          <w:pStyle w:val="Stopka"/>
          <w:jc w:val="right"/>
        </w:pPr>
        <w:r w:rsidRPr="00902C2E">
          <w:fldChar w:fldCharType="begin"/>
        </w:r>
        <w:r w:rsidRPr="00902C2E">
          <w:instrText>PAGE   \* MERGEFORMAT</w:instrText>
        </w:r>
        <w:r w:rsidRPr="00902C2E">
          <w:fldChar w:fldCharType="separate"/>
        </w:r>
        <w:r w:rsidR="008353A6" w:rsidRPr="008353A6">
          <w:rPr>
            <w:noProof/>
            <w:lang w:val="pl-PL"/>
          </w:rPr>
          <w:t>6</w:t>
        </w:r>
        <w:r w:rsidRPr="00902C2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1B022" w14:textId="77777777" w:rsidR="00CE750E" w:rsidRDefault="00CE750E" w:rsidP="00902C2E">
      <w:pPr>
        <w:spacing w:line="240" w:lineRule="auto"/>
      </w:pPr>
      <w:r>
        <w:separator/>
      </w:r>
    </w:p>
  </w:footnote>
  <w:footnote w:type="continuationSeparator" w:id="0">
    <w:p w14:paraId="7033046F" w14:textId="77777777" w:rsidR="00CE750E" w:rsidRDefault="00CE750E" w:rsidP="00902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18"/>
  </w:num>
  <w:num w:numId="21">
    <w:abstractNumId w:val="21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26"/>
    <w:rsid w:val="00000553"/>
    <w:rsid w:val="00001083"/>
    <w:rsid w:val="0000241D"/>
    <w:rsid w:val="00002668"/>
    <w:rsid w:val="000040A5"/>
    <w:rsid w:val="00005552"/>
    <w:rsid w:val="000066EF"/>
    <w:rsid w:val="00006868"/>
    <w:rsid w:val="00010DA9"/>
    <w:rsid w:val="00013C5E"/>
    <w:rsid w:val="00015B8E"/>
    <w:rsid w:val="00017174"/>
    <w:rsid w:val="0002115B"/>
    <w:rsid w:val="00022889"/>
    <w:rsid w:val="00031C87"/>
    <w:rsid w:val="00034AC4"/>
    <w:rsid w:val="000356A1"/>
    <w:rsid w:val="00042821"/>
    <w:rsid w:val="00043609"/>
    <w:rsid w:val="00044744"/>
    <w:rsid w:val="00046AE2"/>
    <w:rsid w:val="00046E93"/>
    <w:rsid w:val="00050EDD"/>
    <w:rsid w:val="000563A9"/>
    <w:rsid w:val="0006055E"/>
    <w:rsid w:val="00064055"/>
    <w:rsid w:val="000652B8"/>
    <w:rsid w:val="000658AF"/>
    <w:rsid w:val="00066DDA"/>
    <w:rsid w:val="0007300C"/>
    <w:rsid w:val="00075453"/>
    <w:rsid w:val="00075744"/>
    <w:rsid w:val="000760CD"/>
    <w:rsid w:val="00076255"/>
    <w:rsid w:val="00077347"/>
    <w:rsid w:val="00082643"/>
    <w:rsid w:val="00085613"/>
    <w:rsid w:val="00093959"/>
    <w:rsid w:val="00094D1F"/>
    <w:rsid w:val="00096321"/>
    <w:rsid w:val="00096697"/>
    <w:rsid w:val="00097E15"/>
    <w:rsid w:val="000A2B53"/>
    <w:rsid w:val="000A3F01"/>
    <w:rsid w:val="000A4694"/>
    <w:rsid w:val="000A5EBF"/>
    <w:rsid w:val="000B760C"/>
    <w:rsid w:val="000C0CBA"/>
    <w:rsid w:val="000C59E4"/>
    <w:rsid w:val="000D031B"/>
    <w:rsid w:val="000D106A"/>
    <w:rsid w:val="000D14B2"/>
    <w:rsid w:val="000D5048"/>
    <w:rsid w:val="000D50DE"/>
    <w:rsid w:val="000D6349"/>
    <w:rsid w:val="000E1827"/>
    <w:rsid w:val="000E2836"/>
    <w:rsid w:val="000E5453"/>
    <w:rsid w:val="000E6F84"/>
    <w:rsid w:val="000E7BF6"/>
    <w:rsid w:val="000F552E"/>
    <w:rsid w:val="000F6FF6"/>
    <w:rsid w:val="000F7996"/>
    <w:rsid w:val="001000A4"/>
    <w:rsid w:val="00104F10"/>
    <w:rsid w:val="00107DCE"/>
    <w:rsid w:val="00115076"/>
    <w:rsid w:val="00124859"/>
    <w:rsid w:val="001319AC"/>
    <w:rsid w:val="00132028"/>
    <w:rsid w:val="00133C21"/>
    <w:rsid w:val="00133FD3"/>
    <w:rsid w:val="001363CB"/>
    <w:rsid w:val="0014196B"/>
    <w:rsid w:val="00143B15"/>
    <w:rsid w:val="00146759"/>
    <w:rsid w:val="00157CEA"/>
    <w:rsid w:val="00160475"/>
    <w:rsid w:val="00163DEC"/>
    <w:rsid w:val="00163EDB"/>
    <w:rsid w:val="00166A3C"/>
    <w:rsid w:val="001677CD"/>
    <w:rsid w:val="001700F1"/>
    <w:rsid w:val="00170E32"/>
    <w:rsid w:val="001749B8"/>
    <w:rsid w:val="00177070"/>
    <w:rsid w:val="0018033E"/>
    <w:rsid w:val="00184FEB"/>
    <w:rsid w:val="00186C68"/>
    <w:rsid w:val="001902B5"/>
    <w:rsid w:val="001909B8"/>
    <w:rsid w:val="00196FB3"/>
    <w:rsid w:val="001978C9"/>
    <w:rsid w:val="001A1093"/>
    <w:rsid w:val="001B01A7"/>
    <w:rsid w:val="001B0A97"/>
    <w:rsid w:val="001B0CF3"/>
    <w:rsid w:val="001B0FD1"/>
    <w:rsid w:val="001B2276"/>
    <w:rsid w:val="001B2B6B"/>
    <w:rsid w:val="001B696A"/>
    <w:rsid w:val="001C283B"/>
    <w:rsid w:val="001C4B8D"/>
    <w:rsid w:val="001D3459"/>
    <w:rsid w:val="001D416D"/>
    <w:rsid w:val="001D7C06"/>
    <w:rsid w:val="001E03F6"/>
    <w:rsid w:val="001E0772"/>
    <w:rsid w:val="001E4CA8"/>
    <w:rsid w:val="001F34AA"/>
    <w:rsid w:val="001F6967"/>
    <w:rsid w:val="00204C81"/>
    <w:rsid w:val="00205E42"/>
    <w:rsid w:val="002061A1"/>
    <w:rsid w:val="00207F14"/>
    <w:rsid w:val="002115AF"/>
    <w:rsid w:val="00214E76"/>
    <w:rsid w:val="0022000C"/>
    <w:rsid w:val="00220E45"/>
    <w:rsid w:val="00221876"/>
    <w:rsid w:val="0022428A"/>
    <w:rsid w:val="00225666"/>
    <w:rsid w:val="00225FB1"/>
    <w:rsid w:val="00230D2F"/>
    <w:rsid w:val="00231D3C"/>
    <w:rsid w:val="0023269F"/>
    <w:rsid w:val="00234E50"/>
    <w:rsid w:val="0023517F"/>
    <w:rsid w:val="00240A09"/>
    <w:rsid w:val="00240D4D"/>
    <w:rsid w:val="00241DCC"/>
    <w:rsid w:val="00247134"/>
    <w:rsid w:val="00254720"/>
    <w:rsid w:val="00256AE9"/>
    <w:rsid w:val="00257348"/>
    <w:rsid w:val="00257924"/>
    <w:rsid w:val="002620B6"/>
    <w:rsid w:val="00265ADB"/>
    <w:rsid w:val="002713B7"/>
    <w:rsid w:val="00271815"/>
    <w:rsid w:val="00275F64"/>
    <w:rsid w:val="002827BB"/>
    <w:rsid w:val="00284212"/>
    <w:rsid w:val="002930C1"/>
    <w:rsid w:val="002A0079"/>
    <w:rsid w:val="002A1B66"/>
    <w:rsid w:val="002A5D72"/>
    <w:rsid w:val="002A7E83"/>
    <w:rsid w:val="002B2C4E"/>
    <w:rsid w:val="002B52D2"/>
    <w:rsid w:val="002B5C83"/>
    <w:rsid w:val="002B61E3"/>
    <w:rsid w:val="002B6319"/>
    <w:rsid w:val="002B7BA8"/>
    <w:rsid w:val="002C056D"/>
    <w:rsid w:val="002C0ACA"/>
    <w:rsid w:val="002C14E6"/>
    <w:rsid w:val="002C46FB"/>
    <w:rsid w:val="002C583B"/>
    <w:rsid w:val="002D2B70"/>
    <w:rsid w:val="002D42AC"/>
    <w:rsid w:val="002E0081"/>
    <w:rsid w:val="002E1FBD"/>
    <w:rsid w:val="002E4A70"/>
    <w:rsid w:val="002E53F3"/>
    <w:rsid w:val="0030025B"/>
    <w:rsid w:val="00300C3E"/>
    <w:rsid w:val="00301129"/>
    <w:rsid w:val="00304905"/>
    <w:rsid w:val="00305E9D"/>
    <w:rsid w:val="003105B3"/>
    <w:rsid w:val="00312006"/>
    <w:rsid w:val="00321508"/>
    <w:rsid w:val="00326457"/>
    <w:rsid w:val="00326EF7"/>
    <w:rsid w:val="003274ED"/>
    <w:rsid w:val="00330814"/>
    <w:rsid w:val="00331D4E"/>
    <w:rsid w:val="003321BD"/>
    <w:rsid w:val="00333C84"/>
    <w:rsid w:val="00334841"/>
    <w:rsid w:val="00335981"/>
    <w:rsid w:val="003410E6"/>
    <w:rsid w:val="0034551D"/>
    <w:rsid w:val="00346E11"/>
    <w:rsid w:val="00347781"/>
    <w:rsid w:val="00356026"/>
    <w:rsid w:val="0036048A"/>
    <w:rsid w:val="00360F53"/>
    <w:rsid w:val="00364AD1"/>
    <w:rsid w:val="00373AC3"/>
    <w:rsid w:val="00380FE9"/>
    <w:rsid w:val="00385F36"/>
    <w:rsid w:val="00386E9C"/>
    <w:rsid w:val="003A04C6"/>
    <w:rsid w:val="003A09B8"/>
    <w:rsid w:val="003A3C38"/>
    <w:rsid w:val="003A57BE"/>
    <w:rsid w:val="003A75AC"/>
    <w:rsid w:val="003A7EFE"/>
    <w:rsid w:val="003B2AA5"/>
    <w:rsid w:val="003B77FE"/>
    <w:rsid w:val="003C1ED2"/>
    <w:rsid w:val="003C35E2"/>
    <w:rsid w:val="003D1F6F"/>
    <w:rsid w:val="003D61F5"/>
    <w:rsid w:val="003E32E2"/>
    <w:rsid w:val="003E39F2"/>
    <w:rsid w:val="003E73E4"/>
    <w:rsid w:val="003F16D6"/>
    <w:rsid w:val="003F1A60"/>
    <w:rsid w:val="0040040F"/>
    <w:rsid w:val="00400637"/>
    <w:rsid w:val="00401592"/>
    <w:rsid w:val="00405A14"/>
    <w:rsid w:val="0041171B"/>
    <w:rsid w:val="00413073"/>
    <w:rsid w:val="004163A1"/>
    <w:rsid w:val="0042138A"/>
    <w:rsid w:val="004215E4"/>
    <w:rsid w:val="00430355"/>
    <w:rsid w:val="00431E2F"/>
    <w:rsid w:val="00437FCC"/>
    <w:rsid w:val="00442CC1"/>
    <w:rsid w:val="00442DD4"/>
    <w:rsid w:val="00450D53"/>
    <w:rsid w:val="00452150"/>
    <w:rsid w:val="004543EF"/>
    <w:rsid w:val="004555FF"/>
    <w:rsid w:val="00460646"/>
    <w:rsid w:val="0046260E"/>
    <w:rsid w:val="004631E2"/>
    <w:rsid w:val="00463559"/>
    <w:rsid w:val="00463990"/>
    <w:rsid w:val="00463A44"/>
    <w:rsid w:val="004658EE"/>
    <w:rsid w:val="0047225F"/>
    <w:rsid w:val="004738BA"/>
    <w:rsid w:val="0047631E"/>
    <w:rsid w:val="004775CE"/>
    <w:rsid w:val="00477A9F"/>
    <w:rsid w:val="00480BA3"/>
    <w:rsid w:val="004833C1"/>
    <w:rsid w:val="0048790C"/>
    <w:rsid w:val="00491BD8"/>
    <w:rsid w:val="00491DFC"/>
    <w:rsid w:val="004A084D"/>
    <w:rsid w:val="004A3E50"/>
    <w:rsid w:val="004A6227"/>
    <w:rsid w:val="004A6DAD"/>
    <w:rsid w:val="004B079B"/>
    <w:rsid w:val="004B1323"/>
    <w:rsid w:val="004B136D"/>
    <w:rsid w:val="004B2FB7"/>
    <w:rsid w:val="004B71EA"/>
    <w:rsid w:val="004C1FE3"/>
    <w:rsid w:val="004C2DCD"/>
    <w:rsid w:val="004C3188"/>
    <w:rsid w:val="004C5D9D"/>
    <w:rsid w:val="004D1783"/>
    <w:rsid w:val="004D2D09"/>
    <w:rsid w:val="004D41FF"/>
    <w:rsid w:val="004E0534"/>
    <w:rsid w:val="004E0854"/>
    <w:rsid w:val="004E69AA"/>
    <w:rsid w:val="004F07F6"/>
    <w:rsid w:val="004F2215"/>
    <w:rsid w:val="004F596E"/>
    <w:rsid w:val="004F649B"/>
    <w:rsid w:val="00501C5D"/>
    <w:rsid w:val="00503225"/>
    <w:rsid w:val="00507E8E"/>
    <w:rsid w:val="00510D71"/>
    <w:rsid w:val="00512778"/>
    <w:rsid w:val="00512829"/>
    <w:rsid w:val="00512AE4"/>
    <w:rsid w:val="00512B86"/>
    <w:rsid w:val="0051683D"/>
    <w:rsid w:val="005202D7"/>
    <w:rsid w:val="00524104"/>
    <w:rsid w:val="00530E94"/>
    <w:rsid w:val="0053220C"/>
    <w:rsid w:val="005332A9"/>
    <w:rsid w:val="00533711"/>
    <w:rsid w:val="00547ADC"/>
    <w:rsid w:val="005506EF"/>
    <w:rsid w:val="00551CBB"/>
    <w:rsid w:val="00555AAF"/>
    <w:rsid w:val="00560552"/>
    <w:rsid w:val="005642E6"/>
    <w:rsid w:val="00564DAB"/>
    <w:rsid w:val="0057217C"/>
    <w:rsid w:val="005769F5"/>
    <w:rsid w:val="00581CE1"/>
    <w:rsid w:val="00594FD0"/>
    <w:rsid w:val="005A07E2"/>
    <w:rsid w:val="005A5A65"/>
    <w:rsid w:val="005A719B"/>
    <w:rsid w:val="005B4C81"/>
    <w:rsid w:val="005B5020"/>
    <w:rsid w:val="005B5A80"/>
    <w:rsid w:val="005C6D11"/>
    <w:rsid w:val="005D0E72"/>
    <w:rsid w:val="005D28B6"/>
    <w:rsid w:val="005D364B"/>
    <w:rsid w:val="005E324A"/>
    <w:rsid w:val="005F1FAE"/>
    <w:rsid w:val="005F282B"/>
    <w:rsid w:val="005F6AC6"/>
    <w:rsid w:val="0060221B"/>
    <w:rsid w:val="00605BDE"/>
    <w:rsid w:val="00611B2B"/>
    <w:rsid w:val="00613CAB"/>
    <w:rsid w:val="00614B12"/>
    <w:rsid w:val="006163C7"/>
    <w:rsid w:val="00616EE2"/>
    <w:rsid w:val="00621F71"/>
    <w:rsid w:val="006252B1"/>
    <w:rsid w:val="006345CD"/>
    <w:rsid w:val="006348F9"/>
    <w:rsid w:val="00635028"/>
    <w:rsid w:val="0063569D"/>
    <w:rsid w:val="00636FAF"/>
    <w:rsid w:val="006416C8"/>
    <w:rsid w:val="00641B5D"/>
    <w:rsid w:val="00642309"/>
    <w:rsid w:val="00644785"/>
    <w:rsid w:val="00652833"/>
    <w:rsid w:val="0065365F"/>
    <w:rsid w:val="006558DD"/>
    <w:rsid w:val="00656454"/>
    <w:rsid w:val="006617FA"/>
    <w:rsid w:val="00662F73"/>
    <w:rsid w:val="006644B8"/>
    <w:rsid w:val="00666D85"/>
    <w:rsid w:val="0067037A"/>
    <w:rsid w:val="00670EB7"/>
    <w:rsid w:val="00671621"/>
    <w:rsid w:val="00672D18"/>
    <w:rsid w:val="0067421B"/>
    <w:rsid w:val="00680175"/>
    <w:rsid w:val="00681AEB"/>
    <w:rsid w:val="00682CB4"/>
    <w:rsid w:val="00684041"/>
    <w:rsid w:val="006854ED"/>
    <w:rsid w:val="006857F1"/>
    <w:rsid w:val="00687624"/>
    <w:rsid w:val="00691336"/>
    <w:rsid w:val="00692ED0"/>
    <w:rsid w:val="0069323E"/>
    <w:rsid w:val="0069566E"/>
    <w:rsid w:val="006A2ED6"/>
    <w:rsid w:val="006A4C2F"/>
    <w:rsid w:val="006A4CB9"/>
    <w:rsid w:val="006B133F"/>
    <w:rsid w:val="006B1A9D"/>
    <w:rsid w:val="006B2D3D"/>
    <w:rsid w:val="006B2FB8"/>
    <w:rsid w:val="006B61DC"/>
    <w:rsid w:val="006B6BB5"/>
    <w:rsid w:val="006C297B"/>
    <w:rsid w:val="006C3889"/>
    <w:rsid w:val="006D136E"/>
    <w:rsid w:val="006D1477"/>
    <w:rsid w:val="006D17B6"/>
    <w:rsid w:val="006D3C90"/>
    <w:rsid w:val="006D3FF1"/>
    <w:rsid w:val="006D4C1D"/>
    <w:rsid w:val="006E099F"/>
    <w:rsid w:val="006E0CEE"/>
    <w:rsid w:val="006E24D9"/>
    <w:rsid w:val="006E371C"/>
    <w:rsid w:val="006F05D9"/>
    <w:rsid w:val="006F1A82"/>
    <w:rsid w:val="006F24D5"/>
    <w:rsid w:val="006F4FF7"/>
    <w:rsid w:val="007114C7"/>
    <w:rsid w:val="0071376D"/>
    <w:rsid w:val="007158D7"/>
    <w:rsid w:val="007179E5"/>
    <w:rsid w:val="00731EA3"/>
    <w:rsid w:val="00737CF7"/>
    <w:rsid w:val="00742BA2"/>
    <w:rsid w:val="007434F8"/>
    <w:rsid w:val="00743A1C"/>
    <w:rsid w:val="00744151"/>
    <w:rsid w:val="00744B06"/>
    <w:rsid w:val="00751745"/>
    <w:rsid w:val="007520C2"/>
    <w:rsid w:val="00752DF6"/>
    <w:rsid w:val="00755DF5"/>
    <w:rsid w:val="007570D9"/>
    <w:rsid w:val="00757C36"/>
    <w:rsid w:val="00761248"/>
    <w:rsid w:val="00761F8A"/>
    <w:rsid w:val="007626B9"/>
    <w:rsid w:val="0076384A"/>
    <w:rsid w:val="007646DD"/>
    <w:rsid w:val="00766C01"/>
    <w:rsid w:val="00772794"/>
    <w:rsid w:val="00773046"/>
    <w:rsid w:val="00776A1C"/>
    <w:rsid w:val="00781934"/>
    <w:rsid w:val="00781F6C"/>
    <w:rsid w:val="00786E3E"/>
    <w:rsid w:val="00787711"/>
    <w:rsid w:val="00790482"/>
    <w:rsid w:val="00790EC7"/>
    <w:rsid w:val="0079203F"/>
    <w:rsid w:val="00794779"/>
    <w:rsid w:val="00795076"/>
    <w:rsid w:val="007A34E4"/>
    <w:rsid w:val="007A3FED"/>
    <w:rsid w:val="007A679D"/>
    <w:rsid w:val="007A7361"/>
    <w:rsid w:val="007B2A3F"/>
    <w:rsid w:val="007B2C7A"/>
    <w:rsid w:val="007B3EA3"/>
    <w:rsid w:val="007B7366"/>
    <w:rsid w:val="007C1AA1"/>
    <w:rsid w:val="007C2878"/>
    <w:rsid w:val="007C4B22"/>
    <w:rsid w:val="007D10EB"/>
    <w:rsid w:val="007D12B0"/>
    <w:rsid w:val="007D310A"/>
    <w:rsid w:val="007D583C"/>
    <w:rsid w:val="007D5D21"/>
    <w:rsid w:val="007E4443"/>
    <w:rsid w:val="007E4FFF"/>
    <w:rsid w:val="007E6039"/>
    <w:rsid w:val="007E6664"/>
    <w:rsid w:val="007E6DB7"/>
    <w:rsid w:val="007E7D6D"/>
    <w:rsid w:val="007F5A75"/>
    <w:rsid w:val="007F6676"/>
    <w:rsid w:val="00804D2A"/>
    <w:rsid w:val="00805B28"/>
    <w:rsid w:val="00811088"/>
    <w:rsid w:val="0081141F"/>
    <w:rsid w:val="008150DB"/>
    <w:rsid w:val="008169AB"/>
    <w:rsid w:val="00826A6D"/>
    <w:rsid w:val="008339BD"/>
    <w:rsid w:val="0083441C"/>
    <w:rsid w:val="008353A6"/>
    <w:rsid w:val="00840652"/>
    <w:rsid w:val="00840D58"/>
    <w:rsid w:val="00841A6D"/>
    <w:rsid w:val="00841EC5"/>
    <w:rsid w:val="00843DD3"/>
    <w:rsid w:val="0085471F"/>
    <w:rsid w:val="00856634"/>
    <w:rsid w:val="00862414"/>
    <w:rsid w:val="00864F4F"/>
    <w:rsid w:val="00867546"/>
    <w:rsid w:val="00867C87"/>
    <w:rsid w:val="00870F20"/>
    <w:rsid w:val="00875FED"/>
    <w:rsid w:val="008803FA"/>
    <w:rsid w:val="00880F01"/>
    <w:rsid w:val="008829BF"/>
    <w:rsid w:val="00882A23"/>
    <w:rsid w:val="00882E25"/>
    <w:rsid w:val="0088650C"/>
    <w:rsid w:val="00886723"/>
    <w:rsid w:val="00894294"/>
    <w:rsid w:val="00894676"/>
    <w:rsid w:val="00897039"/>
    <w:rsid w:val="00897043"/>
    <w:rsid w:val="008A04E8"/>
    <w:rsid w:val="008A2AB6"/>
    <w:rsid w:val="008B20B7"/>
    <w:rsid w:val="008B293E"/>
    <w:rsid w:val="008C0B42"/>
    <w:rsid w:val="008C1A23"/>
    <w:rsid w:val="008C6B23"/>
    <w:rsid w:val="008D0B14"/>
    <w:rsid w:val="008D1678"/>
    <w:rsid w:val="008E0BBE"/>
    <w:rsid w:val="008E1D02"/>
    <w:rsid w:val="008E3205"/>
    <w:rsid w:val="008F0436"/>
    <w:rsid w:val="008F0B69"/>
    <w:rsid w:val="008F2D66"/>
    <w:rsid w:val="008F3ECB"/>
    <w:rsid w:val="008F6474"/>
    <w:rsid w:val="008F7646"/>
    <w:rsid w:val="009006D2"/>
    <w:rsid w:val="00901052"/>
    <w:rsid w:val="00901F63"/>
    <w:rsid w:val="00902C2E"/>
    <w:rsid w:val="00906BE7"/>
    <w:rsid w:val="00911863"/>
    <w:rsid w:val="00914C38"/>
    <w:rsid w:val="00916694"/>
    <w:rsid w:val="00917A2F"/>
    <w:rsid w:val="00917B7D"/>
    <w:rsid w:val="0092396E"/>
    <w:rsid w:val="009314A5"/>
    <w:rsid w:val="00933440"/>
    <w:rsid w:val="009340E0"/>
    <w:rsid w:val="009355D6"/>
    <w:rsid w:val="0093664E"/>
    <w:rsid w:val="00937898"/>
    <w:rsid w:val="00942053"/>
    <w:rsid w:val="00944132"/>
    <w:rsid w:val="00945759"/>
    <w:rsid w:val="009500F7"/>
    <w:rsid w:val="00951EF6"/>
    <w:rsid w:val="009538E2"/>
    <w:rsid w:val="00954072"/>
    <w:rsid w:val="0095710D"/>
    <w:rsid w:val="00963E9C"/>
    <w:rsid w:val="0096572E"/>
    <w:rsid w:val="00966292"/>
    <w:rsid w:val="00972C90"/>
    <w:rsid w:val="00973167"/>
    <w:rsid w:val="009741B6"/>
    <w:rsid w:val="00974A73"/>
    <w:rsid w:val="00982B90"/>
    <w:rsid w:val="00995EDE"/>
    <w:rsid w:val="00997F0F"/>
    <w:rsid w:val="009A165D"/>
    <w:rsid w:val="009A2F01"/>
    <w:rsid w:val="009A5642"/>
    <w:rsid w:val="009B25EA"/>
    <w:rsid w:val="009B5DAA"/>
    <w:rsid w:val="009C0888"/>
    <w:rsid w:val="009C08F2"/>
    <w:rsid w:val="009C25F0"/>
    <w:rsid w:val="009C30CD"/>
    <w:rsid w:val="009D0816"/>
    <w:rsid w:val="009D0FA6"/>
    <w:rsid w:val="009D15F9"/>
    <w:rsid w:val="009D47DC"/>
    <w:rsid w:val="009D5E50"/>
    <w:rsid w:val="009E709A"/>
    <w:rsid w:val="009F1AF7"/>
    <w:rsid w:val="009F6C5E"/>
    <w:rsid w:val="00A006EB"/>
    <w:rsid w:val="00A00D0F"/>
    <w:rsid w:val="00A06B49"/>
    <w:rsid w:val="00A2009B"/>
    <w:rsid w:val="00A20166"/>
    <w:rsid w:val="00A242AC"/>
    <w:rsid w:val="00A25EF0"/>
    <w:rsid w:val="00A27104"/>
    <w:rsid w:val="00A27FE8"/>
    <w:rsid w:val="00A31878"/>
    <w:rsid w:val="00A32C39"/>
    <w:rsid w:val="00A3579C"/>
    <w:rsid w:val="00A35DA8"/>
    <w:rsid w:val="00A42CC9"/>
    <w:rsid w:val="00A45574"/>
    <w:rsid w:val="00A47F0B"/>
    <w:rsid w:val="00A5308B"/>
    <w:rsid w:val="00A55D73"/>
    <w:rsid w:val="00A5696F"/>
    <w:rsid w:val="00A56AAD"/>
    <w:rsid w:val="00A5776A"/>
    <w:rsid w:val="00A57CA2"/>
    <w:rsid w:val="00A661A7"/>
    <w:rsid w:val="00A66A1A"/>
    <w:rsid w:val="00A72D6D"/>
    <w:rsid w:val="00A7600E"/>
    <w:rsid w:val="00A80602"/>
    <w:rsid w:val="00A836F4"/>
    <w:rsid w:val="00A84927"/>
    <w:rsid w:val="00A85AE1"/>
    <w:rsid w:val="00A8632C"/>
    <w:rsid w:val="00A8709F"/>
    <w:rsid w:val="00A87DFB"/>
    <w:rsid w:val="00A87EA2"/>
    <w:rsid w:val="00A955C6"/>
    <w:rsid w:val="00A973BB"/>
    <w:rsid w:val="00AA0FBC"/>
    <w:rsid w:val="00AA231B"/>
    <w:rsid w:val="00AA70A8"/>
    <w:rsid w:val="00AB3C5D"/>
    <w:rsid w:val="00AC5A38"/>
    <w:rsid w:val="00AC5DD3"/>
    <w:rsid w:val="00AD0AB1"/>
    <w:rsid w:val="00AD3032"/>
    <w:rsid w:val="00AD5178"/>
    <w:rsid w:val="00AE5602"/>
    <w:rsid w:val="00AE58F8"/>
    <w:rsid w:val="00AF1A92"/>
    <w:rsid w:val="00AF2B02"/>
    <w:rsid w:val="00B0305D"/>
    <w:rsid w:val="00B0427E"/>
    <w:rsid w:val="00B06B45"/>
    <w:rsid w:val="00B16CF9"/>
    <w:rsid w:val="00B2282C"/>
    <w:rsid w:val="00B315E9"/>
    <w:rsid w:val="00B322B2"/>
    <w:rsid w:val="00B35F82"/>
    <w:rsid w:val="00B36ABB"/>
    <w:rsid w:val="00B41555"/>
    <w:rsid w:val="00B41CB8"/>
    <w:rsid w:val="00B42195"/>
    <w:rsid w:val="00B4539A"/>
    <w:rsid w:val="00B50E8B"/>
    <w:rsid w:val="00B5170D"/>
    <w:rsid w:val="00B54889"/>
    <w:rsid w:val="00B55354"/>
    <w:rsid w:val="00B6439B"/>
    <w:rsid w:val="00B64473"/>
    <w:rsid w:val="00B64821"/>
    <w:rsid w:val="00B661BD"/>
    <w:rsid w:val="00B67392"/>
    <w:rsid w:val="00B6781D"/>
    <w:rsid w:val="00B67B48"/>
    <w:rsid w:val="00B71CE5"/>
    <w:rsid w:val="00B743AF"/>
    <w:rsid w:val="00B74B19"/>
    <w:rsid w:val="00B751FD"/>
    <w:rsid w:val="00B76516"/>
    <w:rsid w:val="00B80B08"/>
    <w:rsid w:val="00B81123"/>
    <w:rsid w:val="00B81873"/>
    <w:rsid w:val="00B87598"/>
    <w:rsid w:val="00B91026"/>
    <w:rsid w:val="00B950FE"/>
    <w:rsid w:val="00B95740"/>
    <w:rsid w:val="00BA086E"/>
    <w:rsid w:val="00BA730E"/>
    <w:rsid w:val="00BB0148"/>
    <w:rsid w:val="00BB62B5"/>
    <w:rsid w:val="00BB78AD"/>
    <w:rsid w:val="00BC12C6"/>
    <w:rsid w:val="00BC1595"/>
    <w:rsid w:val="00BD07E4"/>
    <w:rsid w:val="00BD4ECD"/>
    <w:rsid w:val="00BE0FF9"/>
    <w:rsid w:val="00BE776F"/>
    <w:rsid w:val="00BF04E5"/>
    <w:rsid w:val="00BF57E1"/>
    <w:rsid w:val="00BF7E2A"/>
    <w:rsid w:val="00C06205"/>
    <w:rsid w:val="00C134E7"/>
    <w:rsid w:val="00C167F1"/>
    <w:rsid w:val="00C20C72"/>
    <w:rsid w:val="00C20FF1"/>
    <w:rsid w:val="00C226B6"/>
    <w:rsid w:val="00C26609"/>
    <w:rsid w:val="00C3203C"/>
    <w:rsid w:val="00C41B3D"/>
    <w:rsid w:val="00C43A65"/>
    <w:rsid w:val="00C51480"/>
    <w:rsid w:val="00C532CB"/>
    <w:rsid w:val="00C543FB"/>
    <w:rsid w:val="00C546E3"/>
    <w:rsid w:val="00C60CA8"/>
    <w:rsid w:val="00C62544"/>
    <w:rsid w:val="00C66785"/>
    <w:rsid w:val="00C66ABE"/>
    <w:rsid w:val="00C70150"/>
    <w:rsid w:val="00C71160"/>
    <w:rsid w:val="00C71F1C"/>
    <w:rsid w:val="00C72406"/>
    <w:rsid w:val="00C744C4"/>
    <w:rsid w:val="00C826B2"/>
    <w:rsid w:val="00C868FB"/>
    <w:rsid w:val="00C92139"/>
    <w:rsid w:val="00C96E08"/>
    <w:rsid w:val="00C973CA"/>
    <w:rsid w:val="00CA00B3"/>
    <w:rsid w:val="00CA5EC2"/>
    <w:rsid w:val="00CA7D0F"/>
    <w:rsid w:val="00CB5BA5"/>
    <w:rsid w:val="00CB5D07"/>
    <w:rsid w:val="00CC755B"/>
    <w:rsid w:val="00CD4821"/>
    <w:rsid w:val="00CD55FA"/>
    <w:rsid w:val="00CE1486"/>
    <w:rsid w:val="00CE2EE8"/>
    <w:rsid w:val="00CE750E"/>
    <w:rsid w:val="00CE7CC2"/>
    <w:rsid w:val="00CF0A7E"/>
    <w:rsid w:val="00CF0D2B"/>
    <w:rsid w:val="00CF1C1F"/>
    <w:rsid w:val="00CF1C35"/>
    <w:rsid w:val="00CF6FD9"/>
    <w:rsid w:val="00CF7EEF"/>
    <w:rsid w:val="00D02E2B"/>
    <w:rsid w:val="00D03452"/>
    <w:rsid w:val="00D03C33"/>
    <w:rsid w:val="00D03E85"/>
    <w:rsid w:val="00D04F31"/>
    <w:rsid w:val="00D10448"/>
    <w:rsid w:val="00D1585C"/>
    <w:rsid w:val="00D17C81"/>
    <w:rsid w:val="00D328AF"/>
    <w:rsid w:val="00D339B0"/>
    <w:rsid w:val="00D34F84"/>
    <w:rsid w:val="00D34FA2"/>
    <w:rsid w:val="00D4015A"/>
    <w:rsid w:val="00D418E3"/>
    <w:rsid w:val="00D42766"/>
    <w:rsid w:val="00D44297"/>
    <w:rsid w:val="00D45730"/>
    <w:rsid w:val="00D46641"/>
    <w:rsid w:val="00D47D78"/>
    <w:rsid w:val="00D52698"/>
    <w:rsid w:val="00D537B7"/>
    <w:rsid w:val="00D5424A"/>
    <w:rsid w:val="00D55502"/>
    <w:rsid w:val="00D55CDE"/>
    <w:rsid w:val="00D56E20"/>
    <w:rsid w:val="00D57A34"/>
    <w:rsid w:val="00D61F2C"/>
    <w:rsid w:val="00D62CD0"/>
    <w:rsid w:val="00D62F1A"/>
    <w:rsid w:val="00D6655F"/>
    <w:rsid w:val="00D66601"/>
    <w:rsid w:val="00D71761"/>
    <w:rsid w:val="00D71834"/>
    <w:rsid w:val="00D7474F"/>
    <w:rsid w:val="00D74943"/>
    <w:rsid w:val="00D7561B"/>
    <w:rsid w:val="00D81842"/>
    <w:rsid w:val="00D82A39"/>
    <w:rsid w:val="00D82AEF"/>
    <w:rsid w:val="00D839EC"/>
    <w:rsid w:val="00D87162"/>
    <w:rsid w:val="00D876B0"/>
    <w:rsid w:val="00D87872"/>
    <w:rsid w:val="00D90F07"/>
    <w:rsid w:val="00D910CA"/>
    <w:rsid w:val="00D95495"/>
    <w:rsid w:val="00D96BCB"/>
    <w:rsid w:val="00D96ED7"/>
    <w:rsid w:val="00D97D1E"/>
    <w:rsid w:val="00DA0026"/>
    <w:rsid w:val="00DA3C0B"/>
    <w:rsid w:val="00DA4312"/>
    <w:rsid w:val="00DB105A"/>
    <w:rsid w:val="00DB1430"/>
    <w:rsid w:val="00DB3091"/>
    <w:rsid w:val="00DB35F1"/>
    <w:rsid w:val="00DB3E0E"/>
    <w:rsid w:val="00DC3092"/>
    <w:rsid w:val="00DC367C"/>
    <w:rsid w:val="00DC540D"/>
    <w:rsid w:val="00DD2E64"/>
    <w:rsid w:val="00DD603C"/>
    <w:rsid w:val="00DE1F1C"/>
    <w:rsid w:val="00DE2237"/>
    <w:rsid w:val="00DE4D14"/>
    <w:rsid w:val="00DE6FAB"/>
    <w:rsid w:val="00DF3359"/>
    <w:rsid w:val="00DF40C1"/>
    <w:rsid w:val="00DF5FB5"/>
    <w:rsid w:val="00DF6DDF"/>
    <w:rsid w:val="00E01B84"/>
    <w:rsid w:val="00E15338"/>
    <w:rsid w:val="00E16299"/>
    <w:rsid w:val="00E214D9"/>
    <w:rsid w:val="00E31AC3"/>
    <w:rsid w:val="00E31BF5"/>
    <w:rsid w:val="00E32F15"/>
    <w:rsid w:val="00E36217"/>
    <w:rsid w:val="00E42CE9"/>
    <w:rsid w:val="00E43A27"/>
    <w:rsid w:val="00E465E6"/>
    <w:rsid w:val="00E53EA3"/>
    <w:rsid w:val="00E54C40"/>
    <w:rsid w:val="00E608D9"/>
    <w:rsid w:val="00E70204"/>
    <w:rsid w:val="00E7494D"/>
    <w:rsid w:val="00E77A9A"/>
    <w:rsid w:val="00E81D44"/>
    <w:rsid w:val="00E91B68"/>
    <w:rsid w:val="00E97F54"/>
    <w:rsid w:val="00EA3FAE"/>
    <w:rsid w:val="00EA53DE"/>
    <w:rsid w:val="00EB0C1E"/>
    <w:rsid w:val="00EB1714"/>
    <w:rsid w:val="00EB2BB8"/>
    <w:rsid w:val="00EB3B1D"/>
    <w:rsid w:val="00EB4634"/>
    <w:rsid w:val="00EB617E"/>
    <w:rsid w:val="00EB6628"/>
    <w:rsid w:val="00EB6982"/>
    <w:rsid w:val="00EC2422"/>
    <w:rsid w:val="00EC5D6B"/>
    <w:rsid w:val="00EC6913"/>
    <w:rsid w:val="00ED1063"/>
    <w:rsid w:val="00ED4C76"/>
    <w:rsid w:val="00EE0418"/>
    <w:rsid w:val="00EE4901"/>
    <w:rsid w:val="00EF115F"/>
    <w:rsid w:val="00EF2A32"/>
    <w:rsid w:val="00EF3C31"/>
    <w:rsid w:val="00EF5389"/>
    <w:rsid w:val="00EF5872"/>
    <w:rsid w:val="00EF6F58"/>
    <w:rsid w:val="00EF7699"/>
    <w:rsid w:val="00EF78A8"/>
    <w:rsid w:val="00F00A50"/>
    <w:rsid w:val="00F04F12"/>
    <w:rsid w:val="00F11F8C"/>
    <w:rsid w:val="00F12B57"/>
    <w:rsid w:val="00F14616"/>
    <w:rsid w:val="00F15AB8"/>
    <w:rsid w:val="00F171FE"/>
    <w:rsid w:val="00F17B3F"/>
    <w:rsid w:val="00F253D0"/>
    <w:rsid w:val="00F30C71"/>
    <w:rsid w:val="00F35269"/>
    <w:rsid w:val="00F4285D"/>
    <w:rsid w:val="00F53704"/>
    <w:rsid w:val="00F55AAA"/>
    <w:rsid w:val="00F569A2"/>
    <w:rsid w:val="00F61C62"/>
    <w:rsid w:val="00F62713"/>
    <w:rsid w:val="00F64987"/>
    <w:rsid w:val="00F652C9"/>
    <w:rsid w:val="00F70FE1"/>
    <w:rsid w:val="00F7443D"/>
    <w:rsid w:val="00F77207"/>
    <w:rsid w:val="00F80998"/>
    <w:rsid w:val="00F84854"/>
    <w:rsid w:val="00F877F0"/>
    <w:rsid w:val="00F9049D"/>
    <w:rsid w:val="00F916A1"/>
    <w:rsid w:val="00F928BD"/>
    <w:rsid w:val="00F95203"/>
    <w:rsid w:val="00F95E75"/>
    <w:rsid w:val="00FA1B49"/>
    <w:rsid w:val="00FA55E0"/>
    <w:rsid w:val="00FA5A12"/>
    <w:rsid w:val="00FA7330"/>
    <w:rsid w:val="00FB1131"/>
    <w:rsid w:val="00FB3262"/>
    <w:rsid w:val="00FB45B4"/>
    <w:rsid w:val="00FB7AF0"/>
    <w:rsid w:val="00FD22C8"/>
    <w:rsid w:val="00FD3D51"/>
    <w:rsid w:val="00FD4022"/>
    <w:rsid w:val="00FD5C40"/>
    <w:rsid w:val="00FD6C04"/>
    <w:rsid w:val="00FE019E"/>
    <w:rsid w:val="00FE2AFB"/>
    <w:rsid w:val="00FF2257"/>
    <w:rsid w:val="00FF50E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85DB"/>
  <w15:docId w15:val="{AF218C64-7B3E-4234-9F3C-B92AE6A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B5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Paragraph"/>
    <w:link w:val="Nagwek1Znak"/>
    <w:qFormat/>
    <w:rsid w:val="000A2B53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Paragraph"/>
    <w:link w:val="Nagwek2Znak"/>
    <w:qFormat/>
    <w:rsid w:val="000A2B53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Nagwek3">
    <w:name w:val="heading 3"/>
    <w:basedOn w:val="Normalny"/>
    <w:next w:val="Paragraph"/>
    <w:link w:val="Nagwek3Znak"/>
    <w:qFormat/>
    <w:rsid w:val="000A2B53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Nagwek4">
    <w:name w:val="heading 4"/>
    <w:basedOn w:val="Paragraph"/>
    <w:next w:val="Newparagraph"/>
    <w:link w:val="Nagwek4Znak"/>
    <w:rsid w:val="000A2B53"/>
    <w:pPr>
      <w:spacing w:before="36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  <w:rsid w:val="000A2B5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0A2B53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0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474E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97"/>
    <w:rPr>
      <w:rFonts w:ascii="Tahoma" w:hAnsi="Tahoma" w:cs="Tahoma"/>
      <w:sz w:val="16"/>
      <w:szCs w:val="16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rsid w:val="000A2B53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NagwekZnak">
    <w:name w:val="Nagłówek Znak"/>
    <w:basedOn w:val="Domylnaczcionkaakapitu"/>
    <w:link w:val="Nagwek"/>
    <w:rsid w:val="000A2B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rsid w:val="000A2B53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StopkaZnak">
    <w:name w:val="Stopka Znak"/>
    <w:basedOn w:val="Domylnaczcionkaakapitu"/>
    <w:link w:val="Stopka"/>
    <w:rsid w:val="000A2B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0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0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34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339B0"/>
    <w:rPr>
      <w:color w:val="0563C1" w:themeColor="hyperlink"/>
      <w:u w:val="single"/>
    </w:rPr>
  </w:style>
  <w:style w:type="character" w:customStyle="1" w:styleId="authors-list-item">
    <w:name w:val="authors-list-item"/>
    <w:basedOn w:val="Domylnaczcionkaakapitu"/>
    <w:rsid w:val="00044744"/>
  </w:style>
  <w:style w:type="paragraph" w:customStyle="1" w:styleId="Articletitle">
    <w:name w:val="Article title"/>
    <w:basedOn w:val="Normalny"/>
    <w:next w:val="Normalny"/>
    <w:qFormat/>
    <w:rsid w:val="000A2B53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ny"/>
    <w:next w:val="Normalny"/>
    <w:qFormat/>
    <w:rsid w:val="000A2B53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ny"/>
    <w:qFormat/>
    <w:rsid w:val="000A2B53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ny"/>
    <w:qFormat/>
    <w:rsid w:val="000A2B53"/>
  </w:style>
  <w:style w:type="paragraph" w:customStyle="1" w:styleId="Abstract">
    <w:name w:val="Abstract"/>
    <w:basedOn w:val="Normalny"/>
    <w:next w:val="Keywords"/>
    <w:qFormat/>
    <w:rsid w:val="000A2B5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ny"/>
    <w:next w:val="Paragraph"/>
    <w:qFormat/>
    <w:rsid w:val="000A2B53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ny"/>
    <w:qFormat/>
    <w:rsid w:val="000A2B53"/>
    <w:pPr>
      <w:spacing w:before="240" w:line="360" w:lineRule="auto"/>
    </w:pPr>
  </w:style>
  <w:style w:type="paragraph" w:customStyle="1" w:styleId="Displayedquotation">
    <w:name w:val="Displayed quotation"/>
    <w:basedOn w:val="Normalny"/>
    <w:qFormat/>
    <w:rsid w:val="000A2B53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0A2B53"/>
    <w:pPr>
      <w:widowControl/>
      <w:numPr>
        <w:numId w:val="13"/>
      </w:numPr>
      <w:spacing w:after="240"/>
      <w:contextualSpacing/>
    </w:pPr>
  </w:style>
  <w:style w:type="paragraph" w:customStyle="1" w:styleId="Displayedequation">
    <w:name w:val="Displayed equation"/>
    <w:basedOn w:val="Normalny"/>
    <w:next w:val="Paragraph"/>
    <w:qFormat/>
    <w:rsid w:val="000A2B53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ny"/>
    <w:next w:val="Normalny"/>
    <w:qFormat/>
    <w:rsid w:val="000A2B5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ny"/>
    <w:next w:val="Normalny"/>
    <w:qFormat/>
    <w:rsid w:val="000A2B53"/>
    <w:pPr>
      <w:spacing w:before="240" w:line="360" w:lineRule="auto"/>
    </w:pPr>
  </w:style>
  <w:style w:type="paragraph" w:customStyle="1" w:styleId="Figurecaption">
    <w:name w:val="Figure caption"/>
    <w:basedOn w:val="Normalny"/>
    <w:next w:val="Normalny"/>
    <w:qFormat/>
    <w:rsid w:val="000A2B53"/>
    <w:pPr>
      <w:spacing w:before="240" w:line="360" w:lineRule="auto"/>
    </w:pPr>
  </w:style>
  <w:style w:type="paragraph" w:customStyle="1" w:styleId="Footnotes">
    <w:name w:val="Footnotes"/>
    <w:basedOn w:val="Normalny"/>
    <w:qFormat/>
    <w:rsid w:val="000A2B53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ny"/>
    <w:qFormat/>
    <w:rsid w:val="000A2B53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ny"/>
    <w:next w:val="Normalny"/>
    <w:rsid w:val="000A2B53"/>
  </w:style>
  <w:style w:type="paragraph" w:customStyle="1" w:styleId="Paragraph">
    <w:name w:val="Paragraph"/>
    <w:basedOn w:val="Normalny"/>
    <w:next w:val="Newparagraph"/>
    <w:qFormat/>
    <w:rsid w:val="000A2B53"/>
    <w:pPr>
      <w:widowControl w:val="0"/>
      <w:spacing w:before="240"/>
    </w:pPr>
  </w:style>
  <w:style w:type="paragraph" w:customStyle="1" w:styleId="Newparagraph">
    <w:name w:val="New paragraph"/>
    <w:basedOn w:val="Normalny"/>
    <w:qFormat/>
    <w:rsid w:val="000A2B53"/>
    <w:pPr>
      <w:ind w:firstLine="720"/>
    </w:pPr>
  </w:style>
  <w:style w:type="paragraph" w:styleId="Wcicienormalne">
    <w:name w:val="Normal Indent"/>
    <w:basedOn w:val="Normalny"/>
    <w:rsid w:val="000A2B53"/>
    <w:pPr>
      <w:ind w:left="720"/>
    </w:pPr>
  </w:style>
  <w:style w:type="paragraph" w:customStyle="1" w:styleId="References">
    <w:name w:val="References"/>
    <w:basedOn w:val="Normalny"/>
    <w:qFormat/>
    <w:rsid w:val="000A2B53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A2B53"/>
  </w:style>
  <w:style w:type="character" w:customStyle="1" w:styleId="Nagwek2Znak">
    <w:name w:val="Nagłówek 2 Znak"/>
    <w:basedOn w:val="Domylnaczcionkaakapitu"/>
    <w:link w:val="Nagwek2"/>
    <w:rsid w:val="000A2B53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Nagwek1Znak">
    <w:name w:val="Nagłówek 1 Znak"/>
    <w:basedOn w:val="Domylnaczcionkaakapitu"/>
    <w:link w:val="Nagwek1"/>
    <w:rsid w:val="000A2B53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Nagwek3Znak">
    <w:name w:val="Nagłówek 3 Znak"/>
    <w:basedOn w:val="Domylnaczcionkaakapitu"/>
    <w:link w:val="Nagwek3"/>
    <w:rsid w:val="000A2B53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paragraph" w:customStyle="1" w:styleId="Bulletedlist">
    <w:name w:val="Bulleted list"/>
    <w:basedOn w:val="Paragraph"/>
    <w:next w:val="Paragraph"/>
    <w:qFormat/>
    <w:rsid w:val="000A2B53"/>
    <w:pPr>
      <w:widowControl/>
      <w:numPr>
        <w:numId w:val="14"/>
      </w:numPr>
      <w:spacing w:after="240"/>
      <w:contextualSpacing/>
    </w:pPr>
  </w:style>
  <w:style w:type="paragraph" w:styleId="Tekstprzypisudolnego">
    <w:name w:val="footnote text"/>
    <w:basedOn w:val="Normalny"/>
    <w:link w:val="TekstprzypisudolnegoZnak"/>
    <w:autoRedefine/>
    <w:rsid w:val="000A2B53"/>
    <w:pPr>
      <w:ind w:left="284" w:hanging="284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B53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Odwoanieprzypisudolnego">
    <w:name w:val="footnote reference"/>
    <w:basedOn w:val="Domylnaczcionkaakapitu"/>
    <w:rsid w:val="000A2B53"/>
    <w:rPr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rsid w:val="000A2B53"/>
    <w:pPr>
      <w:ind w:left="284" w:hanging="284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B53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Odwoanieprzypisukocowego">
    <w:name w:val="endnote reference"/>
    <w:basedOn w:val="Domylnaczcionkaakapitu"/>
    <w:rsid w:val="000A2B5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0A2B53"/>
    <w:rPr>
      <w:rFonts w:ascii="Times New Roman" w:eastAsia="Times New Roman" w:hAnsi="Times New Roman" w:cs="Times New Roman"/>
      <w:bCs/>
      <w:sz w:val="24"/>
      <w:szCs w:val="28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0A2B53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brzoska\AppData\Roaming\Microsoft\Szablony\TF_Template_Word_Windows_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3azz7VeL5VWyLKlgagWVnju4cw==">CgMxLjAyCGguZ2pkZ3hzMg5oLm02MnZ4YnNveG9iMTIJaC4zMGowemxsOAByITF5aDMtTjVqUnJVd0dsRWo5Y3d6TEEwWFJBUG9CdmtXcQ==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13C42B-305F-4E25-941C-9C00AC67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TF_Template_Word_Windows_2013.dotx</Template>
  <TotalTime>1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Brzóska</dc:creator>
  <cp:lastModifiedBy>Kamil Brzóska</cp:lastModifiedBy>
  <cp:revision>2</cp:revision>
  <dcterms:created xsi:type="dcterms:W3CDTF">2024-03-04T09:12:00Z</dcterms:created>
  <dcterms:modified xsi:type="dcterms:W3CDTF">2024-03-04T09:12:00Z</dcterms:modified>
</cp:coreProperties>
</file>