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E0523" w14:textId="329F7CB0" w:rsidR="00AA6302" w:rsidRPr="000915D0" w:rsidRDefault="00573866" w:rsidP="00D63957">
      <w:pPr>
        <w:spacing w:line="360" w:lineRule="auto"/>
        <w:jc w:val="center"/>
        <w:rPr>
          <w:rFonts w:ascii="Times New Roman" w:hAnsi="Times New Roman" w:cs="Times New Roman"/>
          <w:b/>
          <w:sz w:val="24"/>
          <w:szCs w:val="24"/>
        </w:rPr>
      </w:pPr>
      <w:r w:rsidRPr="000915D0">
        <w:rPr>
          <w:rFonts w:ascii="Times New Roman" w:hAnsi="Times New Roman" w:cs="Times New Roman"/>
          <w:b/>
          <w:sz w:val="24"/>
          <w:szCs w:val="24"/>
        </w:rPr>
        <w:t>Freins et leviers de la mobilisation sociale</w:t>
      </w:r>
      <w:r w:rsidR="001A4D13" w:rsidRPr="000915D0">
        <w:rPr>
          <w:rFonts w:ascii="Times New Roman" w:hAnsi="Times New Roman" w:cs="Times New Roman"/>
          <w:b/>
          <w:sz w:val="24"/>
          <w:szCs w:val="24"/>
        </w:rPr>
        <w:t> :</w:t>
      </w:r>
      <w:r w:rsidR="0054116A">
        <w:rPr>
          <w:rFonts w:ascii="Times New Roman" w:hAnsi="Times New Roman" w:cs="Times New Roman"/>
          <w:b/>
          <w:sz w:val="24"/>
          <w:szCs w:val="24"/>
        </w:rPr>
        <w:br/>
        <w:t>L</w:t>
      </w:r>
      <w:r w:rsidR="00D63957" w:rsidRPr="000915D0">
        <w:rPr>
          <w:rFonts w:ascii="Times New Roman" w:hAnsi="Times New Roman" w:cs="Times New Roman"/>
          <w:b/>
          <w:sz w:val="24"/>
          <w:szCs w:val="24"/>
        </w:rPr>
        <w:t>’</w:t>
      </w:r>
      <w:r w:rsidR="005E2DB0" w:rsidRPr="000915D0">
        <w:rPr>
          <w:rFonts w:ascii="Times New Roman" w:hAnsi="Times New Roman" w:cs="Times New Roman"/>
          <w:b/>
          <w:sz w:val="24"/>
          <w:szCs w:val="24"/>
        </w:rPr>
        <w:t>histoire de la co</w:t>
      </w:r>
      <w:r w:rsidR="00D63957" w:rsidRPr="000915D0">
        <w:rPr>
          <w:rFonts w:ascii="Times New Roman" w:hAnsi="Times New Roman" w:cs="Times New Roman"/>
          <w:b/>
          <w:sz w:val="24"/>
          <w:szCs w:val="24"/>
        </w:rPr>
        <w:t>détermination en France et en Allemagne</w:t>
      </w:r>
    </w:p>
    <w:p w14:paraId="2077EDE7" w14:textId="77777777" w:rsidR="00D63957" w:rsidRDefault="00D63957" w:rsidP="00D63957">
      <w:pPr>
        <w:spacing w:line="360" w:lineRule="auto"/>
        <w:jc w:val="center"/>
        <w:rPr>
          <w:rFonts w:ascii="Times New Roman" w:hAnsi="Times New Roman" w:cs="Times New Roman"/>
          <w:sz w:val="24"/>
          <w:szCs w:val="24"/>
        </w:rPr>
      </w:pPr>
    </w:p>
    <w:p w14:paraId="239D956E" w14:textId="1CCB5DF2" w:rsidR="000F436E" w:rsidRDefault="000F436E" w:rsidP="00D63957">
      <w:pPr>
        <w:spacing w:line="360" w:lineRule="auto"/>
        <w:jc w:val="center"/>
        <w:rPr>
          <w:rFonts w:ascii="Times New Roman" w:hAnsi="Times New Roman" w:cs="Times New Roman"/>
          <w:sz w:val="24"/>
          <w:szCs w:val="24"/>
        </w:rPr>
      </w:pPr>
      <w:r>
        <w:rPr>
          <w:rFonts w:ascii="Times New Roman" w:hAnsi="Times New Roman" w:cs="Times New Roman"/>
          <w:sz w:val="24"/>
          <w:szCs w:val="24"/>
        </w:rPr>
        <w:t>Nicolas Aubert</w:t>
      </w:r>
    </w:p>
    <w:p w14:paraId="2A62E908" w14:textId="7E49E235" w:rsidR="00D63957" w:rsidRDefault="00AF7574" w:rsidP="00D63957">
      <w:pPr>
        <w:spacing w:line="360" w:lineRule="auto"/>
        <w:jc w:val="center"/>
        <w:rPr>
          <w:rFonts w:ascii="Times New Roman" w:hAnsi="Times New Roman" w:cs="Times New Roman"/>
          <w:sz w:val="24"/>
          <w:szCs w:val="24"/>
        </w:rPr>
      </w:pPr>
      <w:r w:rsidRPr="00AF7574">
        <w:rPr>
          <w:rFonts w:ascii="Times New Roman" w:hAnsi="Times New Roman" w:cs="Times New Roman"/>
          <w:sz w:val="24"/>
          <w:szCs w:val="24"/>
        </w:rPr>
        <w:t xml:space="preserve">Aix Marseille Univ, Université de Toulon, CERGAM, Aix-en-Provence, </w:t>
      </w:r>
      <w:r>
        <w:rPr>
          <w:rFonts w:ascii="Times New Roman" w:hAnsi="Times New Roman" w:cs="Times New Roman"/>
          <w:sz w:val="24"/>
          <w:szCs w:val="24"/>
        </w:rPr>
        <w:t>France</w:t>
      </w:r>
    </w:p>
    <w:p w14:paraId="4569CF74" w14:textId="77777777" w:rsidR="00AF7574" w:rsidRDefault="00AF7574" w:rsidP="00D63957">
      <w:pPr>
        <w:spacing w:line="360" w:lineRule="auto"/>
        <w:jc w:val="center"/>
        <w:rPr>
          <w:rFonts w:ascii="Times New Roman" w:hAnsi="Times New Roman" w:cs="Times New Roman"/>
          <w:sz w:val="24"/>
          <w:szCs w:val="24"/>
        </w:rPr>
      </w:pPr>
    </w:p>
    <w:p w14:paraId="6181609F" w14:textId="0B800895" w:rsidR="00AF7574" w:rsidRPr="0054116A" w:rsidRDefault="00AF7574" w:rsidP="00D63957">
      <w:pPr>
        <w:spacing w:line="360" w:lineRule="auto"/>
        <w:jc w:val="center"/>
        <w:rPr>
          <w:rFonts w:ascii="Times New Roman" w:hAnsi="Times New Roman" w:cs="Times New Roman"/>
          <w:sz w:val="24"/>
          <w:szCs w:val="24"/>
          <w:lang w:val="en-US"/>
        </w:rPr>
      </w:pPr>
      <w:r w:rsidRPr="0054116A">
        <w:rPr>
          <w:rFonts w:ascii="Times New Roman" w:hAnsi="Times New Roman" w:cs="Times New Roman"/>
          <w:sz w:val="24"/>
          <w:szCs w:val="24"/>
          <w:lang w:val="en-US"/>
        </w:rPr>
        <w:t>Xavier Hollandts</w:t>
      </w:r>
    </w:p>
    <w:p w14:paraId="2F8F5C65" w14:textId="519F67ED" w:rsidR="00AF7574" w:rsidRPr="00AF7574" w:rsidRDefault="00AF7574" w:rsidP="00D63957">
      <w:pPr>
        <w:spacing w:line="360" w:lineRule="auto"/>
        <w:jc w:val="center"/>
        <w:rPr>
          <w:rFonts w:ascii="Times New Roman" w:hAnsi="Times New Roman" w:cs="Times New Roman"/>
          <w:sz w:val="24"/>
          <w:szCs w:val="24"/>
          <w:lang w:val="en-US"/>
        </w:rPr>
      </w:pPr>
      <w:r w:rsidRPr="00AF7574">
        <w:rPr>
          <w:rFonts w:ascii="Times New Roman" w:hAnsi="Times New Roman" w:cs="Times New Roman"/>
          <w:sz w:val="24"/>
          <w:szCs w:val="24"/>
          <w:lang w:val="en-US"/>
        </w:rPr>
        <w:t>Kedge Business School, B</w:t>
      </w:r>
      <w:r>
        <w:rPr>
          <w:rFonts w:ascii="Times New Roman" w:hAnsi="Times New Roman" w:cs="Times New Roman"/>
          <w:sz w:val="24"/>
          <w:szCs w:val="24"/>
          <w:lang w:val="en-US"/>
        </w:rPr>
        <w:t>ordeaux, France</w:t>
      </w:r>
    </w:p>
    <w:p w14:paraId="567A83AD" w14:textId="77777777" w:rsidR="00AF7574" w:rsidRPr="00AF7574" w:rsidRDefault="00AF7574" w:rsidP="00D63957">
      <w:pPr>
        <w:spacing w:line="360" w:lineRule="auto"/>
        <w:jc w:val="center"/>
        <w:rPr>
          <w:rFonts w:ascii="Times New Roman" w:hAnsi="Times New Roman" w:cs="Times New Roman"/>
          <w:sz w:val="24"/>
          <w:szCs w:val="24"/>
          <w:lang w:val="en-US"/>
        </w:rPr>
      </w:pPr>
    </w:p>
    <w:p w14:paraId="50C80C41" w14:textId="35546BBF" w:rsidR="00AF7574" w:rsidRPr="00AF7574" w:rsidRDefault="00AF7574" w:rsidP="00D63957">
      <w:pPr>
        <w:spacing w:line="360" w:lineRule="auto"/>
        <w:jc w:val="center"/>
        <w:rPr>
          <w:rFonts w:ascii="Times New Roman" w:hAnsi="Times New Roman" w:cs="Times New Roman"/>
          <w:sz w:val="24"/>
          <w:szCs w:val="24"/>
          <w:lang w:val="en-US"/>
        </w:rPr>
      </w:pPr>
      <w:r w:rsidRPr="00AF7574">
        <w:rPr>
          <w:rFonts w:ascii="Times New Roman" w:hAnsi="Times New Roman" w:cs="Times New Roman"/>
          <w:sz w:val="24"/>
          <w:szCs w:val="24"/>
          <w:lang w:val="en-US"/>
        </w:rPr>
        <w:t>Peter Wirtz</w:t>
      </w:r>
    </w:p>
    <w:p w14:paraId="255B5DA9" w14:textId="2104E9B4" w:rsidR="00AF7574" w:rsidRPr="00AF7574" w:rsidRDefault="00AF7574" w:rsidP="00D63957">
      <w:pPr>
        <w:spacing w:line="360" w:lineRule="auto"/>
        <w:jc w:val="center"/>
        <w:rPr>
          <w:rFonts w:ascii="Times New Roman" w:hAnsi="Times New Roman" w:cs="Times New Roman"/>
          <w:sz w:val="24"/>
          <w:szCs w:val="24"/>
          <w:lang w:val="en-US"/>
        </w:rPr>
      </w:pPr>
      <w:r w:rsidRPr="00AF7574">
        <w:rPr>
          <w:rFonts w:ascii="Times New Roman" w:hAnsi="Times New Roman" w:cs="Times New Roman"/>
          <w:sz w:val="24"/>
          <w:szCs w:val="24"/>
          <w:lang w:val="en-US"/>
        </w:rPr>
        <w:t>EM Lyon Business School, L</w:t>
      </w:r>
      <w:r>
        <w:rPr>
          <w:rFonts w:ascii="Times New Roman" w:hAnsi="Times New Roman" w:cs="Times New Roman"/>
          <w:sz w:val="24"/>
          <w:szCs w:val="24"/>
          <w:lang w:val="en-US"/>
        </w:rPr>
        <w:t>yon, France</w:t>
      </w:r>
    </w:p>
    <w:p w14:paraId="2F929E0A" w14:textId="77777777" w:rsidR="00D63957" w:rsidRPr="00AF7574" w:rsidRDefault="00D63957" w:rsidP="00D63957">
      <w:pPr>
        <w:spacing w:line="360" w:lineRule="auto"/>
        <w:jc w:val="both"/>
        <w:rPr>
          <w:rFonts w:ascii="Times New Roman" w:hAnsi="Times New Roman" w:cs="Times New Roman"/>
          <w:sz w:val="24"/>
          <w:szCs w:val="24"/>
          <w:lang w:val="en-US"/>
        </w:rPr>
      </w:pPr>
    </w:p>
    <w:p w14:paraId="42C7C08B" w14:textId="068C2D76" w:rsidR="00275A75" w:rsidRPr="000915D0" w:rsidRDefault="00F60611" w:rsidP="005A2601">
      <w:pPr>
        <w:spacing w:line="360" w:lineRule="auto"/>
        <w:jc w:val="center"/>
        <w:rPr>
          <w:rFonts w:ascii="Times New Roman" w:hAnsi="Times New Roman" w:cs="Times New Roman"/>
          <w:b/>
          <w:sz w:val="24"/>
          <w:szCs w:val="24"/>
        </w:rPr>
      </w:pPr>
      <w:r w:rsidRPr="000915D0">
        <w:rPr>
          <w:rFonts w:ascii="Times New Roman" w:hAnsi="Times New Roman" w:cs="Times New Roman"/>
          <w:b/>
          <w:sz w:val="24"/>
          <w:szCs w:val="24"/>
        </w:rPr>
        <w:t>Résumé</w:t>
      </w:r>
    </w:p>
    <w:p w14:paraId="0975C0FF" w14:textId="69E64A92" w:rsidR="001D514D" w:rsidRPr="000915D0" w:rsidRDefault="004A41F5" w:rsidP="00D63957">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 xml:space="preserve">Cet article propose une étude comparative et historique des facteurs de mobilisation </w:t>
      </w:r>
      <w:r w:rsidR="001B252D" w:rsidRPr="000915D0">
        <w:rPr>
          <w:rFonts w:ascii="Times New Roman" w:hAnsi="Times New Roman" w:cs="Times New Roman"/>
          <w:sz w:val="24"/>
          <w:szCs w:val="24"/>
        </w:rPr>
        <w:t xml:space="preserve">(Davis et Thompson, 1994) </w:t>
      </w:r>
      <w:r w:rsidRPr="000915D0">
        <w:rPr>
          <w:rFonts w:ascii="Times New Roman" w:hAnsi="Times New Roman" w:cs="Times New Roman"/>
          <w:sz w:val="24"/>
          <w:szCs w:val="24"/>
        </w:rPr>
        <w:t xml:space="preserve">autour de la codétermination en France et en Allemagne. L’opportunité politique, les intérêts partagés des acteurs, la présence d’une infrastructure sociale, la dynamique de la mobilisation et la présence d’une institution socle ont permis à la codétermination de s’imposer en </w:t>
      </w:r>
      <w:r w:rsidR="005245FA" w:rsidRPr="000915D0">
        <w:rPr>
          <w:rFonts w:ascii="Times New Roman" w:hAnsi="Times New Roman" w:cs="Times New Roman"/>
          <w:sz w:val="24"/>
          <w:szCs w:val="24"/>
        </w:rPr>
        <w:t>Allemagne (Gomez et Wirtz, 2018)</w:t>
      </w:r>
      <w:r w:rsidRPr="000915D0">
        <w:rPr>
          <w:rFonts w:ascii="Times New Roman" w:hAnsi="Times New Roman" w:cs="Times New Roman"/>
          <w:sz w:val="24"/>
          <w:szCs w:val="24"/>
        </w:rPr>
        <w:t xml:space="preserve">. Ces ingrédients n’étaient pas présents en France malgré une réflexion originale sur la nature de l’entreprise justifiant la codétermination. Nous contribuons ainsi à la compréhension de l’institutionnalisation d’une idéologie politique </w:t>
      </w:r>
      <w:r w:rsidR="00275A75" w:rsidRPr="000915D0">
        <w:rPr>
          <w:rFonts w:ascii="Times New Roman" w:hAnsi="Times New Roman" w:cs="Times New Roman"/>
          <w:sz w:val="24"/>
          <w:szCs w:val="24"/>
        </w:rPr>
        <w:t>et</w:t>
      </w:r>
      <w:r w:rsidRPr="000915D0">
        <w:rPr>
          <w:rFonts w:ascii="Times New Roman" w:hAnsi="Times New Roman" w:cs="Times New Roman"/>
          <w:sz w:val="24"/>
          <w:szCs w:val="24"/>
        </w:rPr>
        <w:t xml:space="preserve"> montrons comment deux pays relativement proches politiquement peuvent emprunter des trajectoires différentes.</w:t>
      </w:r>
    </w:p>
    <w:p w14:paraId="375FB019" w14:textId="77777777" w:rsidR="00F60611" w:rsidRPr="000915D0" w:rsidRDefault="00F60611" w:rsidP="00D63957">
      <w:pPr>
        <w:spacing w:line="360" w:lineRule="auto"/>
        <w:jc w:val="both"/>
        <w:rPr>
          <w:rFonts w:ascii="Times New Roman" w:hAnsi="Times New Roman" w:cs="Times New Roman"/>
          <w:sz w:val="24"/>
          <w:szCs w:val="24"/>
        </w:rPr>
      </w:pPr>
    </w:p>
    <w:p w14:paraId="4596BCEE" w14:textId="7261E7AA" w:rsidR="00F60611" w:rsidRPr="000915D0" w:rsidRDefault="00F60611" w:rsidP="00D63957">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Mots-clés :</w:t>
      </w:r>
      <w:r w:rsidR="004B730B" w:rsidRPr="000915D0">
        <w:rPr>
          <w:rFonts w:ascii="Times New Roman" w:hAnsi="Times New Roman" w:cs="Times New Roman"/>
          <w:sz w:val="24"/>
          <w:szCs w:val="24"/>
        </w:rPr>
        <w:t xml:space="preserve"> Codétermination, Mitbestimmung, gouvernement de l’entreprise, participation des salariés, dialogue social</w:t>
      </w:r>
    </w:p>
    <w:p w14:paraId="2523C9B7" w14:textId="66948332" w:rsidR="00F60611" w:rsidRPr="000915D0" w:rsidRDefault="00F60611">
      <w:pPr>
        <w:rPr>
          <w:rFonts w:ascii="Times New Roman" w:hAnsi="Times New Roman" w:cs="Times New Roman"/>
          <w:sz w:val="24"/>
          <w:szCs w:val="24"/>
        </w:rPr>
      </w:pPr>
      <w:r w:rsidRPr="000915D0">
        <w:rPr>
          <w:rFonts w:ascii="Times New Roman" w:hAnsi="Times New Roman" w:cs="Times New Roman"/>
          <w:sz w:val="24"/>
          <w:szCs w:val="24"/>
        </w:rPr>
        <w:br w:type="page"/>
      </w:r>
    </w:p>
    <w:p w14:paraId="6ECA9CA5" w14:textId="3BBE7D5A" w:rsidR="00F32D2C" w:rsidRPr="000915D0" w:rsidRDefault="00D63957" w:rsidP="00D63957">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lastRenderedPageBreak/>
        <w:tab/>
        <w:t>A l’heure de la responsabilité sociale</w:t>
      </w:r>
      <w:r w:rsidR="000957F3" w:rsidRPr="000915D0">
        <w:rPr>
          <w:rFonts w:ascii="Times New Roman" w:hAnsi="Times New Roman" w:cs="Times New Roman"/>
          <w:sz w:val="24"/>
          <w:szCs w:val="24"/>
        </w:rPr>
        <w:t xml:space="preserve"> et sociétale</w:t>
      </w:r>
      <w:r w:rsidRPr="000915D0">
        <w:rPr>
          <w:rFonts w:ascii="Times New Roman" w:hAnsi="Times New Roman" w:cs="Times New Roman"/>
          <w:sz w:val="24"/>
          <w:szCs w:val="24"/>
        </w:rPr>
        <w:t xml:space="preserve"> des entreprises</w:t>
      </w:r>
      <w:r w:rsidR="000957F3" w:rsidRPr="000915D0">
        <w:rPr>
          <w:rFonts w:ascii="Times New Roman" w:hAnsi="Times New Roman" w:cs="Times New Roman"/>
          <w:sz w:val="24"/>
          <w:szCs w:val="24"/>
        </w:rPr>
        <w:t>,</w:t>
      </w:r>
      <w:r w:rsidRPr="000915D0">
        <w:rPr>
          <w:rFonts w:ascii="Times New Roman" w:hAnsi="Times New Roman" w:cs="Times New Roman"/>
          <w:sz w:val="24"/>
          <w:szCs w:val="24"/>
        </w:rPr>
        <w:t xml:space="preserve"> où la prise en compte des critères ESG (environnementaux, sociaux et de gouvernance) devient une de</w:t>
      </w:r>
      <w:r w:rsidR="00BC1A14" w:rsidRPr="000915D0">
        <w:rPr>
          <w:rFonts w:ascii="Times New Roman" w:hAnsi="Times New Roman" w:cs="Times New Roman"/>
          <w:sz w:val="24"/>
          <w:szCs w:val="24"/>
        </w:rPr>
        <w:t>mande sociale croissante, la co</w:t>
      </w:r>
      <w:r w:rsidRPr="000915D0">
        <w:rPr>
          <w:rFonts w:ascii="Times New Roman" w:hAnsi="Times New Roman" w:cs="Times New Roman"/>
          <w:sz w:val="24"/>
          <w:szCs w:val="24"/>
        </w:rPr>
        <w:t>déte</w:t>
      </w:r>
      <w:r w:rsidR="00A90E1A" w:rsidRPr="000915D0">
        <w:rPr>
          <w:rFonts w:ascii="Times New Roman" w:hAnsi="Times New Roman" w:cs="Times New Roman"/>
          <w:sz w:val="24"/>
          <w:szCs w:val="24"/>
        </w:rPr>
        <w:t>rmination des salariés au sein du conseil d’administration mérite une</w:t>
      </w:r>
      <w:r w:rsidR="0074694F" w:rsidRPr="000915D0">
        <w:rPr>
          <w:rFonts w:ascii="Times New Roman" w:hAnsi="Times New Roman" w:cs="Times New Roman"/>
          <w:sz w:val="24"/>
          <w:szCs w:val="24"/>
        </w:rPr>
        <w:t xml:space="preserve"> attention</w:t>
      </w:r>
      <w:r w:rsidR="00A90E1A" w:rsidRPr="000915D0">
        <w:rPr>
          <w:rFonts w:ascii="Times New Roman" w:hAnsi="Times New Roman" w:cs="Times New Roman"/>
          <w:sz w:val="24"/>
          <w:szCs w:val="24"/>
        </w:rPr>
        <w:t xml:space="preserve"> particulière</w:t>
      </w:r>
      <w:r w:rsidRPr="000915D0">
        <w:rPr>
          <w:rFonts w:ascii="Times New Roman" w:hAnsi="Times New Roman" w:cs="Times New Roman"/>
          <w:sz w:val="24"/>
          <w:szCs w:val="24"/>
        </w:rPr>
        <w:t>.</w:t>
      </w:r>
      <w:r w:rsidR="00A90E1A" w:rsidRPr="000915D0">
        <w:rPr>
          <w:rFonts w:ascii="Times New Roman" w:hAnsi="Times New Roman" w:cs="Times New Roman"/>
          <w:sz w:val="24"/>
          <w:szCs w:val="24"/>
        </w:rPr>
        <w:t xml:space="preserve"> </w:t>
      </w:r>
      <w:r w:rsidR="0074694F" w:rsidRPr="000915D0">
        <w:rPr>
          <w:rFonts w:ascii="Times New Roman" w:hAnsi="Times New Roman" w:cs="Times New Roman"/>
          <w:sz w:val="24"/>
          <w:szCs w:val="24"/>
        </w:rPr>
        <w:t>S’agissant d’une représentation significative des salariés au sein des conseils d’administration (ou de surveillance), la codétermination représente</w:t>
      </w:r>
      <w:r w:rsidR="00812F99" w:rsidRPr="000915D0">
        <w:rPr>
          <w:rFonts w:ascii="Times New Roman" w:hAnsi="Times New Roman" w:cs="Times New Roman"/>
          <w:sz w:val="24"/>
          <w:szCs w:val="24"/>
        </w:rPr>
        <w:t xml:space="preserve"> en effet</w:t>
      </w:r>
      <w:r w:rsidR="0074694F" w:rsidRPr="000915D0">
        <w:rPr>
          <w:rFonts w:ascii="Times New Roman" w:hAnsi="Times New Roman" w:cs="Times New Roman"/>
          <w:sz w:val="24"/>
          <w:szCs w:val="24"/>
        </w:rPr>
        <w:t xml:space="preserve"> un mécanisme orga</w:t>
      </w:r>
      <w:r w:rsidR="00BC1A14" w:rsidRPr="000915D0">
        <w:rPr>
          <w:rFonts w:ascii="Times New Roman" w:hAnsi="Times New Roman" w:cs="Times New Roman"/>
          <w:sz w:val="24"/>
          <w:szCs w:val="24"/>
        </w:rPr>
        <w:t>nisationnel</w:t>
      </w:r>
      <w:r w:rsidR="0074694F" w:rsidRPr="000915D0">
        <w:rPr>
          <w:rFonts w:ascii="Times New Roman" w:hAnsi="Times New Roman" w:cs="Times New Roman"/>
          <w:sz w:val="24"/>
          <w:szCs w:val="24"/>
        </w:rPr>
        <w:t xml:space="preserve"> permettant d’introduire</w:t>
      </w:r>
      <w:r w:rsidR="00BC1A14" w:rsidRPr="000915D0">
        <w:rPr>
          <w:rFonts w:ascii="Times New Roman" w:hAnsi="Times New Roman" w:cs="Times New Roman"/>
          <w:sz w:val="24"/>
          <w:szCs w:val="24"/>
        </w:rPr>
        <w:t xml:space="preserve"> concrètement</w:t>
      </w:r>
      <w:r w:rsidR="0074694F" w:rsidRPr="000915D0">
        <w:rPr>
          <w:rFonts w:ascii="Times New Roman" w:hAnsi="Times New Roman" w:cs="Times New Roman"/>
          <w:sz w:val="24"/>
          <w:szCs w:val="24"/>
        </w:rPr>
        <w:t xml:space="preserve"> une dimension sociale dans l’une des instances les plus importantes de </w:t>
      </w:r>
      <w:r w:rsidR="007D19EC" w:rsidRPr="000915D0">
        <w:rPr>
          <w:rFonts w:ascii="Times New Roman" w:hAnsi="Times New Roman" w:cs="Times New Roman"/>
          <w:sz w:val="24"/>
          <w:szCs w:val="24"/>
        </w:rPr>
        <w:t xml:space="preserve">la </w:t>
      </w:r>
      <w:r w:rsidR="0074694F" w:rsidRPr="000915D0">
        <w:rPr>
          <w:rFonts w:ascii="Times New Roman" w:hAnsi="Times New Roman" w:cs="Times New Roman"/>
          <w:sz w:val="24"/>
          <w:szCs w:val="24"/>
        </w:rPr>
        <w:t>gouvernance des entreprises.</w:t>
      </w:r>
      <w:r w:rsidR="00812F99" w:rsidRPr="000915D0">
        <w:rPr>
          <w:rFonts w:ascii="Times New Roman" w:hAnsi="Times New Roman" w:cs="Times New Roman"/>
          <w:sz w:val="24"/>
          <w:szCs w:val="24"/>
        </w:rPr>
        <w:t xml:space="preserve"> </w:t>
      </w:r>
      <w:r w:rsidR="00E45B6B" w:rsidRPr="000915D0">
        <w:rPr>
          <w:rFonts w:ascii="Times New Roman" w:hAnsi="Times New Roman" w:cs="Times New Roman"/>
          <w:sz w:val="24"/>
          <w:szCs w:val="24"/>
        </w:rPr>
        <w:t>Il convient alors</w:t>
      </w:r>
      <w:r w:rsidR="0082197A" w:rsidRPr="000915D0">
        <w:rPr>
          <w:rFonts w:ascii="Times New Roman" w:hAnsi="Times New Roman" w:cs="Times New Roman"/>
          <w:sz w:val="24"/>
          <w:szCs w:val="24"/>
        </w:rPr>
        <w:t xml:space="preserve"> dans un premier temps</w:t>
      </w:r>
      <w:r w:rsidR="00E45B6B" w:rsidRPr="000915D0">
        <w:rPr>
          <w:rFonts w:ascii="Times New Roman" w:hAnsi="Times New Roman" w:cs="Times New Roman"/>
          <w:sz w:val="24"/>
          <w:szCs w:val="24"/>
        </w:rPr>
        <w:t xml:space="preserve"> de</w:t>
      </w:r>
      <w:r w:rsidR="003B2F2B" w:rsidRPr="000915D0">
        <w:rPr>
          <w:rFonts w:ascii="Times New Roman" w:hAnsi="Times New Roman" w:cs="Times New Roman"/>
          <w:sz w:val="24"/>
          <w:szCs w:val="24"/>
        </w:rPr>
        <w:t xml:space="preserve"> définir plus précisément ce que nous entendons par codétermination dans le présent travail. Comme </w:t>
      </w:r>
      <w:r w:rsidR="00E57048" w:rsidRPr="000915D0">
        <w:rPr>
          <w:rFonts w:ascii="Times New Roman" w:hAnsi="Times New Roman" w:cs="Times New Roman"/>
          <w:sz w:val="24"/>
          <w:szCs w:val="24"/>
        </w:rPr>
        <w:t xml:space="preserve">l’Allemagne est souvent pointée dans la littérature comme </w:t>
      </w:r>
      <w:r w:rsidR="00274F49" w:rsidRPr="000915D0">
        <w:rPr>
          <w:rFonts w:ascii="Times New Roman" w:hAnsi="Times New Roman" w:cs="Times New Roman"/>
          <w:sz w:val="24"/>
          <w:szCs w:val="24"/>
        </w:rPr>
        <w:t xml:space="preserve">ayant le système de gouvernance avec le degré de codétermination le plus </w:t>
      </w:r>
      <w:r w:rsidR="000B3E2F" w:rsidRPr="000915D0">
        <w:rPr>
          <w:rFonts w:ascii="Times New Roman" w:hAnsi="Times New Roman" w:cs="Times New Roman"/>
          <w:sz w:val="24"/>
          <w:szCs w:val="24"/>
        </w:rPr>
        <w:t xml:space="preserve">fort, et que la compréhension de la mobilisation réussie en sa faveur fait l’objet de notre étude comparative, nous </w:t>
      </w:r>
      <w:r w:rsidR="00A14C64" w:rsidRPr="000915D0">
        <w:rPr>
          <w:rFonts w:ascii="Times New Roman" w:hAnsi="Times New Roman" w:cs="Times New Roman"/>
          <w:sz w:val="24"/>
          <w:szCs w:val="24"/>
        </w:rPr>
        <w:t>ut</w:t>
      </w:r>
      <w:r w:rsidR="001B48DF" w:rsidRPr="000915D0">
        <w:rPr>
          <w:rFonts w:ascii="Times New Roman" w:hAnsi="Times New Roman" w:cs="Times New Roman"/>
          <w:sz w:val="24"/>
          <w:szCs w:val="24"/>
        </w:rPr>
        <w:t>ilis</w:t>
      </w:r>
      <w:r w:rsidR="005F3922" w:rsidRPr="000915D0">
        <w:rPr>
          <w:rFonts w:ascii="Times New Roman" w:hAnsi="Times New Roman" w:cs="Times New Roman"/>
          <w:sz w:val="24"/>
          <w:szCs w:val="24"/>
        </w:rPr>
        <w:t>er</w:t>
      </w:r>
      <w:r w:rsidR="001B48DF" w:rsidRPr="000915D0">
        <w:rPr>
          <w:rFonts w:ascii="Times New Roman" w:hAnsi="Times New Roman" w:cs="Times New Roman"/>
          <w:sz w:val="24"/>
          <w:szCs w:val="24"/>
        </w:rPr>
        <w:t>ons</w:t>
      </w:r>
      <w:r w:rsidR="005F3922" w:rsidRPr="000915D0">
        <w:rPr>
          <w:rFonts w:ascii="Times New Roman" w:hAnsi="Times New Roman" w:cs="Times New Roman"/>
          <w:sz w:val="24"/>
          <w:szCs w:val="24"/>
        </w:rPr>
        <w:t xml:space="preserve"> par la suite</w:t>
      </w:r>
      <w:r w:rsidR="001B48DF" w:rsidRPr="000915D0">
        <w:rPr>
          <w:rFonts w:ascii="Times New Roman" w:hAnsi="Times New Roman" w:cs="Times New Roman"/>
          <w:sz w:val="24"/>
          <w:szCs w:val="24"/>
        </w:rPr>
        <w:t xml:space="preserve"> une définition</w:t>
      </w:r>
      <w:r w:rsidR="005F3922" w:rsidRPr="000915D0">
        <w:rPr>
          <w:rFonts w:ascii="Times New Roman" w:hAnsi="Times New Roman" w:cs="Times New Roman"/>
          <w:sz w:val="24"/>
          <w:szCs w:val="24"/>
        </w:rPr>
        <w:t xml:space="preserve"> </w:t>
      </w:r>
      <w:r w:rsidR="003576A5" w:rsidRPr="000915D0">
        <w:rPr>
          <w:rFonts w:ascii="Times New Roman" w:hAnsi="Times New Roman" w:cs="Times New Roman"/>
          <w:sz w:val="24"/>
          <w:szCs w:val="24"/>
        </w:rPr>
        <w:t>restrictive et précise</w:t>
      </w:r>
      <w:r w:rsidR="00C967B9" w:rsidRPr="000915D0">
        <w:rPr>
          <w:rFonts w:ascii="Times New Roman" w:hAnsi="Times New Roman" w:cs="Times New Roman"/>
          <w:sz w:val="24"/>
          <w:szCs w:val="24"/>
        </w:rPr>
        <w:t>,</w:t>
      </w:r>
      <w:r w:rsidR="001B48DF" w:rsidRPr="000915D0">
        <w:rPr>
          <w:rFonts w:ascii="Times New Roman" w:hAnsi="Times New Roman" w:cs="Times New Roman"/>
          <w:sz w:val="24"/>
          <w:szCs w:val="24"/>
        </w:rPr>
        <w:t xml:space="preserve"> qui correspond à l’acception allemande</w:t>
      </w:r>
      <w:r w:rsidR="00246BE2" w:rsidRPr="000915D0">
        <w:rPr>
          <w:rFonts w:ascii="Times New Roman" w:hAnsi="Times New Roman" w:cs="Times New Roman"/>
          <w:sz w:val="24"/>
          <w:szCs w:val="24"/>
        </w:rPr>
        <w:t xml:space="preserve"> consacrée par le </w:t>
      </w:r>
      <w:r w:rsidR="00246BE2" w:rsidRPr="000915D0">
        <w:rPr>
          <w:rFonts w:ascii="Times New Roman" w:hAnsi="Times New Roman" w:cs="Times New Roman"/>
          <w:i/>
          <w:iCs/>
          <w:sz w:val="24"/>
          <w:szCs w:val="24"/>
        </w:rPr>
        <w:t>Mitbestimmungsgesetz</w:t>
      </w:r>
      <w:r w:rsidR="002E5D12" w:rsidRPr="000915D0">
        <w:rPr>
          <w:rFonts w:ascii="Times New Roman" w:hAnsi="Times New Roman" w:cs="Times New Roman"/>
          <w:i/>
          <w:iCs/>
          <w:sz w:val="24"/>
          <w:szCs w:val="24"/>
        </w:rPr>
        <w:t xml:space="preserve"> </w:t>
      </w:r>
      <w:r w:rsidR="001A62AE" w:rsidRPr="000915D0">
        <w:rPr>
          <w:rFonts w:ascii="Times New Roman" w:hAnsi="Times New Roman" w:cs="Times New Roman"/>
          <w:sz w:val="24"/>
          <w:szCs w:val="24"/>
        </w:rPr>
        <w:t>(loi de codétermination</w:t>
      </w:r>
      <w:r w:rsidR="00463B16" w:rsidRPr="000915D0">
        <w:rPr>
          <w:rFonts w:ascii="Times New Roman" w:hAnsi="Times New Roman" w:cs="Times New Roman"/>
          <w:sz w:val="24"/>
          <w:szCs w:val="24"/>
        </w:rPr>
        <w:t>)</w:t>
      </w:r>
      <w:r w:rsidR="001B48DF" w:rsidRPr="000915D0">
        <w:rPr>
          <w:rFonts w:ascii="Times New Roman" w:hAnsi="Times New Roman" w:cs="Times New Roman"/>
          <w:sz w:val="24"/>
          <w:szCs w:val="24"/>
        </w:rPr>
        <w:t xml:space="preserve">. En effet, </w:t>
      </w:r>
      <w:r w:rsidR="00892891" w:rsidRPr="000915D0">
        <w:rPr>
          <w:rFonts w:ascii="Times New Roman" w:hAnsi="Times New Roman" w:cs="Times New Roman"/>
          <w:sz w:val="24"/>
          <w:szCs w:val="24"/>
        </w:rPr>
        <w:t>en France, le terme « codétermination »</w:t>
      </w:r>
      <w:r w:rsidR="007209A2" w:rsidRPr="000915D0">
        <w:rPr>
          <w:rFonts w:ascii="Times New Roman" w:hAnsi="Times New Roman" w:cs="Times New Roman"/>
          <w:sz w:val="24"/>
          <w:szCs w:val="24"/>
        </w:rPr>
        <w:t xml:space="preserve"> (</w:t>
      </w:r>
      <w:r w:rsidR="00027278" w:rsidRPr="000915D0">
        <w:rPr>
          <w:rFonts w:ascii="Times New Roman" w:hAnsi="Times New Roman" w:cs="Times New Roman"/>
          <w:sz w:val="24"/>
          <w:szCs w:val="24"/>
        </w:rPr>
        <w:t xml:space="preserve">littéralement </w:t>
      </w:r>
      <w:r w:rsidR="007209A2" w:rsidRPr="000915D0">
        <w:rPr>
          <w:rFonts w:ascii="Times New Roman" w:hAnsi="Times New Roman" w:cs="Times New Roman"/>
          <w:sz w:val="24"/>
          <w:szCs w:val="24"/>
        </w:rPr>
        <w:t>Mitbestimmung en allemand</w:t>
      </w:r>
      <w:r w:rsidR="000B468E" w:rsidRPr="000915D0">
        <w:rPr>
          <w:rFonts w:ascii="Times New Roman" w:hAnsi="Times New Roman" w:cs="Times New Roman"/>
          <w:sz w:val="24"/>
          <w:szCs w:val="24"/>
        </w:rPr>
        <w:t>)</w:t>
      </w:r>
      <w:r w:rsidR="00892891" w:rsidRPr="000915D0">
        <w:rPr>
          <w:rFonts w:ascii="Times New Roman" w:hAnsi="Times New Roman" w:cs="Times New Roman"/>
          <w:sz w:val="24"/>
          <w:szCs w:val="24"/>
        </w:rPr>
        <w:t xml:space="preserve"> est parfois utilisé indifféremment </w:t>
      </w:r>
      <w:r w:rsidR="00247718" w:rsidRPr="000915D0">
        <w:rPr>
          <w:rFonts w:ascii="Times New Roman" w:hAnsi="Times New Roman" w:cs="Times New Roman"/>
          <w:sz w:val="24"/>
          <w:szCs w:val="24"/>
        </w:rPr>
        <w:t>pour désigner deux réalités</w:t>
      </w:r>
      <w:r w:rsidR="000B468E" w:rsidRPr="000915D0">
        <w:rPr>
          <w:rFonts w:ascii="Times New Roman" w:hAnsi="Times New Roman" w:cs="Times New Roman"/>
          <w:sz w:val="24"/>
          <w:szCs w:val="24"/>
        </w:rPr>
        <w:t>,</w:t>
      </w:r>
      <w:r w:rsidR="00247718" w:rsidRPr="000915D0">
        <w:rPr>
          <w:rFonts w:ascii="Times New Roman" w:hAnsi="Times New Roman" w:cs="Times New Roman"/>
          <w:sz w:val="24"/>
          <w:szCs w:val="24"/>
        </w:rPr>
        <w:t xml:space="preserve"> qui sont identifiées comme étant dis</w:t>
      </w:r>
      <w:r w:rsidR="007209A2" w:rsidRPr="000915D0">
        <w:rPr>
          <w:rFonts w:ascii="Times New Roman" w:hAnsi="Times New Roman" w:cs="Times New Roman"/>
          <w:sz w:val="24"/>
          <w:szCs w:val="24"/>
        </w:rPr>
        <w:t xml:space="preserve">tinctes dans </w:t>
      </w:r>
      <w:r w:rsidR="003576A5" w:rsidRPr="000915D0">
        <w:rPr>
          <w:rFonts w:ascii="Times New Roman" w:hAnsi="Times New Roman" w:cs="Times New Roman"/>
          <w:sz w:val="24"/>
          <w:szCs w:val="24"/>
        </w:rPr>
        <w:t>le droit</w:t>
      </w:r>
      <w:r w:rsidR="007209A2" w:rsidRPr="000915D0">
        <w:rPr>
          <w:rFonts w:ascii="Times New Roman" w:hAnsi="Times New Roman" w:cs="Times New Roman"/>
          <w:sz w:val="24"/>
          <w:szCs w:val="24"/>
        </w:rPr>
        <w:t xml:space="preserve"> des sociétés allemand</w:t>
      </w:r>
      <w:r w:rsidR="003576A5" w:rsidRPr="000915D0">
        <w:rPr>
          <w:rFonts w:ascii="Times New Roman" w:hAnsi="Times New Roman" w:cs="Times New Roman"/>
          <w:sz w:val="24"/>
          <w:szCs w:val="24"/>
        </w:rPr>
        <w:t>,</w:t>
      </w:r>
      <w:r w:rsidR="000B468E" w:rsidRPr="000915D0">
        <w:rPr>
          <w:rFonts w:ascii="Times New Roman" w:hAnsi="Times New Roman" w:cs="Times New Roman"/>
          <w:sz w:val="24"/>
          <w:szCs w:val="24"/>
        </w:rPr>
        <w:t xml:space="preserve"> à </w:t>
      </w:r>
      <w:r w:rsidR="00183133" w:rsidRPr="000915D0">
        <w:rPr>
          <w:rFonts w:ascii="Times New Roman" w:hAnsi="Times New Roman" w:cs="Times New Roman"/>
          <w:sz w:val="24"/>
          <w:szCs w:val="24"/>
        </w:rPr>
        <w:t>s</w:t>
      </w:r>
      <w:r w:rsidR="000B468E" w:rsidRPr="000915D0">
        <w:rPr>
          <w:rFonts w:ascii="Times New Roman" w:hAnsi="Times New Roman" w:cs="Times New Roman"/>
          <w:sz w:val="24"/>
          <w:szCs w:val="24"/>
        </w:rPr>
        <w:t xml:space="preserve">avoir la </w:t>
      </w:r>
      <w:r w:rsidR="000B468E" w:rsidRPr="000915D0">
        <w:rPr>
          <w:rFonts w:ascii="Times New Roman" w:hAnsi="Times New Roman" w:cs="Times New Roman"/>
          <w:i/>
          <w:iCs/>
          <w:sz w:val="24"/>
          <w:szCs w:val="24"/>
        </w:rPr>
        <w:t>Unternehmensmitbestimmung</w:t>
      </w:r>
      <w:r w:rsidR="009F34C9" w:rsidRPr="000915D0">
        <w:rPr>
          <w:rFonts w:ascii="Times New Roman" w:hAnsi="Times New Roman" w:cs="Times New Roman"/>
          <w:sz w:val="24"/>
          <w:szCs w:val="24"/>
        </w:rPr>
        <w:t xml:space="preserve"> et la </w:t>
      </w:r>
      <w:r w:rsidR="009F34C9" w:rsidRPr="000915D0">
        <w:rPr>
          <w:rFonts w:ascii="Times New Roman" w:hAnsi="Times New Roman" w:cs="Times New Roman"/>
          <w:i/>
          <w:iCs/>
          <w:sz w:val="24"/>
          <w:szCs w:val="24"/>
        </w:rPr>
        <w:t>Betriebsmitbestimmung</w:t>
      </w:r>
      <w:r w:rsidR="009F34C9" w:rsidRPr="000915D0">
        <w:rPr>
          <w:rFonts w:ascii="Times New Roman" w:hAnsi="Times New Roman" w:cs="Times New Roman"/>
          <w:sz w:val="24"/>
          <w:szCs w:val="24"/>
        </w:rPr>
        <w:t xml:space="preserve">. Des deux, la présente étude est focalisée sur la seule </w:t>
      </w:r>
      <w:r w:rsidR="009F34C9" w:rsidRPr="000915D0">
        <w:rPr>
          <w:rFonts w:ascii="Times New Roman" w:hAnsi="Times New Roman" w:cs="Times New Roman"/>
          <w:i/>
          <w:iCs/>
          <w:sz w:val="24"/>
          <w:szCs w:val="24"/>
        </w:rPr>
        <w:t>Unternehmensmitbestimmung</w:t>
      </w:r>
      <w:r w:rsidR="0025233F" w:rsidRPr="000915D0">
        <w:rPr>
          <w:rFonts w:ascii="Times New Roman" w:hAnsi="Times New Roman" w:cs="Times New Roman"/>
          <w:i/>
          <w:iCs/>
          <w:sz w:val="24"/>
          <w:szCs w:val="24"/>
        </w:rPr>
        <w:t>,</w:t>
      </w:r>
      <w:r w:rsidR="0025233F" w:rsidRPr="000915D0">
        <w:rPr>
          <w:rFonts w:ascii="Times New Roman" w:hAnsi="Times New Roman" w:cs="Times New Roman"/>
          <w:sz w:val="24"/>
          <w:szCs w:val="24"/>
        </w:rPr>
        <w:t xml:space="preserve"> à savoir la représentation des salariés au sein du conseil de surveillance</w:t>
      </w:r>
      <w:r w:rsidR="00107916" w:rsidRPr="000915D0">
        <w:rPr>
          <w:rFonts w:ascii="Times New Roman" w:hAnsi="Times New Roman" w:cs="Times New Roman"/>
          <w:sz w:val="24"/>
          <w:szCs w:val="24"/>
        </w:rPr>
        <w:t xml:space="preserve">, la plus haute instance de contrôle stratégique à la tête de l’entreprise. </w:t>
      </w:r>
      <w:r w:rsidR="00696248" w:rsidRPr="000915D0">
        <w:rPr>
          <w:rFonts w:ascii="Times New Roman" w:hAnsi="Times New Roman" w:cs="Times New Roman"/>
          <w:sz w:val="24"/>
          <w:szCs w:val="24"/>
        </w:rPr>
        <w:t xml:space="preserve">La </w:t>
      </w:r>
      <w:r w:rsidR="00696248" w:rsidRPr="000915D0">
        <w:rPr>
          <w:rFonts w:ascii="Times New Roman" w:hAnsi="Times New Roman" w:cs="Times New Roman"/>
          <w:i/>
          <w:iCs/>
          <w:sz w:val="24"/>
          <w:szCs w:val="24"/>
        </w:rPr>
        <w:t>Betriebsmitbestimmung</w:t>
      </w:r>
      <w:r w:rsidR="00696248" w:rsidRPr="000915D0">
        <w:rPr>
          <w:rFonts w:ascii="Times New Roman" w:hAnsi="Times New Roman" w:cs="Times New Roman"/>
          <w:sz w:val="24"/>
          <w:szCs w:val="24"/>
        </w:rPr>
        <w:t xml:space="preserve">, quant à elle, concerne plutôt l’organisation du niveau opérationnel des entreprises, </w:t>
      </w:r>
      <w:r w:rsidR="00801D97" w:rsidRPr="000915D0">
        <w:rPr>
          <w:rFonts w:ascii="Times New Roman" w:hAnsi="Times New Roman" w:cs="Times New Roman"/>
          <w:sz w:val="24"/>
          <w:szCs w:val="24"/>
        </w:rPr>
        <w:t xml:space="preserve">touchant aux </w:t>
      </w:r>
      <w:r w:rsidR="00B104F3" w:rsidRPr="000915D0">
        <w:rPr>
          <w:rFonts w:ascii="Times New Roman" w:hAnsi="Times New Roman" w:cs="Times New Roman"/>
          <w:sz w:val="24"/>
          <w:szCs w:val="24"/>
        </w:rPr>
        <w:t>conditions de travail</w:t>
      </w:r>
      <w:r w:rsidR="00801D97" w:rsidRPr="000915D0">
        <w:rPr>
          <w:rFonts w:ascii="Times New Roman" w:hAnsi="Times New Roman" w:cs="Times New Roman"/>
          <w:sz w:val="24"/>
          <w:szCs w:val="24"/>
        </w:rPr>
        <w:t xml:space="preserve">, par exemple, et où l’influence des salariés s’exerce </w:t>
      </w:r>
      <w:r w:rsidR="002B7761" w:rsidRPr="000915D0">
        <w:rPr>
          <w:rFonts w:ascii="Times New Roman" w:hAnsi="Times New Roman" w:cs="Times New Roman"/>
          <w:sz w:val="24"/>
          <w:szCs w:val="24"/>
        </w:rPr>
        <w:t>à travers les comités d’entreprise (</w:t>
      </w:r>
      <w:r w:rsidR="002B7761" w:rsidRPr="000915D0">
        <w:rPr>
          <w:rFonts w:ascii="Times New Roman" w:hAnsi="Times New Roman" w:cs="Times New Roman"/>
          <w:i/>
          <w:iCs/>
          <w:sz w:val="24"/>
          <w:szCs w:val="24"/>
        </w:rPr>
        <w:t>Betriebsrat</w:t>
      </w:r>
      <w:r w:rsidR="002B7761" w:rsidRPr="000915D0">
        <w:rPr>
          <w:rFonts w:ascii="Times New Roman" w:hAnsi="Times New Roman" w:cs="Times New Roman"/>
          <w:sz w:val="24"/>
          <w:szCs w:val="24"/>
        </w:rPr>
        <w:t xml:space="preserve">). </w:t>
      </w:r>
      <w:r w:rsidR="00FA2096" w:rsidRPr="000915D0">
        <w:rPr>
          <w:rFonts w:ascii="Times New Roman" w:hAnsi="Times New Roman" w:cs="Times New Roman"/>
          <w:sz w:val="24"/>
          <w:szCs w:val="24"/>
        </w:rPr>
        <w:t>Cette dernière réalité pourrait d’ailleurs utilement être désigné</w:t>
      </w:r>
      <w:r w:rsidR="004701B6" w:rsidRPr="000915D0">
        <w:rPr>
          <w:rFonts w:ascii="Times New Roman" w:hAnsi="Times New Roman" w:cs="Times New Roman"/>
          <w:sz w:val="24"/>
          <w:szCs w:val="24"/>
        </w:rPr>
        <w:t>e</w:t>
      </w:r>
      <w:r w:rsidR="00FA2096" w:rsidRPr="000915D0">
        <w:rPr>
          <w:rFonts w:ascii="Times New Roman" w:hAnsi="Times New Roman" w:cs="Times New Roman"/>
          <w:sz w:val="24"/>
          <w:szCs w:val="24"/>
        </w:rPr>
        <w:t xml:space="preserve"> par le terme de « cogestion »</w:t>
      </w:r>
      <w:r w:rsidR="004701B6" w:rsidRPr="000915D0">
        <w:rPr>
          <w:rFonts w:ascii="Times New Roman" w:hAnsi="Times New Roman" w:cs="Times New Roman"/>
          <w:sz w:val="24"/>
          <w:szCs w:val="24"/>
        </w:rPr>
        <w:t xml:space="preserve">, afin de réserver </w:t>
      </w:r>
      <w:r w:rsidR="003401FB" w:rsidRPr="000915D0">
        <w:rPr>
          <w:rFonts w:ascii="Times New Roman" w:hAnsi="Times New Roman" w:cs="Times New Roman"/>
          <w:sz w:val="24"/>
          <w:szCs w:val="24"/>
        </w:rPr>
        <w:t>le terme</w:t>
      </w:r>
      <w:r w:rsidR="00FA2096" w:rsidRPr="000915D0">
        <w:rPr>
          <w:rFonts w:ascii="Times New Roman" w:hAnsi="Times New Roman" w:cs="Times New Roman"/>
          <w:sz w:val="24"/>
          <w:szCs w:val="24"/>
        </w:rPr>
        <w:t xml:space="preserve"> </w:t>
      </w:r>
      <w:r w:rsidR="004701B6" w:rsidRPr="000915D0">
        <w:rPr>
          <w:rFonts w:ascii="Times New Roman" w:hAnsi="Times New Roman" w:cs="Times New Roman"/>
          <w:sz w:val="24"/>
          <w:szCs w:val="24"/>
        </w:rPr>
        <w:t>« codétermination »</w:t>
      </w:r>
      <w:r w:rsidR="003401FB" w:rsidRPr="000915D0">
        <w:rPr>
          <w:rFonts w:ascii="Times New Roman" w:hAnsi="Times New Roman" w:cs="Times New Roman"/>
          <w:sz w:val="24"/>
          <w:szCs w:val="24"/>
        </w:rPr>
        <w:t xml:space="preserve">, à l’instance de gouvernance </w:t>
      </w:r>
      <w:r w:rsidR="008D082A" w:rsidRPr="000915D0">
        <w:rPr>
          <w:rFonts w:ascii="Times New Roman" w:hAnsi="Times New Roman" w:cs="Times New Roman"/>
          <w:sz w:val="24"/>
          <w:szCs w:val="24"/>
        </w:rPr>
        <w:t>au niveau stratégique le plus élevé</w:t>
      </w:r>
      <w:r w:rsidR="003401FB" w:rsidRPr="000915D0">
        <w:rPr>
          <w:rFonts w:ascii="Times New Roman" w:hAnsi="Times New Roman" w:cs="Times New Roman"/>
          <w:sz w:val="24"/>
          <w:szCs w:val="24"/>
        </w:rPr>
        <w:t xml:space="preserve"> qu’est</w:t>
      </w:r>
      <w:r w:rsidR="008D082A" w:rsidRPr="000915D0">
        <w:rPr>
          <w:rFonts w:ascii="Times New Roman" w:hAnsi="Times New Roman" w:cs="Times New Roman"/>
          <w:sz w:val="24"/>
          <w:szCs w:val="24"/>
        </w:rPr>
        <w:t xml:space="preserve"> le conseil </w:t>
      </w:r>
      <w:r w:rsidR="00DE5A5A" w:rsidRPr="000915D0">
        <w:rPr>
          <w:rFonts w:ascii="Times New Roman" w:hAnsi="Times New Roman" w:cs="Times New Roman"/>
          <w:sz w:val="24"/>
          <w:szCs w:val="24"/>
        </w:rPr>
        <w:t>de surveillance</w:t>
      </w:r>
      <w:r w:rsidR="008D082A" w:rsidRPr="000915D0">
        <w:rPr>
          <w:rFonts w:ascii="Times New Roman" w:hAnsi="Times New Roman" w:cs="Times New Roman"/>
          <w:sz w:val="24"/>
          <w:szCs w:val="24"/>
        </w:rPr>
        <w:t xml:space="preserve"> ou le conseil d’administration</w:t>
      </w:r>
      <w:r w:rsidR="005F3922" w:rsidRPr="000915D0">
        <w:rPr>
          <w:rFonts w:ascii="Times New Roman" w:hAnsi="Times New Roman" w:cs="Times New Roman"/>
          <w:sz w:val="24"/>
          <w:szCs w:val="24"/>
        </w:rPr>
        <w:t>.</w:t>
      </w:r>
      <w:r w:rsidR="00B637BC" w:rsidRPr="000915D0">
        <w:rPr>
          <w:rFonts w:ascii="Times New Roman" w:hAnsi="Times New Roman" w:cs="Times New Roman"/>
          <w:sz w:val="24"/>
          <w:szCs w:val="24"/>
        </w:rPr>
        <w:t xml:space="preserve"> La temporalité de l’institutionnalisation </w:t>
      </w:r>
      <w:r w:rsidR="00685FD8" w:rsidRPr="000915D0">
        <w:rPr>
          <w:rFonts w:ascii="Times New Roman" w:hAnsi="Times New Roman" w:cs="Times New Roman"/>
          <w:sz w:val="24"/>
          <w:szCs w:val="24"/>
        </w:rPr>
        <w:t xml:space="preserve">de la </w:t>
      </w:r>
      <w:r w:rsidR="00685FD8" w:rsidRPr="000915D0">
        <w:rPr>
          <w:rFonts w:ascii="Times New Roman" w:hAnsi="Times New Roman" w:cs="Times New Roman"/>
          <w:i/>
          <w:iCs/>
          <w:sz w:val="24"/>
          <w:szCs w:val="24"/>
        </w:rPr>
        <w:t>Unternehmensmitbestimmung</w:t>
      </w:r>
      <w:r w:rsidR="00685FD8" w:rsidRPr="000915D0">
        <w:rPr>
          <w:rFonts w:ascii="Times New Roman" w:hAnsi="Times New Roman" w:cs="Times New Roman"/>
          <w:sz w:val="24"/>
          <w:szCs w:val="24"/>
        </w:rPr>
        <w:t xml:space="preserve"> et de la </w:t>
      </w:r>
      <w:r w:rsidR="00685FD8" w:rsidRPr="000915D0">
        <w:rPr>
          <w:rFonts w:ascii="Times New Roman" w:hAnsi="Times New Roman" w:cs="Times New Roman"/>
          <w:i/>
          <w:iCs/>
          <w:sz w:val="24"/>
          <w:szCs w:val="24"/>
        </w:rPr>
        <w:t>Betri</w:t>
      </w:r>
      <w:r w:rsidR="00142B8B" w:rsidRPr="000915D0">
        <w:rPr>
          <w:rFonts w:ascii="Times New Roman" w:hAnsi="Times New Roman" w:cs="Times New Roman"/>
          <w:i/>
          <w:iCs/>
          <w:sz w:val="24"/>
          <w:szCs w:val="24"/>
        </w:rPr>
        <w:t>e</w:t>
      </w:r>
      <w:r w:rsidR="00913034" w:rsidRPr="000915D0">
        <w:rPr>
          <w:rFonts w:ascii="Times New Roman" w:hAnsi="Times New Roman" w:cs="Times New Roman"/>
          <w:i/>
          <w:iCs/>
          <w:sz w:val="24"/>
          <w:szCs w:val="24"/>
        </w:rPr>
        <w:t>b</w:t>
      </w:r>
      <w:r w:rsidR="00685FD8" w:rsidRPr="000915D0">
        <w:rPr>
          <w:rFonts w:ascii="Times New Roman" w:hAnsi="Times New Roman" w:cs="Times New Roman"/>
          <w:i/>
          <w:iCs/>
          <w:sz w:val="24"/>
          <w:szCs w:val="24"/>
        </w:rPr>
        <w:t>smitbestimmung</w:t>
      </w:r>
      <w:r w:rsidR="00685FD8" w:rsidRPr="000915D0">
        <w:rPr>
          <w:rFonts w:ascii="Times New Roman" w:hAnsi="Times New Roman" w:cs="Times New Roman"/>
          <w:sz w:val="24"/>
          <w:szCs w:val="24"/>
        </w:rPr>
        <w:t xml:space="preserve"> n</w:t>
      </w:r>
      <w:r w:rsidR="000F1AEC" w:rsidRPr="000915D0">
        <w:rPr>
          <w:rFonts w:ascii="Times New Roman" w:hAnsi="Times New Roman" w:cs="Times New Roman"/>
          <w:sz w:val="24"/>
          <w:szCs w:val="24"/>
        </w:rPr>
        <w:t>’a d’ailleurs pas été la même outre Rhin. La première s’est opéré</w:t>
      </w:r>
      <w:r w:rsidR="00507254" w:rsidRPr="000915D0">
        <w:rPr>
          <w:rFonts w:ascii="Times New Roman" w:hAnsi="Times New Roman" w:cs="Times New Roman"/>
          <w:sz w:val="24"/>
          <w:szCs w:val="24"/>
        </w:rPr>
        <w:t>e</w:t>
      </w:r>
      <w:r w:rsidR="000F1AEC" w:rsidRPr="000915D0">
        <w:rPr>
          <w:rFonts w:ascii="Times New Roman" w:hAnsi="Times New Roman" w:cs="Times New Roman"/>
          <w:sz w:val="24"/>
          <w:szCs w:val="24"/>
        </w:rPr>
        <w:t xml:space="preserve"> </w:t>
      </w:r>
      <w:r w:rsidR="00F35E50" w:rsidRPr="000915D0">
        <w:rPr>
          <w:rFonts w:ascii="Times New Roman" w:hAnsi="Times New Roman" w:cs="Times New Roman"/>
          <w:sz w:val="24"/>
          <w:szCs w:val="24"/>
        </w:rPr>
        <w:t xml:space="preserve">avec deux lois : </w:t>
      </w:r>
      <w:r w:rsidR="00F35E50" w:rsidRPr="000915D0">
        <w:rPr>
          <w:rFonts w:ascii="Times New Roman" w:hAnsi="Times New Roman" w:cs="Times New Roman"/>
          <w:i/>
          <w:iCs/>
          <w:sz w:val="24"/>
          <w:szCs w:val="24"/>
        </w:rPr>
        <w:t xml:space="preserve">Mitbestimmungsgesetz </w:t>
      </w:r>
      <w:r w:rsidR="00F35E50" w:rsidRPr="000915D0">
        <w:rPr>
          <w:rFonts w:ascii="Times New Roman" w:hAnsi="Times New Roman" w:cs="Times New Roman"/>
          <w:sz w:val="24"/>
          <w:szCs w:val="24"/>
        </w:rPr>
        <w:t xml:space="preserve">(1951) et </w:t>
      </w:r>
      <w:r w:rsidR="00F35E50" w:rsidRPr="000915D0">
        <w:rPr>
          <w:rFonts w:ascii="Times New Roman" w:hAnsi="Times New Roman" w:cs="Times New Roman"/>
          <w:i/>
          <w:iCs/>
          <w:sz w:val="24"/>
          <w:szCs w:val="24"/>
        </w:rPr>
        <w:t xml:space="preserve">Mitbestimmungsgestetz </w:t>
      </w:r>
      <w:r w:rsidR="00F35E50" w:rsidRPr="000915D0">
        <w:rPr>
          <w:rFonts w:ascii="Times New Roman" w:hAnsi="Times New Roman" w:cs="Times New Roman"/>
          <w:sz w:val="24"/>
          <w:szCs w:val="24"/>
        </w:rPr>
        <w:t>(1976</w:t>
      </w:r>
      <w:r w:rsidR="00507254" w:rsidRPr="000915D0">
        <w:rPr>
          <w:rFonts w:ascii="Times New Roman" w:hAnsi="Times New Roman" w:cs="Times New Roman"/>
          <w:sz w:val="24"/>
          <w:szCs w:val="24"/>
        </w:rPr>
        <w:t xml:space="preserve">), alors que la seconde a été définie sur le plan légal par le </w:t>
      </w:r>
      <w:r w:rsidR="00507254" w:rsidRPr="000915D0">
        <w:rPr>
          <w:rFonts w:ascii="Times New Roman" w:hAnsi="Times New Roman" w:cs="Times New Roman"/>
          <w:i/>
          <w:iCs/>
          <w:sz w:val="24"/>
          <w:szCs w:val="24"/>
        </w:rPr>
        <w:t>Betriebsverfassungsgesetz</w:t>
      </w:r>
      <w:r w:rsidR="00507254" w:rsidRPr="000915D0">
        <w:rPr>
          <w:rFonts w:ascii="Times New Roman" w:hAnsi="Times New Roman" w:cs="Times New Roman"/>
          <w:sz w:val="24"/>
          <w:szCs w:val="24"/>
        </w:rPr>
        <w:t xml:space="preserve"> de 1952, qui ne </w:t>
      </w:r>
      <w:r w:rsidR="0082197A" w:rsidRPr="000915D0">
        <w:rPr>
          <w:rFonts w:ascii="Times New Roman" w:hAnsi="Times New Roman" w:cs="Times New Roman"/>
          <w:sz w:val="24"/>
          <w:szCs w:val="24"/>
        </w:rPr>
        <w:t>touche pas tout à fait à la même réalité organisationnelle.</w:t>
      </w:r>
    </w:p>
    <w:p w14:paraId="26C5C013" w14:textId="47767291" w:rsidR="00D63957" w:rsidRPr="000915D0" w:rsidRDefault="00812F99" w:rsidP="00D63957">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En France, la question de la codétermination a resurgi récemment dans</w:t>
      </w:r>
      <w:r w:rsidR="002D63EA" w:rsidRPr="000915D0">
        <w:rPr>
          <w:rFonts w:ascii="Times New Roman" w:hAnsi="Times New Roman" w:cs="Times New Roman"/>
          <w:sz w:val="24"/>
          <w:szCs w:val="24"/>
        </w:rPr>
        <w:t xml:space="preserve"> le cadre des discussions qui ont</w:t>
      </w:r>
      <w:r w:rsidRPr="000915D0">
        <w:rPr>
          <w:rFonts w:ascii="Times New Roman" w:hAnsi="Times New Roman" w:cs="Times New Roman"/>
          <w:sz w:val="24"/>
          <w:szCs w:val="24"/>
        </w:rPr>
        <w:t xml:space="preserve"> co</w:t>
      </w:r>
      <w:r w:rsidR="00BC1A14" w:rsidRPr="000915D0">
        <w:rPr>
          <w:rFonts w:ascii="Times New Roman" w:hAnsi="Times New Roman" w:cs="Times New Roman"/>
          <w:sz w:val="24"/>
          <w:szCs w:val="24"/>
        </w:rPr>
        <w:t>nduit à la loi PACTE</w:t>
      </w:r>
      <w:r w:rsidR="004B1878" w:rsidRPr="000915D0">
        <w:rPr>
          <w:rFonts w:ascii="Times New Roman" w:hAnsi="Times New Roman" w:cs="Times New Roman"/>
          <w:sz w:val="24"/>
          <w:szCs w:val="24"/>
        </w:rPr>
        <w:t xml:space="preserve"> de juin 2019</w:t>
      </w:r>
      <w:r w:rsidR="00BC1A14" w:rsidRPr="000915D0">
        <w:rPr>
          <w:rFonts w:ascii="Times New Roman" w:hAnsi="Times New Roman" w:cs="Times New Roman"/>
          <w:sz w:val="24"/>
          <w:szCs w:val="24"/>
        </w:rPr>
        <w:t>. Or, la co</w:t>
      </w:r>
      <w:r w:rsidRPr="000915D0">
        <w:rPr>
          <w:rFonts w:ascii="Times New Roman" w:hAnsi="Times New Roman" w:cs="Times New Roman"/>
          <w:sz w:val="24"/>
          <w:szCs w:val="24"/>
        </w:rPr>
        <w:t>détermination</w:t>
      </w:r>
      <w:r w:rsidR="007D19EC" w:rsidRPr="000915D0">
        <w:rPr>
          <w:rFonts w:ascii="Times New Roman" w:hAnsi="Times New Roman" w:cs="Times New Roman"/>
          <w:sz w:val="24"/>
          <w:szCs w:val="24"/>
        </w:rPr>
        <w:t xml:space="preserve"> existe à des degrés variables selon les pays. Les études comparatives des divers systèmes de gouvernance nationaux </w:t>
      </w:r>
      <w:r w:rsidR="007D19EC" w:rsidRPr="000915D0">
        <w:rPr>
          <w:rFonts w:ascii="Times New Roman" w:hAnsi="Times New Roman" w:cs="Times New Roman"/>
          <w:sz w:val="24"/>
          <w:szCs w:val="24"/>
        </w:rPr>
        <w:lastRenderedPageBreak/>
        <w:t>montrent</w:t>
      </w:r>
      <w:r w:rsidRPr="000915D0">
        <w:rPr>
          <w:rFonts w:ascii="Times New Roman" w:hAnsi="Times New Roman" w:cs="Times New Roman"/>
          <w:sz w:val="24"/>
          <w:szCs w:val="24"/>
        </w:rPr>
        <w:t xml:space="preserve"> typiquement</w:t>
      </w:r>
      <w:r w:rsidR="007D19EC" w:rsidRPr="000915D0">
        <w:rPr>
          <w:rFonts w:ascii="Times New Roman" w:hAnsi="Times New Roman" w:cs="Times New Roman"/>
          <w:sz w:val="24"/>
          <w:szCs w:val="24"/>
        </w:rPr>
        <w:t xml:space="preserve"> qu’elle est exceptionnellement forte en Allemagne</w:t>
      </w:r>
      <w:r w:rsidR="003F6959" w:rsidRPr="000915D0">
        <w:rPr>
          <w:rFonts w:ascii="Times New Roman" w:hAnsi="Times New Roman" w:cs="Times New Roman"/>
          <w:sz w:val="24"/>
          <w:szCs w:val="24"/>
        </w:rPr>
        <w:t xml:space="preserve"> (Jackson, 2005)</w:t>
      </w:r>
      <w:r w:rsidR="007D19EC" w:rsidRPr="000915D0">
        <w:rPr>
          <w:rFonts w:ascii="Times New Roman" w:hAnsi="Times New Roman" w:cs="Times New Roman"/>
          <w:sz w:val="24"/>
          <w:szCs w:val="24"/>
        </w:rPr>
        <w:t>, avec une représentation paritaire entre salariés et actionnaires dans les conseils des plus grandes entreprises. Ce serait d’ailleurs là un trait particulièrement caractéristique du système de g</w:t>
      </w:r>
      <w:r w:rsidR="003F6959" w:rsidRPr="000915D0">
        <w:rPr>
          <w:rFonts w:ascii="Times New Roman" w:hAnsi="Times New Roman" w:cs="Times New Roman"/>
          <w:sz w:val="24"/>
          <w:szCs w:val="24"/>
        </w:rPr>
        <w:t>ouvernance allemand</w:t>
      </w:r>
      <w:r w:rsidR="007D19EC" w:rsidRPr="000915D0">
        <w:rPr>
          <w:rFonts w:ascii="Times New Roman" w:hAnsi="Times New Roman" w:cs="Times New Roman"/>
          <w:sz w:val="24"/>
          <w:szCs w:val="24"/>
        </w:rPr>
        <w:t>, jusqu’à considérer qu’il s’ag</w:t>
      </w:r>
      <w:r w:rsidRPr="000915D0">
        <w:rPr>
          <w:rFonts w:ascii="Times New Roman" w:hAnsi="Times New Roman" w:cs="Times New Roman"/>
          <w:sz w:val="24"/>
          <w:szCs w:val="24"/>
        </w:rPr>
        <w:t>irait de la conséquence</w:t>
      </w:r>
      <w:r w:rsidR="007D19EC" w:rsidRPr="000915D0">
        <w:rPr>
          <w:rFonts w:ascii="Times New Roman" w:hAnsi="Times New Roman" w:cs="Times New Roman"/>
          <w:sz w:val="24"/>
          <w:szCs w:val="24"/>
        </w:rPr>
        <w:t xml:space="preserve"> d’une culture spécif</w:t>
      </w:r>
      <w:r w:rsidR="00BC1A14" w:rsidRPr="000915D0">
        <w:rPr>
          <w:rFonts w:ascii="Times New Roman" w:hAnsi="Times New Roman" w:cs="Times New Roman"/>
          <w:sz w:val="24"/>
          <w:szCs w:val="24"/>
        </w:rPr>
        <w:t>iquement allemande</w:t>
      </w:r>
      <w:r w:rsidR="003F6959" w:rsidRPr="000915D0">
        <w:rPr>
          <w:rFonts w:ascii="Times New Roman" w:hAnsi="Times New Roman" w:cs="Times New Roman"/>
          <w:sz w:val="24"/>
          <w:szCs w:val="24"/>
        </w:rPr>
        <w:t xml:space="preserve"> (Albert, 1991 ; Wirtz, 2002)</w:t>
      </w:r>
      <w:r w:rsidR="00BC1A14" w:rsidRPr="000915D0">
        <w:rPr>
          <w:rFonts w:ascii="Times New Roman" w:hAnsi="Times New Roman" w:cs="Times New Roman"/>
          <w:sz w:val="24"/>
          <w:szCs w:val="24"/>
        </w:rPr>
        <w:t>. Or, Gomez et Wirtz (2018</w:t>
      </w:r>
      <w:r w:rsidR="007D19EC" w:rsidRPr="000915D0">
        <w:rPr>
          <w:rFonts w:ascii="Times New Roman" w:hAnsi="Times New Roman" w:cs="Times New Roman"/>
          <w:sz w:val="24"/>
          <w:szCs w:val="24"/>
        </w:rPr>
        <w:t xml:space="preserve">) montrent que le culturalisme </w:t>
      </w:r>
      <w:r w:rsidR="00BC1A14" w:rsidRPr="000915D0">
        <w:rPr>
          <w:rFonts w:ascii="Times New Roman" w:hAnsi="Times New Roman" w:cs="Times New Roman"/>
          <w:sz w:val="24"/>
          <w:szCs w:val="24"/>
        </w:rPr>
        <w:t>explique mal la genèse de la co</w:t>
      </w:r>
      <w:r w:rsidR="007D19EC" w:rsidRPr="000915D0">
        <w:rPr>
          <w:rFonts w:ascii="Times New Roman" w:hAnsi="Times New Roman" w:cs="Times New Roman"/>
          <w:sz w:val="24"/>
          <w:szCs w:val="24"/>
        </w:rPr>
        <w:t>déterminati</w:t>
      </w:r>
      <w:r w:rsidR="00B36A15" w:rsidRPr="000915D0">
        <w:rPr>
          <w:rFonts w:ascii="Times New Roman" w:hAnsi="Times New Roman" w:cs="Times New Roman"/>
          <w:sz w:val="24"/>
          <w:szCs w:val="24"/>
        </w:rPr>
        <w:t>on allemande. Au contraire, son institutionnalisation</w:t>
      </w:r>
      <w:r w:rsidR="007D19EC" w:rsidRPr="000915D0">
        <w:rPr>
          <w:rFonts w:ascii="Times New Roman" w:hAnsi="Times New Roman" w:cs="Times New Roman"/>
          <w:sz w:val="24"/>
          <w:szCs w:val="24"/>
        </w:rPr>
        <w:t xml:space="preserve"> </w:t>
      </w:r>
      <w:r w:rsidR="00076D80" w:rsidRPr="000915D0">
        <w:rPr>
          <w:rFonts w:ascii="Times New Roman" w:hAnsi="Times New Roman" w:cs="Times New Roman"/>
          <w:sz w:val="24"/>
          <w:szCs w:val="24"/>
        </w:rPr>
        <w:t>apparaît en réalité plutôt comme le résultat d’un effort de mobilisation qui a pu être mené</w:t>
      </w:r>
      <w:r w:rsidRPr="000915D0">
        <w:rPr>
          <w:rFonts w:ascii="Times New Roman" w:hAnsi="Times New Roman" w:cs="Times New Roman"/>
          <w:sz w:val="24"/>
          <w:szCs w:val="24"/>
        </w:rPr>
        <w:t>e</w:t>
      </w:r>
      <w:r w:rsidR="00076D80" w:rsidRPr="000915D0">
        <w:rPr>
          <w:rFonts w:ascii="Times New Roman" w:hAnsi="Times New Roman" w:cs="Times New Roman"/>
          <w:sz w:val="24"/>
          <w:szCs w:val="24"/>
        </w:rPr>
        <w:t xml:space="preserve"> par certains acteurs syndicaux dans un c</w:t>
      </w:r>
      <w:r w:rsidR="00B36A15" w:rsidRPr="000915D0">
        <w:rPr>
          <w:rFonts w:ascii="Times New Roman" w:hAnsi="Times New Roman" w:cs="Times New Roman"/>
          <w:sz w:val="24"/>
          <w:szCs w:val="24"/>
        </w:rPr>
        <w:t>ontexte socio-historique particulier</w:t>
      </w:r>
      <w:r w:rsidR="00E70C0D" w:rsidRPr="000915D0">
        <w:rPr>
          <w:rFonts w:ascii="Times New Roman" w:hAnsi="Times New Roman" w:cs="Times New Roman"/>
          <w:sz w:val="24"/>
          <w:szCs w:val="24"/>
        </w:rPr>
        <w:t xml:space="preserve">, à la fin des années 1940 et </w:t>
      </w:r>
      <w:r w:rsidR="00B36A15" w:rsidRPr="000915D0">
        <w:rPr>
          <w:rFonts w:ascii="Times New Roman" w:hAnsi="Times New Roman" w:cs="Times New Roman"/>
          <w:sz w:val="24"/>
          <w:szCs w:val="24"/>
        </w:rPr>
        <w:t>au début de la décennie 1950</w:t>
      </w:r>
      <w:r w:rsidR="00BC1A14" w:rsidRPr="000915D0">
        <w:rPr>
          <w:rFonts w:ascii="Times New Roman" w:hAnsi="Times New Roman" w:cs="Times New Roman"/>
          <w:sz w:val="24"/>
          <w:szCs w:val="24"/>
        </w:rPr>
        <w:t xml:space="preserve"> (</w:t>
      </w:r>
      <w:r w:rsidR="00BC1A14" w:rsidRPr="000915D0">
        <w:rPr>
          <w:rFonts w:ascii="Times New Roman" w:hAnsi="Times New Roman" w:cs="Times New Roman"/>
          <w:i/>
          <w:iCs/>
          <w:sz w:val="24"/>
          <w:szCs w:val="24"/>
        </w:rPr>
        <w:t>Montanmitbestimmung</w:t>
      </w:r>
      <w:r w:rsidRPr="000915D0">
        <w:rPr>
          <w:rFonts w:ascii="Times New Roman" w:hAnsi="Times New Roman" w:cs="Times New Roman"/>
          <w:sz w:val="24"/>
          <w:szCs w:val="24"/>
        </w:rPr>
        <w:t xml:space="preserve"> 1951)</w:t>
      </w:r>
      <w:r w:rsidR="00E70C0D" w:rsidRPr="000915D0">
        <w:rPr>
          <w:rFonts w:ascii="Times New Roman" w:hAnsi="Times New Roman" w:cs="Times New Roman"/>
          <w:sz w:val="24"/>
          <w:szCs w:val="24"/>
        </w:rPr>
        <w:t xml:space="preserve"> d’abord, et au cours des années 1970 ensuite</w:t>
      </w:r>
      <w:r w:rsidR="00BC1A14" w:rsidRPr="000915D0">
        <w:rPr>
          <w:rFonts w:ascii="Times New Roman" w:hAnsi="Times New Roman" w:cs="Times New Roman"/>
          <w:sz w:val="24"/>
          <w:szCs w:val="24"/>
        </w:rPr>
        <w:t xml:space="preserve"> (</w:t>
      </w:r>
      <w:r w:rsidR="00BC1A14" w:rsidRPr="000915D0">
        <w:rPr>
          <w:rFonts w:ascii="Times New Roman" w:hAnsi="Times New Roman" w:cs="Times New Roman"/>
          <w:i/>
          <w:iCs/>
          <w:sz w:val="24"/>
          <w:szCs w:val="24"/>
        </w:rPr>
        <w:t>Mit</w:t>
      </w:r>
      <w:r w:rsidRPr="000915D0">
        <w:rPr>
          <w:rFonts w:ascii="Times New Roman" w:hAnsi="Times New Roman" w:cs="Times New Roman"/>
          <w:i/>
          <w:iCs/>
          <w:sz w:val="24"/>
          <w:szCs w:val="24"/>
        </w:rPr>
        <w:t>bestimmungsgesetz</w:t>
      </w:r>
      <w:r w:rsidRPr="000915D0">
        <w:rPr>
          <w:rFonts w:ascii="Times New Roman" w:hAnsi="Times New Roman" w:cs="Times New Roman"/>
          <w:sz w:val="24"/>
          <w:szCs w:val="24"/>
        </w:rPr>
        <w:t xml:space="preserve"> 1976)</w:t>
      </w:r>
      <w:r w:rsidR="00076D80" w:rsidRPr="000915D0">
        <w:rPr>
          <w:rFonts w:ascii="Times New Roman" w:hAnsi="Times New Roman" w:cs="Times New Roman"/>
          <w:sz w:val="24"/>
          <w:szCs w:val="24"/>
        </w:rPr>
        <w:t xml:space="preserve">. </w:t>
      </w:r>
      <w:r w:rsidR="004B1878" w:rsidRPr="000915D0">
        <w:rPr>
          <w:rFonts w:ascii="Times New Roman" w:hAnsi="Times New Roman" w:cs="Times New Roman"/>
          <w:sz w:val="24"/>
          <w:szCs w:val="24"/>
        </w:rPr>
        <w:t xml:space="preserve">Or, si la codétermination n’est pas le produit d’un déterminisme culturel mais le </w:t>
      </w:r>
      <w:r w:rsidR="00231277" w:rsidRPr="000915D0">
        <w:rPr>
          <w:rFonts w:ascii="Times New Roman" w:hAnsi="Times New Roman" w:cs="Times New Roman"/>
          <w:sz w:val="24"/>
          <w:szCs w:val="24"/>
        </w:rPr>
        <w:t>résultat</w:t>
      </w:r>
      <w:r w:rsidR="004B1878" w:rsidRPr="000915D0">
        <w:rPr>
          <w:rFonts w:ascii="Times New Roman" w:hAnsi="Times New Roman" w:cs="Times New Roman"/>
          <w:sz w:val="24"/>
          <w:szCs w:val="24"/>
        </w:rPr>
        <w:t xml:space="preserve"> d’un effort de mobilisation volontaire, une institutionnalisation dans divers contextes nationaux ne relève donc, en théorie, pas de l’impossible. Et de fait, la co</w:t>
      </w:r>
      <w:r w:rsidR="00E70C0D" w:rsidRPr="000915D0">
        <w:rPr>
          <w:rFonts w:ascii="Times New Roman" w:hAnsi="Times New Roman" w:cs="Times New Roman"/>
          <w:sz w:val="24"/>
          <w:szCs w:val="24"/>
        </w:rPr>
        <w:t>détermination a aussi fait l’objet de discussions dans l’histoire politique et économique de la France d’après-guerre, sans pour a</w:t>
      </w:r>
      <w:r w:rsidR="005E2DB0" w:rsidRPr="000915D0">
        <w:rPr>
          <w:rFonts w:ascii="Times New Roman" w:hAnsi="Times New Roman" w:cs="Times New Roman"/>
          <w:sz w:val="24"/>
          <w:szCs w:val="24"/>
        </w:rPr>
        <w:t>utant conduire au même résultat</w:t>
      </w:r>
      <w:r w:rsidR="00E70C0D" w:rsidRPr="000915D0">
        <w:rPr>
          <w:rFonts w:ascii="Times New Roman" w:hAnsi="Times New Roman" w:cs="Times New Roman"/>
          <w:sz w:val="24"/>
          <w:szCs w:val="24"/>
        </w:rPr>
        <w:t>, alors</w:t>
      </w:r>
      <w:r w:rsidRPr="000915D0">
        <w:rPr>
          <w:rFonts w:ascii="Times New Roman" w:hAnsi="Times New Roman" w:cs="Times New Roman"/>
          <w:sz w:val="24"/>
          <w:szCs w:val="24"/>
        </w:rPr>
        <w:t xml:space="preserve"> que certains </w:t>
      </w:r>
      <w:r w:rsidR="004B1878" w:rsidRPr="000915D0">
        <w:rPr>
          <w:rFonts w:ascii="Times New Roman" w:hAnsi="Times New Roman" w:cs="Times New Roman"/>
          <w:sz w:val="24"/>
          <w:szCs w:val="24"/>
        </w:rPr>
        <w:t xml:space="preserve">des </w:t>
      </w:r>
      <w:r w:rsidRPr="000915D0">
        <w:rPr>
          <w:rFonts w:ascii="Times New Roman" w:hAnsi="Times New Roman" w:cs="Times New Roman"/>
          <w:sz w:val="24"/>
          <w:szCs w:val="24"/>
        </w:rPr>
        <w:t>arguments de fond</w:t>
      </w:r>
      <w:r w:rsidR="00E70C0D" w:rsidRPr="000915D0">
        <w:rPr>
          <w:rFonts w:ascii="Times New Roman" w:hAnsi="Times New Roman" w:cs="Times New Roman"/>
          <w:sz w:val="24"/>
          <w:szCs w:val="24"/>
        </w:rPr>
        <w:t xml:space="preserve"> invoqués par ses promoteurs de l’époque étaient proches de ceux qui la soutenaient en Allemagne</w:t>
      </w:r>
      <w:r w:rsidR="00BC1A14" w:rsidRPr="000915D0">
        <w:rPr>
          <w:rFonts w:ascii="Times New Roman" w:hAnsi="Times New Roman" w:cs="Times New Roman"/>
          <w:sz w:val="24"/>
          <w:szCs w:val="24"/>
        </w:rPr>
        <w:t xml:space="preserve"> (Aubert et Hollandts, 2022)</w:t>
      </w:r>
      <w:r w:rsidR="00E70C0D" w:rsidRPr="000915D0">
        <w:rPr>
          <w:rFonts w:ascii="Times New Roman" w:hAnsi="Times New Roman" w:cs="Times New Roman"/>
          <w:sz w:val="24"/>
          <w:szCs w:val="24"/>
        </w:rPr>
        <w:t>. On est alors en droit de se demander ce qui a conduit à cette divergence des résultats, avec une institutionnalis</w:t>
      </w:r>
      <w:r w:rsidR="00BC1A14" w:rsidRPr="000915D0">
        <w:rPr>
          <w:rFonts w:ascii="Times New Roman" w:hAnsi="Times New Roman" w:cs="Times New Roman"/>
          <w:sz w:val="24"/>
          <w:szCs w:val="24"/>
        </w:rPr>
        <w:t>ation forte et durable de la co</w:t>
      </w:r>
      <w:r w:rsidR="00E70C0D" w:rsidRPr="000915D0">
        <w:rPr>
          <w:rFonts w:ascii="Times New Roman" w:hAnsi="Times New Roman" w:cs="Times New Roman"/>
          <w:sz w:val="24"/>
          <w:szCs w:val="24"/>
        </w:rPr>
        <w:t>détermination paritaire des plus grandes entreprises allemandes, alors que l’initiative menée sous la bannière de « la réforme de l’entreprise »</w:t>
      </w:r>
      <w:r w:rsidRPr="000915D0">
        <w:rPr>
          <w:rFonts w:ascii="Times New Roman" w:hAnsi="Times New Roman" w:cs="Times New Roman"/>
          <w:sz w:val="24"/>
          <w:szCs w:val="24"/>
        </w:rPr>
        <w:t>,</w:t>
      </w:r>
      <w:r w:rsidR="00E70C0D" w:rsidRPr="000915D0">
        <w:rPr>
          <w:rFonts w:ascii="Times New Roman" w:hAnsi="Times New Roman" w:cs="Times New Roman"/>
          <w:sz w:val="24"/>
          <w:szCs w:val="24"/>
        </w:rPr>
        <w:t xml:space="preserve"> pour reprendre la formule du rapport </w:t>
      </w:r>
      <w:r w:rsidR="00BC1A14" w:rsidRPr="000915D0">
        <w:rPr>
          <w:rFonts w:ascii="Times New Roman" w:hAnsi="Times New Roman" w:cs="Times New Roman"/>
          <w:sz w:val="24"/>
          <w:szCs w:val="24"/>
        </w:rPr>
        <w:t>Sudreau (1975)</w:t>
      </w:r>
      <w:r w:rsidRPr="000915D0">
        <w:rPr>
          <w:rFonts w:ascii="Times New Roman" w:hAnsi="Times New Roman" w:cs="Times New Roman"/>
          <w:sz w:val="24"/>
          <w:szCs w:val="24"/>
        </w:rPr>
        <w:t>,</w:t>
      </w:r>
      <w:r w:rsidR="00E70C0D" w:rsidRPr="000915D0">
        <w:rPr>
          <w:rFonts w:ascii="Times New Roman" w:hAnsi="Times New Roman" w:cs="Times New Roman"/>
          <w:sz w:val="24"/>
          <w:szCs w:val="24"/>
        </w:rPr>
        <w:t xml:space="preserve"> est en grande partie restée lettre morte</w:t>
      </w:r>
      <w:r w:rsidR="004B1878" w:rsidRPr="000915D0">
        <w:rPr>
          <w:rFonts w:ascii="Times New Roman" w:hAnsi="Times New Roman" w:cs="Times New Roman"/>
          <w:sz w:val="24"/>
          <w:szCs w:val="24"/>
        </w:rPr>
        <w:t xml:space="preserve"> en France</w:t>
      </w:r>
      <w:r w:rsidR="00BC1A14" w:rsidRPr="000915D0">
        <w:rPr>
          <w:rFonts w:ascii="Times New Roman" w:hAnsi="Times New Roman" w:cs="Times New Roman"/>
          <w:sz w:val="24"/>
          <w:szCs w:val="24"/>
        </w:rPr>
        <w:t xml:space="preserve"> (Aubert et Hollandts, 2022)</w:t>
      </w:r>
      <w:r w:rsidR="00E70C0D" w:rsidRPr="000915D0">
        <w:rPr>
          <w:rFonts w:ascii="Times New Roman" w:hAnsi="Times New Roman" w:cs="Times New Roman"/>
          <w:sz w:val="24"/>
          <w:szCs w:val="24"/>
        </w:rPr>
        <w:t xml:space="preserve">. </w:t>
      </w:r>
    </w:p>
    <w:p w14:paraId="0B665599" w14:textId="679CD2FF" w:rsidR="0069664D" w:rsidRPr="000915D0" w:rsidRDefault="00E172DF" w:rsidP="00D63957">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L’objectif du présent article est alors de fournir une étude comparative de la mobilisation autour de la codétermination en France et en Allemagne et ce, afin de mieux comprendre les leviers facilitateurs et les éventuels freins. Gomez et Wirtz (2018), dans leur étude de l’institutionnalisation de la codétermination allemande dans le secteur charbon-acier après la deuxième guerre mondiale, ont montré que le succès de ce mouvement social était le fruit de la présence simultanée des quatre di</w:t>
      </w:r>
      <w:r w:rsidR="004B1878" w:rsidRPr="000915D0">
        <w:rPr>
          <w:rFonts w:ascii="Times New Roman" w:hAnsi="Times New Roman" w:cs="Times New Roman"/>
          <w:sz w:val="24"/>
          <w:szCs w:val="24"/>
        </w:rPr>
        <w:t>mensions de la mobilisation</w:t>
      </w:r>
      <w:r w:rsidRPr="000915D0">
        <w:rPr>
          <w:rFonts w:ascii="Times New Roman" w:hAnsi="Times New Roman" w:cs="Times New Roman"/>
          <w:sz w:val="24"/>
          <w:szCs w:val="24"/>
        </w:rPr>
        <w:t xml:space="preserve"> identifié</w:t>
      </w:r>
      <w:r w:rsidR="005E2DB0" w:rsidRPr="000915D0">
        <w:rPr>
          <w:rFonts w:ascii="Times New Roman" w:hAnsi="Times New Roman" w:cs="Times New Roman"/>
          <w:sz w:val="24"/>
          <w:szCs w:val="24"/>
        </w:rPr>
        <w:t>e</w:t>
      </w:r>
      <w:r w:rsidRPr="000915D0">
        <w:rPr>
          <w:rFonts w:ascii="Times New Roman" w:hAnsi="Times New Roman" w:cs="Times New Roman"/>
          <w:sz w:val="24"/>
          <w:szCs w:val="24"/>
        </w:rPr>
        <w:t>s dans le travail de Davis et Thompson (1994)</w:t>
      </w:r>
      <w:r w:rsidR="00405C13" w:rsidRPr="000915D0">
        <w:rPr>
          <w:rFonts w:ascii="Times New Roman" w:hAnsi="Times New Roman" w:cs="Times New Roman"/>
          <w:sz w:val="24"/>
          <w:szCs w:val="24"/>
        </w:rPr>
        <w:t xml:space="preserve"> (opportunité politique, intérêts partagés, infrastructure sociale, dynamique de la mobilisation</w:t>
      </w:r>
      <w:r w:rsidR="00214077" w:rsidRPr="000915D0">
        <w:rPr>
          <w:rFonts w:ascii="Times New Roman" w:hAnsi="Times New Roman" w:cs="Times New Roman"/>
          <w:sz w:val="24"/>
          <w:szCs w:val="24"/>
        </w:rPr>
        <w:t xml:space="preserve">). Aux quatre dimensions de la mobilisation identifiées par Davis et Thompson (1994), Gomez et Wirtz (2018) ajoutent </w:t>
      </w:r>
      <w:r w:rsidR="0019559F" w:rsidRPr="000915D0">
        <w:rPr>
          <w:rFonts w:ascii="Times New Roman" w:hAnsi="Times New Roman" w:cs="Times New Roman"/>
          <w:sz w:val="24"/>
          <w:szCs w:val="24"/>
        </w:rPr>
        <w:t>la notion d’</w:t>
      </w:r>
      <w:r w:rsidR="00214077" w:rsidRPr="000915D0">
        <w:rPr>
          <w:rFonts w:ascii="Times New Roman" w:hAnsi="Times New Roman" w:cs="Times New Roman"/>
          <w:sz w:val="24"/>
          <w:szCs w:val="24"/>
        </w:rPr>
        <w:t>institution socle.</w:t>
      </w:r>
      <w:r w:rsidR="0019559F" w:rsidRPr="000915D0">
        <w:rPr>
          <w:rFonts w:ascii="Times New Roman" w:hAnsi="Times New Roman" w:cs="Times New Roman"/>
          <w:sz w:val="24"/>
          <w:szCs w:val="24"/>
        </w:rPr>
        <w:t xml:space="preserve"> Le </w:t>
      </w:r>
      <w:r w:rsidR="00405C13" w:rsidRPr="000915D0">
        <w:rPr>
          <w:rFonts w:ascii="Times New Roman" w:hAnsi="Times New Roman" w:cs="Times New Roman"/>
          <w:sz w:val="24"/>
          <w:szCs w:val="24"/>
        </w:rPr>
        <w:t xml:space="preserve">soutien d’une institution socle, non directement concernée par l’issue de la mobilisation, </w:t>
      </w:r>
      <w:r w:rsidR="00F5419D" w:rsidRPr="000915D0">
        <w:rPr>
          <w:rFonts w:ascii="Times New Roman" w:hAnsi="Times New Roman" w:cs="Times New Roman"/>
          <w:sz w:val="24"/>
          <w:szCs w:val="24"/>
        </w:rPr>
        <w:t xml:space="preserve">est </w:t>
      </w:r>
      <w:r w:rsidR="003E2CA2" w:rsidRPr="000915D0">
        <w:rPr>
          <w:rFonts w:ascii="Times New Roman" w:hAnsi="Times New Roman" w:cs="Times New Roman"/>
          <w:sz w:val="24"/>
          <w:szCs w:val="24"/>
        </w:rPr>
        <w:t xml:space="preserve">néanmoins </w:t>
      </w:r>
      <w:r w:rsidR="00405C13" w:rsidRPr="000915D0">
        <w:rPr>
          <w:rFonts w:ascii="Times New Roman" w:hAnsi="Times New Roman" w:cs="Times New Roman"/>
          <w:sz w:val="24"/>
          <w:szCs w:val="24"/>
        </w:rPr>
        <w:t>instrumental dans le cadrage du débat et de l’argumentaire des promoteurs.</w:t>
      </w:r>
      <w:r w:rsidRPr="000915D0">
        <w:rPr>
          <w:rFonts w:ascii="Times New Roman" w:hAnsi="Times New Roman" w:cs="Times New Roman"/>
          <w:sz w:val="24"/>
          <w:szCs w:val="24"/>
        </w:rPr>
        <w:t xml:space="preserve"> </w:t>
      </w:r>
      <w:r w:rsidR="00E53E13" w:rsidRPr="000915D0">
        <w:rPr>
          <w:rFonts w:ascii="Times New Roman" w:hAnsi="Times New Roman" w:cs="Times New Roman"/>
          <w:sz w:val="24"/>
          <w:szCs w:val="24"/>
        </w:rPr>
        <w:t>L’Eglise catholique a joué le rôle d’institution socle en Allemagne pour permettre d’</w:t>
      </w:r>
      <w:r w:rsidR="00922FF7" w:rsidRPr="000915D0">
        <w:rPr>
          <w:rFonts w:ascii="Times New Roman" w:hAnsi="Times New Roman" w:cs="Times New Roman"/>
          <w:sz w:val="24"/>
          <w:szCs w:val="24"/>
        </w:rPr>
        <w:t>institutionnaliser</w:t>
      </w:r>
      <w:r w:rsidR="00E53E13" w:rsidRPr="000915D0">
        <w:rPr>
          <w:rFonts w:ascii="Times New Roman" w:hAnsi="Times New Roman" w:cs="Times New Roman"/>
          <w:sz w:val="24"/>
          <w:szCs w:val="24"/>
        </w:rPr>
        <w:t xml:space="preserve"> la </w:t>
      </w:r>
      <w:r w:rsidR="00E53E13" w:rsidRPr="000915D0">
        <w:rPr>
          <w:rFonts w:ascii="Times New Roman" w:hAnsi="Times New Roman" w:cs="Times New Roman"/>
          <w:sz w:val="24"/>
          <w:szCs w:val="24"/>
        </w:rPr>
        <w:lastRenderedPageBreak/>
        <w:t xml:space="preserve">codétermination. </w:t>
      </w:r>
      <w:r w:rsidR="00CA60BA" w:rsidRPr="000915D0">
        <w:rPr>
          <w:rFonts w:ascii="Times New Roman" w:hAnsi="Times New Roman" w:cs="Times New Roman"/>
          <w:sz w:val="24"/>
          <w:szCs w:val="24"/>
        </w:rPr>
        <w:t>L’enjeu de la comparaison avec le cas français est de comprendre</w:t>
      </w:r>
      <w:r w:rsidR="00B02D2D" w:rsidRPr="000915D0">
        <w:rPr>
          <w:rFonts w:ascii="Times New Roman" w:hAnsi="Times New Roman" w:cs="Times New Roman"/>
          <w:sz w:val="24"/>
          <w:szCs w:val="24"/>
        </w:rPr>
        <w:t xml:space="preserve"> pourquoi</w:t>
      </w:r>
      <w:r w:rsidR="005D7437" w:rsidRPr="000915D0">
        <w:rPr>
          <w:rFonts w:ascii="Times New Roman" w:hAnsi="Times New Roman" w:cs="Times New Roman"/>
          <w:sz w:val="24"/>
          <w:szCs w:val="24"/>
        </w:rPr>
        <w:t xml:space="preserve">, malgré des idées politiques et sociales comparables </w:t>
      </w:r>
      <w:r w:rsidR="00C12908" w:rsidRPr="000915D0">
        <w:rPr>
          <w:rFonts w:ascii="Times New Roman" w:hAnsi="Times New Roman" w:cs="Times New Roman"/>
          <w:sz w:val="24"/>
          <w:szCs w:val="24"/>
        </w:rPr>
        <w:t>au sein des élites politiques</w:t>
      </w:r>
      <w:r w:rsidR="0012050F" w:rsidRPr="000915D0">
        <w:rPr>
          <w:rFonts w:ascii="Times New Roman" w:hAnsi="Times New Roman" w:cs="Times New Roman"/>
          <w:sz w:val="24"/>
          <w:szCs w:val="24"/>
        </w:rPr>
        <w:t xml:space="preserve"> des deux pays dans l’après-guerre</w:t>
      </w:r>
      <w:r w:rsidR="00D141E6" w:rsidRPr="000915D0">
        <w:rPr>
          <w:rFonts w:ascii="Times New Roman" w:hAnsi="Times New Roman" w:cs="Times New Roman"/>
          <w:sz w:val="24"/>
          <w:szCs w:val="24"/>
        </w:rPr>
        <w:t>, la codétermination</w:t>
      </w:r>
      <w:r w:rsidR="00F772E5" w:rsidRPr="000915D0">
        <w:rPr>
          <w:rFonts w:ascii="Times New Roman" w:hAnsi="Times New Roman" w:cs="Times New Roman"/>
          <w:sz w:val="24"/>
          <w:szCs w:val="24"/>
        </w:rPr>
        <w:t xml:space="preserve"> au sein des conseils de surveillance</w:t>
      </w:r>
      <w:r w:rsidR="00D141E6" w:rsidRPr="000915D0">
        <w:rPr>
          <w:rFonts w:ascii="Times New Roman" w:hAnsi="Times New Roman" w:cs="Times New Roman"/>
          <w:sz w:val="24"/>
          <w:szCs w:val="24"/>
        </w:rPr>
        <w:t xml:space="preserve"> a rapidement pris une </w:t>
      </w:r>
      <w:r w:rsidR="00E05E74" w:rsidRPr="000915D0">
        <w:rPr>
          <w:rFonts w:ascii="Times New Roman" w:hAnsi="Times New Roman" w:cs="Times New Roman"/>
          <w:sz w:val="24"/>
          <w:szCs w:val="24"/>
        </w:rPr>
        <w:t>forme institutionnalisée forte en Allemagne et s’est ensuite généralisée</w:t>
      </w:r>
      <w:r w:rsidR="00F772E5" w:rsidRPr="000915D0">
        <w:rPr>
          <w:rFonts w:ascii="Times New Roman" w:hAnsi="Times New Roman" w:cs="Times New Roman"/>
          <w:sz w:val="24"/>
          <w:szCs w:val="24"/>
        </w:rPr>
        <w:t xml:space="preserve">, alors </w:t>
      </w:r>
      <w:r w:rsidR="004A7E2D" w:rsidRPr="000915D0">
        <w:rPr>
          <w:rFonts w:ascii="Times New Roman" w:hAnsi="Times New Roman" w:cs="Times New Roman"/>
          <w:sz w:val="24"/>
          <w:szCs w:val="24"/>
        </w:rPr>
        <w:t xml:space="preserve">que les conseils d’administration français n’ont jamais fait la même place aux représentants </w:t>
      </w:r>
      <w:r w:rsidR="00C56BB6" w:rsidRPr="000915D0">
        <w:rPr>
          <w:rFonts w:ascii="Times New Roman" w:hAnsi="Times New Roman" w:cs="Times New Roman"/>
          <w:sz w:val="24"/>
          <w:szCs w:val="24"/>
        </w:rPr>
        <w:t>des salariés. Quel</w:t>
      </w:r>
      <w:r w:rsidR="008911C5" w:rsidRPr="000915D0">
        <w:rPr>
          <w:rFonts w:ascii="Times New Roman" w:hAnsi="Times New Roman" w:cs="Times New Roman"/>
          <w:sz w:val="24"/>
          <w:szCs w:val="24"/>
        </w:rPr>
        <w:t>le</w:t>
      </w:r>
      <w:r w:rsidR="00C56BB6" w:rsidRPr="000915D0">
        <w:rPr>
          <w:rFonts w:ascii="Times New Roman" w:hAnsi="Times New Roman" w:cs="Times New Roman"/>
          <w:sz w:val="24"/>
          <w:szCs w:val="24"/>
        </w:rPr>
        <w:t xml:space="preserve"> est l’importance de la dynamique de mobilisation sociale et de ses </w:t>
      </w:r>
      <w:r w:rsidR="002351DD" w:rsidRPr="000915D0">
        <w:rPr>
          <w:rFonts w:ascii="Times New Roman" w:hAnsi="Times New Roman" w:cs="Times New Roman"/>
          <w:sz w:val="24"/>
          <w:szCs w:val="24"/>
        </w:rPr>
        <w:t xml:space="preserve">quatre dimensions identifiées par Davis et Thompson ? </w:t>
      </w:r>
      <w:r w:rsidR="0028155F" w:rsidRPr="000915D0">
        <w:rPr>
          <w:rFonts w:ascii="Times New Roman" w:hAnsi="Times New Roman" w:cs="Times New Roman"/>
          <w:sz w:val="24"/>
          <w:szCs w:val="24"/>
        </w:rPr>
        <w:t>Toutes les dimensions doivent-</w:t>
      </w:r>
      <w:r w:rsidR="008911C5" w:rsidRPr="000915D0">
        <w:rPr>
          <w:rFonts w:ascii="Times New Roman" w:hAnsi="Times New Roman" w:cs="Times New Roman"/>
          <w:sz w:val="24"/>
          <w:szCs w:val="24"/>
        </w:rPr>
        <w:t>elles</w:t>
      </w:r>
      <w:r w:rsidR="0028155F" w:rsidRPr="000915D0">
        <w:rPr>
          <w:rFonts w:ascii="Times New Roman" w:hAnsi="Times New Roman" w:cs="Times New Roman"/>
          <w:sz w:val="24"/>
          <w:szCs w:val="24"/>
        </w:rPr>
        <w:t xml:space="preserve"> être </w:t>
      </w:r>
      <w:r w:rsidR="00D211E9" w:rsidRPr="000915D0">
        <w:rPr>
          <w:rFonts w:ascii="Times New Roman" w:hAnsi="Times New Roman" w:cs="Times New Roman"/>
          <w:sz w:val="24"/>
          <w:szCs w:val="24"/>
        </w:rPr>
        <w:t>présentes</w:t>
      </w:r>
      <w:r w:rsidR="00595396" w:rsidRPr="000915D0">
        <w:rPr>
          <w:rFonts w:ascii="Times New Roman" w:hAnsi="Times New Roman" w:cs="Times New Roman"/>
          <w:sz w:val="24"/>
          <w:szCs w:val="24"/>
        </w:rPr>
        <w:t xml:space="preserve"> et </w:t>
      </w:r>
      <w:r w:rsidR="0028155F" w:rsidRPr="000915D0">
        <w:rPr>
          <w:rFonts w:ascii="Times New Roman" w:hAnsi="Times New Roman" w:cs="Times New Roman"/>
          <w:sz w:val="24"/>
          <w:szCs w:val="24"/>
        </w:rPr>
        <w:t xml:space="preserve">alignées pour </w:t>
      </w:r>
      <w:r w:rsidR="00BC40C5" w:rsidRPr="000915D0">
        <w:rPr>
          <w:rFonts w:ascii="Times New Roman" w:hAnsi="Times New Roman" w:cs="Times New Roman"/>
          <w:sz w:val="24"/>
          <w:szCs w:val="24"/>
        </w:rPr>
        <w:t xml:space="preserve">conduire à une mobilisation efficace et </w:t>
      </w:r>
      <w:r w:rsidR="006E5C19" w:rsidRPr="000915D0">
        <w:rPr>
          <w:rFonts w:ascii="Times New Roman" w:hAnsi="Times New Roman" w:cs="Times New Roman"/>
          <w:sz w:val="24"/>
          <w:szCs w:val="24"/>
        </w:rPr>
        <w:t>une</w:t>
      </w:r>
      <w:r w:rsidR="00BC40C5" w:rsidRPr="000915D0">
        <w:rPr>
          <w:rFonts w:ascii="Times New Roman" w:hAnsi="Times New Roman" w:cs="Times New Roman"/>
          <w:sz w:val="24"/>
          <w:szCs w:val="24"/>
        </w:rPr>
        <w:t xml:space="preserve"> institutionnalisation rapide</w:t>
      </w:r>
      <w:r w:rsidR="006E5C19" w:rsidRPr="000915D0">
        <w:rPr>
          <w:rFonts w:ascii="Times New Roman" w:hAnsi="Times New Roman" w:cs="Times New Roman"/>
          <w:sz w:val="24"/>
          <w:szCs w:val="24"/>
        </w:rPr>
        <w:t> ?</w:t>
      </w:r>
      <w:r w:rsidR="00CA60BA" w:rsidRPr="000915D0">
        <w:rPr>
          <w:rFonts w:ascii="Times New Roman" w:hAnsi="Times New Roman" w:cs="Times New Roman"/>
          <w:sz w:val="24"/>
          <w:szCs w:val="24"/>
        </w:rPr>
        <w:t xml:space="preserve"> </w:t>
      </w:r>
      <w:r w:rsidR="006F73DD" w:rsidRPr="000915D0">
        <w:rPr>
          <w:rFonts w:ascii="Times New Roman" w:hAnsi="Times New Roman" w:cs="Times New Roman"/>
          <w:sz w:val="24"/>
          <w:szCs w:val="24"/>
        </w:rPr>
        <w:t xml:space="preserve">Quel est le rôle </w:t>
      </w:r>
      <w:r w:rsidR="00310E35" w:rsidRPr="000915D0">
        <w:rPr>
          <w:rFonts w:ascii="Times New Roman" w:hAnsi="Times New Roman" w:cs="Times New Roman"/>
          <w:sz w:val="24"/>
          <w:szCs w:val="24"/>
        </w:rPr>
        <w:t xml:space="preserve">et l’importance du recours </w:t>
      </w:r>
      <w:r w:rsidR="00D211E9" w:rsidRPr="000915D0">
        <w:rPr>
          <w:rFonts w:ascii="Times New Roman" w:hAnsi="Times New Roman" w:cs="Times New Roman"/>
          <w:sz w:val="24"/>
          <w:szCs w:val="24"/>
        </w:rPr>
        <w:t xml:space="preserve">à une institution socle dans le processus ? </w:t>
      </w:r>
    </w:p>
    <w:p w14:paraId="6FEE8700" w14:textId="63952531" w:rsidR="001D6C74" w:rsidRPr="000915D0" w:rsidRDefault="0044738D" w:rsidP="00D63957">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Comme méthode de travail, nous avons choisi une analyse comparative des processus historiques de mobilisation autour de la codétermination en France et en Allemagne. Pour ce faire, nous avons répliqué la méthode d’analyse employée par Gomez et Wirtz (2018) pour le codage de leur</w:t>
      </w:r>
      <w:r w:rsidR="004B1878" w:rsidRPr="000915D0">
        <w:rPr>
          <w:rFonts w:ascii="Times New Roman" w:hAnsi="Times New Roman" w:cs="Times New Roman"/>
          <w:sz w:val="24"/>
          <w:szCs w:val="24"/>
        </w:rPr>
        <w:t>s</w:t>
      </w:r>
      <w:r w:rsidRPr="000915D0">
        <w:rPr>
          <w:rFonts w:ascii="Times New Roman" w:hAnsi="Times New Roman" w:cs="Times New Roman"/>
          <w:sz w:val="24"/>
          <w:szCs w:val="24"/>
        </w:rPr>
        <w:t xml:space="preserve"> données qualitatives historiques sur un matériau comparable</w:t>
      </w:r>
      <w:r w:rsidR="004B41DB" w:rsidRPr="000915D0">
        <w:rPr>
          <w:rFonts w:ascii="Times New Roman" w:hAnsi="Times New Roman" w:cs="Times New Roman"/>
          <w:sz w:val="24"/>
          <w:szCs w:val="24"/>
        </w:rPr>
        <w:t xml:space="preserve"> collecté</w:t>
      </w:r>
      <w:r w:rsidRPr="000915D0">
        <w:rPr>
          <w:rFonts w:ascii="Times New Roman" w:hAnsi="Times New Roman" w:cs="Times New Roman"/>
          <w:sz w:val="24"/>
          <w:szCs w:val="24"/>
        </w:rPr>
        <w:t xml:space="preserve"> pour le cas français, comme il a pu être identifié dans la description historique du mouvement de la réforme de l’entreprise par Aubert et Hollandts (2022). L’un des principaux résultats est le constat que l’échec de l’institutionnalisation d’une codétermination forte</w:t>
      </w:r>
      <w:r w:rsidR="00AC33FC" w:rsidRPr="000915D0">
        <w:rPr>
          <w:rFonts w:ascii="Times New Roman" w:hAnsi="Times New Roman" w:cs="Times New Roman"/>
          <w:sz w:val="24"/>
          <w:szCs w:val="24"/>
        </w:rPr>
        <w:t xml:space="preserve"> et généralisée</w:t>
      </w:r>
      <w:r w:rsidR="002D63EA" w:rsidRPr="000915D0">
        <w:rPr>
          <w:rFonts w:ascii="Times New Roman" w:hAnsi="Times New Roman" w:cs="Times New Roman"/>
          <w:sz w:val="24"/>
          <w:szCs w:val="24"/>
        </w:rPr>
        <w:t xml:space="preserve"> en </w:t>
      </w:r>
      <w:r w:rsidR="00341BC5" w:rsidRPr="000915D0">
        <w:rPr>
          <w:rFonts w:ascii="Times New Roman" w:hAnsi="Times New Roman" w:cs="Times New Roman"/>
          <w:sz w:val="24"/>
          <w:szCs w:val="24"/>
        </w:rPr>
        <w:t>France, que ce soit immédiatement après la guerre ou dans les années 1970</w:t>
      </w:r>
      <w:r w:rsidR="00167154" w:rsidRPr="000915D0">
        <w:rPr>
          <w:rFonts w:ascii="Times New Roman" w:hAnsi="Times New Roman" w:cs="Times New Roman"/>
          <w:sz w:val="24"/>
          <w:szCs w:val="24"/>
        </w:rPr>
        <w:t>,</w:t>
      </w:r>
      <w:r w:rsidRPr="000915D0">
        <w:rPr>
          <w:rFonts w:ascii="Times New Roman" w:hAnsi="Times New Roman" w:cs="Times New Roman"/>
          <w:sz w:val="24"/>
          <w:szCs w:val="24"/>
        </w:rPr>
        <w:t xml:space="preserve"> </w:t>
      </w:r>
      <w:r w:rsidR="001D6C74" w:rsidRPr="000915D0">
        <w:rPr>
          <w:rFonts w:ascii="Times New Roman" w:hAnsi="Times New Roman" w:cs="Times New Roman"/>
          <w:sz w:val="24"/>
          <w:szCs w:val="24"/>
        </w:rPr>
        <w:t>est</w:t>
      </w:r>
      <w:r w:rsidR="00BA46E5" w:rsidRPr="000915D0">
        <w:rPr>
          <w:rFonts w:ascii="Times New Roman" w:hAnsi="Times New Roman" w:cs="Times New Roman"/>
          <w:sz w:val="24"/>
          <w:szCs w:val="24"/>
        </w:rPr>
        <w:t xml:space="preserve"> dû à</w:t>
      </w:r>
      <w:r w:rsidR="001D6C74" w:rsidRPr="000915D0">
        <w:rPr>
          <w:rFonts w:ascii="Times New Roman" w:hAnsi="Times New Roman" w:cs="Times New Roman"/>
          <w:sz w:val="24"/>
          <w:szCs w:val="24"/>
        </w:rPr>
        <w:t xml:space="preserve"> l’absence de la démonstration d’un intérêt partagé autour de cet enjeu social précis</w:t>
      </w:r>
      <w:r w:rsidR="00167154" w:rsidRPr="000915D0">
        <w:rPr>
          <w:rFonts w:ascii="Times New Roman" w:hAnsi="Times New Roman" w:cs="Times New Roman"/>
          <w:sz w:val="24"/>
          <w:szCs w:val="24"/>
        </w:rPr>
        <w:t xml:space="preserve">. </w:t>
      </w:r>
      <w:r w:rsidR="004D18C5" w:rsidRPr="000915D0">
        <w:rPr>
          <w:rFonts w:ascii="Times New Roman" w:hAnsi="Times New Roman" w:cs="Times New Roman"/>
          <w:sz w:val="24"/>
          <w:szCs w:val="24"/>
        </w:rPr>
        <w:t>Cette absence d’intérêt partagé est</w:t>
      </w:r>
      <w:r w:rsidR="001D6C74" w:rsidRPr="000915D0">
        <w:rPr>
          <w:rFonts w:ascii="Times New Roman" w:hAnsi="Times New Roman" w:cs="Times New Roman"/>
          <w:sz w:val="24"/>
          <w:szCs w:val="24"/>
        </w:rPr>
        <w:t xml:space="preserve"> partiellement liée à la nature particulière de l’infrastructure sociale et organisationnelle du syndicalisme français</w:t>
      </w:r>
      <w:r w:rsidR="000D3C9D" w:rsidRPr="000915D0">
        <w:rPr>
          <w:rFonts w:ascii="Times New Roman" w:hAnsi="Times New Roman" w:cs="Times New Roman"/>
          <w:sz w:val="24"/>
          <w:szCs w:val="24"/>
        </w:rPr>
        <w:t>, ce qui n’empêche pas</w:t>
      </w:r>
      <w:r w:rsidR="00167154" w:rsidRPr="000915D0">
        <w:rPr>
          <w:rFonts w:ascii="Times New Roman" w:hAnsi="Times New Roman" w:cs="Times New Roman"/>
          <w:sz w:val="24"/>
          <w:szCs w:val="24"/>
        </w:rPr>
        <w:t xml:space="preserve"> pour autant</w:t>
      </w:r>
      <w:r w:rsidR="000D3C9D" w:rsidRPr="000915D0">
        <w:rPr>
          <w:rFonts w:ascii="Times New Roman" w:hAnsi="Times New Roman" w:cs="Times New Roman"/>
          <w:sz w:val="24"/>
          <w:szCs w:val="24"/>
        </w:rPr>
        <w:t xml:space="preserve"> </w:t>
      </w:r>
      <w:r w:rsidR="00D93193" w:rsidRPr="000915D0">
        <w:rPr>
          <w:rFonts w:ascii="Times New Roman" w:hAnsi="Times New Roman" w:cs="Times New Roman"/>
          <w:sz w:val="24"/>
          <w:szCs w:val="24"/>
        </w:rPr>
        <w:t>l</w:t>
      </w:r>
      <w:r w:rsidR="00167154" w:rsidRPr="000915D0">
        <w:rPr>
          <w:rFonts w:ascii="Times New Roman" w:hAnsi="Times New Roman" w:cs="Times New Roman"/>
          <w:sz w:val="24"/>
          <w:szCs w:val="24"/>
        </w:rPr>
        <w:t>a</w:t>
      </w:r>
      <w:r w:rsidR="00D93193" w:rsidRPr="000915D0">
        <w:rPr>
          <w:rFonts w:ascii="Times New Roman" w:hAnsi="Times New Roman" w:cs="Times New Roman"/>
          <w:sz w:val="24"/>
          <w:szCs w:val="24"/>
        </w:rPr>
        <w:t xml:space="preserve"> résurgence et l</w:t>
      </w:r>
      <w:r w:rsidR="00167154" w:rsidRPr="000915D0">
        <w:rPr>
          <w:rFonts w:ascii="Times New Roman" w:hAnsi="Times New Roman" w:cs="Times New Roman"/>
          <w:sz w:val="24"/>
          <w:szCs w:val="24"/>
        </w:rPr>
        <w:t>a</w:t>
      </w:r>
      <w:r w:rsidR="00D93193" w:rsidRPr="000915D0">
        <w:rPr>
          <w:rFonts w:ascii="Times New Roman" w:hAnsi="Times New Roman" w:cs="Times New Roman"/>
          <w:sz w:val="24"/>
          <w:szCs w:val="24"/>
        </w:rPr>
        <w:t xml:space="preserve"> présence</w:t>
      </w:r>
      <w:r w:rsidR="000269E5" w:rsidRPr="000915D0">
        <w:rPr>
          <w:rFonts w:ascii="Times New Roman" w:hAnsi="Times New Roman" w:cs="Times New Roman"/>
          <w:sz w:val="24"/>
          <w:szCs w:val="24"/>
        </w:rPr>
        <w:t xml:space="preserve"> de l’idée d’une codétermination</w:t>
      </w:r>
      <w:r w:rsidR="00D93193" w:rsidRPr="000915D0">
        <w:rPr>
          <w:rFonts w:ascii="Times New Roman" w:hAnsi="Times New Roman" w:cs="Times New Roman"/>
          <w:sz w:val="24"/>
          <w:szCs w:val="24"/>
        </w:rPr>
        <w:t xml:space="preserve"> dans le débat public sur le long terme</w:t>
      </w:r>
      <w:r w:rsidR="00365E99" w:rsidRPr="000915D0">
        <w:rPr>
          <w:rFonts w:ascii="Times New Roman" w:hAnsi="Times New Roman" w:cs="Times New Roman"/>
          <w:sz w:val="24"/>
          <w:szCs w:val="24"/>
        </w:rPr>
        <w:t>, bien que l’impact soit</w:t>
      </w:r>
      <w:r w:rsidR="00AC33FC" w:rsidRPr="000915D0">
        <w:rPr>
          <w:rFonts w:ascii="Times New Roman" w:hAnsi="Times New Roman" w:cs="Times New Roman"/>
          <w:sz w:val="24"/>
          <w:szCs w:val="24"/>
        </w:rPr>
        <w:t xml:space="preserve"> plus faible qu’en Allemagne</w:t>
      </w:r>
      <w:r w:rsidR="00D93193" w:rsidRPr="000915D0">
        <w:rPr>
          <w:rFonts w:ascii="Times New Roman" w:hAnsi="Times New Roman" w:cs="Times New Roman"/>
          <w:sz w:val="24"/>
          <w:szCs w:val="24"/>
        </w:rPr>
        <w:t xml:space="preserve">, comme en </w:t>
      </w:r>
      <w:r w:rsidR="00E71B4C" w:rsidRPr="000915D0">
        <w:rPr>
          <w:rFonts w:ascii="Times New Roman" w:hAnsi="Times New Roman" w:cs="Times New Roman"/>
          <w:sz w:val="24"/>
          <w:szCs w:val="24"/>
        </w:rPr>
        <w:t xml:space="preserve">témoigne </w:t>
      </w:r>
      <w:r w:rsidR="009C7C50" w:rsidRPr="000915D0">
        <w:rPr>
          <w:rFonts w:ascii="Times New Roman" w:hAnsi="Times New Roman" w:cs="Times New Roman"/>
          <w:sz w:val="24"/>
          <w:szCs w:val="24"/>
        </w:rPr>
        <w:t>la récente loi PACTE</w:t>
      </w:r>
      <w:r w:rsidR="001D6C74" w:rsidRPr="000915D0">
        <w:rPr>
          <w:rFonts w:ascii="Times New Roman" w:hAnsi="Times New Roman" w:cs="Times New Roman"/>
          <w:sz w:val="24"/>
          <w:szCs w:val="24"/>
        </w:rPr>
        <w:t>.</w:t>
      </w:r>
      <w:r w:rsidRPr="000915D0">
        <w:rPr>
          <w:rFonts w:ascii="Times New Roman" w:hAnsi="Times New Roman" w:cs="Times New Roman"/>
          <w:sz w:val="24"/>
          <w:szCs w:val="24"/>
        </w:rPr>
        <w:t xml:space="preserve"> </w:t>
      </w:r>
    </w:p>
    <w:p w14:paraId="2CBE0296" w14:textId="2EEA52F7" w:rsidR="004C091C" w:rsidRPr="000915D0" w:rsidRDefault="001D6C74" w:rsidP="00D63957">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 xml:space="preserve">Cette recherche fait des contributions à plusieurs champs. </w:t>
      </w:r>
      <w:r w:rsidR="003E2111" w:rsidRPr="000915D0">
        <w:rPr>
          <w:rFonts w:ascii="Times New Roman" w:hAnsi="Times New Roman" w:cs="Times New Roman"/>
          <w:sz w:val="24"/>
          <w:szCs w:val="24"/>
        </w:rPr>
        <w:t>De façon générale, la question de la participation des salariés</w:t>
      </w:r>
      <w:r w:rsidR="005A2FEB" w:rsidRPr="000915D0">
        <w:rPr>
          <w:rFonts w:ascii="Times New Roman" w:hAnsi="Times New Roman" w:cs="Times New Roman"/>
          <w:sz w:val="24"/>
          <w:szCs w:val="24"/>
        </w:rPr>
        <w:t xml:space="preserve"> aux instances de gouvernance</w:t>
      </w:r>
      <w:r w:rsidR="003E2111" w:rsidRPr="000915D0">
        <w:rPr>
          <w:rFonts w:ascii="Times New Roman" w:hAnsi="Times New Roman" w:cs="Times New Roman"/>
          <w:sz w:val="24"/>
          <w:szCs w:val="24"/>
        </w:rPr>
        <w:t xml:space="preserve"> intéresse les travaux au sujet de la responsabilité sociale de l’entreprise</w:t>
      </w:r>
      <w:r w:rsidR="004B41DB" w:rsidRPr="000915D0">
        <w:rPr>
          <w:rFonts w:ascii="Times New Roman" w:hAnsi="Times New Roman" w:cs="Times New Roman"/>
          <w:sz w:val="24"/>
          <w:szCs w:val="24"/>
        </w:rPr>
        <w:t>, dont elle est un des leviers potentiels</w:t>
      </w:r>
      <w:r w:rsidR="009E308A" w:rsidRPr="000915D0">
        <w:rPr>
          <w:rFonts w:ascii="Times New Roman" w:hAnsi="Times New Roman" w:cs="Times New Roman"/>
          <w:sz w:val="24"/>
          <w:szCs w:val="24"/>
        </w:rPr>
        <w:t xml:space="preserve"> (Ghirardello et al., 2018</w:t>
      </w:r>
      <w:r w:rsidR="000B0D7D" w:rsidRPr="000915D0">
        <w:rPr>
          <w:rFonts w:ascii="Times New Roman" w:hAnsi="Times New Roman" w:cs="Times New Roman"/>
          <w:sz w:val="24"/>
          <w:szCs w:val="24"/>
        </w:rPr>
        <w:t>)</w:t>
      </w:r>
      <w:r w:rsidR="003E2111" w:rsidRPr="000915D0">
        <w:rPr>
          <w:rFonts w:ascii="Times New Roman" w:hAnsi="Times New Roman" w:cs="Times New Roman"/>
          <w:sz w:val="24"/>
          <w:szCs w:val="24"/>
        </w:rPr>
        <w:t>. Les freins à l’institutionnalisation de la codétermination des conseils d’administration en France permettent aussi de mieux comprendre la dynamique</w:t>
      </w:r>
      <w:r w:rsidR="002D63EA" w:rsidRPr="000915D0">
        <w:rPr>
          <w:rFonts w:ascii="Times New Roman" w:hAnsi="Times New Roman" w:cs="Times New Roman"/>
          <w:sz w:val="24"/>
          <w:szCs w:val="24"/>
        </w:rPr>
        <w:t xml:space="preserve"> temporelle</w:t>
      </w:r>
      <w:r w:rsidR="00700313" w:rsidRPr="000915D0">
        <w:rPr>
          <w:rFonts w:ascii="Times New Roman" w:hAnsi="Times New Roman" w:cs="Times New Roman"/>
          <w:sz w:val="24"/>
          <w:szCs w:val="24"/>
        </w:rPr>
        <w:t xml:space="preserve"> spécifique</w:t>
      </w:r>
      <w:r w:rsidR="003E2111" w:rsidRPr="000915D0">
        <w:rPr>
          <w:rFonts w:ascii="Times New Roman" w:hAnsi="Times New Roman" w:cs="Times New Roman"/>
          <w:sz w:val="24"/>
          <w:szCs w:val="24"/>
        </w:rPr>
        <w:t xml:space="preserve"> du système de gouvernance des entreprises </w:t>
      </w:r>
      <w:r w:rsidR="0043727B" w:rsidRPr="000915D0">
        <w:rPr>
          <w:rFonts w:ascii="Times New Roman" w:hAnsi="Times New Roman" w:cs="Times New Roman"/>
          <w:sz w:val="24"/>
          <w:szCs w:val="24"/>
        </w:rPr>
        <w:t xml:space="preserve">françaises (Wirtz, </w:t>
      </w:r>
      <w:r w:rsidR="00CA37F9" w:rsidRPr="000915D0">
        <w:rPr>
          <w:rFonts w:ascii="Times New Roman" w:hAnsi="Times New Roman" w:cs="Times New Roman"/>
          <w:sz w:val="24"/>
          <w:szCs w:val="24"/>
        </w:rPr>
        <w:t>2020</w:t>
      </w:r>
      <w:r w:rsidR="0043727B" w:rsidRPr="000915D0">
        <w:rPr>
          <w:rFonts w:ascii="Times New Roman" w:hAnsi="Times New Roman" w:cs="Times New Roman"/>
          <w:sz w:val="24"/>
          <w:szCs w:val="24"/>
        </w:rPr>
        <w:t>).</w:t>
      </w:r>
      <w:r w:rsidR="004F30F7" w:rsidRPr="000915D0">
        <w:rPr>
          <w:rFonts w:ascii="Times New Roman" w:hAnsi="Times New Roman" w:cs="Times New Roman"/>
          <w:sz w:val="24"/>
          <w:szCs w:val="24"/>
        </w:rPr>
        <w:t xml:space="preserve"> Notre article contribue ainsi</w:t>
      </w:r>
      <w:r w:rsidR="002F7C59" w:rsidRPr="000915D0">
        <w:rPr>
          <w:rFonts w:ascii="Times New Roman" w:hAnsi="Times New Roman" w:cs="Times New Roman"/>
          <w:sz w:val="24"/>
          <w:szCs w:val="24"/>
        </w:rPr>
        <w:t xml:space="preserve"> à l’approfondissement de la littérature sur les systèmes nationaux de gouvernance d’entreprise (Charreaux, </w:t>
      </w:r>
      <w:r w:rsidR="006B7E27" w:rsidRPr="000915D0">
        <w:rPr>
          <w:rFonts w:ascii="Times New Roman" w:hAnsi="Times New Roman" w:cs="Times New Roman"/>
          <w:sz w:val="24"/>
          <w:szCs w:val="24"/>
        </w:rPr>
        <w:t>2006</w:t>
      </w:r>
      <w:r w:rsidR="002F7C59" w:rsidRPr="000915D0">
        <w:rPr>
          <w:rFonts w:ascii="Times New Roman" w:hAnsi="Times New Roman" w:cs="Times New Roman"/>
          <w:sz w:val="24"/>
          <w:szCs w:val="24"/>
        </w:rPr>
        <w:t>).</w:t>
      </w:r>
      <w:r w:rsidR="0043727B" w:rsidRPr="000915D0">
        <w:rPr>
          <w:rFonts w:ascii="Times New Roman" w:hAnsi="Times New Roman" w:cs="Times New Roman"/>
          <w:sz w:val="24"/>
          <w:szCs w:val="24"/>
        </w:rPr>
        <w:t xml:space="preserve"> Enfin, nous contribuons également à la théorie de la mobilisation</w:t>
      </w:r>
      <w:r w:rsidR="00BA0998" w:rsidRPr="000915D0">
        <w:rPr>
          <w:rFonts w:ascii="Times New Roman" w:hAnsi="Times New Roman" w:cs="Times New Roman"/>
          <w:sz w:val="24"/>
          <w:szCs w:val="24"/>
        </w:rPr>
        <w:t xml:space="preserve"> sociale</w:t>
      </w:r>
      <w:r w:rsidR="0043727B" w:rsidRPr="000915D0">
        <w:rPr>
          <w:rFonts w:ascii="Times New Roman" w:hAnsi="Times New Roman" w:cs="Times New Roman"/>
          <w:sz w:val="24"/>
          <w:szCs w:val="24"/>
        </w:rPr>
        <w:t xml:space="preserve"> en identifiant la mécanique des freins d’un mouvement social</w:t>
      </w:r>
      <w:r w:rsidR="001D12E5" w:rsidRPr="000915D0">
        <w:rPr>
          <w:rFonts w:ascii="Times New Roman" w:hAnsi="Times New Roman" w:cs="Times New Roman"/>
          <w:sz w:val="24"/>
          <w:szCs w:val="24"/>
        </w:rPr>
        <w:t xml:space="preserve">, </w:t>
      </w:r>
      <w:r w:rsidR="0045779C" w:rsidRPr="000915D0">
        <w:rPr>
          <w:rFonts w:ascii="Times New Roman" w:hAnsi="Times New Roman" w:cs="Times New Roman"/>
          <w:sz w:val="24"/>
          <w:szCs w:val="24"/>
        </w:rPr>
        <w:t>alors que</w:t>
      </w:r>
      <w:r w:rsidR="001D12E5" w:rsidRPr="000915D0">
        <w:rPr>
          <w:rFonts w:ascii="Times New Roman" w:hAnsi="Times New Roman" w:cs="Times New Roman"/>
          <w:sz w:val="24"/>
          <w:szCs w:val="24"/>
        </w:rPr>
        <w:t xml:space="preserve"> les recherches antérieur</w:t>
      </w:r>
      <w:r w:rsidR="0045779C" w:rsidRPr="000915D0">
        <w:rPr>
          <w:rFonts w:ascii="Times New Roman" w:hAnsi="Times New Roman" w:cs="Times New Roman"/>
          <w:sz w:val="24"/>
          <w:szCs w:val="24"/>
        </w:rPr>
        <w:t>e</w:t>
      </w:r>
      <w:r w:rsidR="001D12E5" w:rsidRPr="000915D0">
        <w:rPr>
          <w:rFonts w:ascii="Times New Roman" w:hAnsi="Times New Roman" w:cs="Times New Roman"/>
          <w:sz w:val="24"/>
          <w:szCs w:val="24"/>
        </w:rPr>
        <w:t>s étaient focalisé</w:t>
      </w:r>
      <w:r w:rsidR="00F802D5" w:rsidRPr="000915D0">
        <w:rPr>
          <w:rFonts w:ascii="Times New Roman" w:hAnsi="Times New Roman" w:cs="Times New Roman"/>
          <w:sz w:val="24"/>
          <w:szCs w:val="24"/>
        </w:rPr>
        <w:t>e</w:t>
      </w:r>
      <w:r w:rsidR="001D12E5" w:rsidRPr="000915D0">
        <w:rPr>
          <w:rFonts w:ascii="Times New Roman" w:hAnsi="Times New Roman" w:cs="Times New Roman"/>
          <w:sz w:val="24"/>
          <w:szCs w:val="24"/>
        </w:rPr>
        <w:t xml:space="preserve">s </w:t>
      </w:r>
      <w:r w:rsidR="00EE53BB" w:rsidRPr="000915D0">
        <w:rPr>
          <w:rFonts w:ascii="Times New Roman" w:hAnsi="Times New Roman" w:cs="Times New Roman"/>
          <w:sz w:val="24"/>
          <w:szCs w:val="24"/>
        </w:rPr>
        <w:t>sur les seuls cas de mobilisation réussie (Davis et Thompson, 1994 ; Gomez et Wirtz, 2018)</w:t>
      </w:r>
      <w:r w:rsidR="0043727B" w:rsidRPr="000915D0">
        <w:rPr>
          <w:rFonts w:ascii="Times New Roman" w:hAnsi="Times New Roman" w:cs="Times New Roman"/>
          <w:sz w:val="24"/>
          <w:szCs w:val="24"/>
        </w:rPr>
        <w:t>.</w:t>
      </w:r>
    </w:p>
    <w:p w14:paraId="34807954" w14:textId="77777777" w:rsidR="00EC1F15" w:rsidRPr="000915D0" w:rsidRDefault="00EC1F15" w:rsidP="00EC1F15">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lastRenderedPageBreak/>
        <w:t>L’article est organisé de la manière suivante. La section 1 développe la littérature académique sur la théorie de la mobilisation et la gouvernance d’entreprise et présente la méthode mise en œuvre pour le repérage des dimensions de la mobilisation. La section 2 rapporte nos analyses de l’institutionnalisation de la codétermination en Allemagne et en France. La section 3 propose une discussion de ces analyses. La section 4 conclue l’article.</w:t>
      </w:r>
    </w:p>
    <w:p w14:paraId="10760A70" w14:textId="77777777" w:rsidR="008B4744" w:rsidRPr="000915D0" w:rsidRDefault="008B4744" w:rsidP="00D63957">
      <w:pPr>
        <w:spacing w:line="360" w:lineRule="auto"/>
        <w:jc w:val="both"/>
        <w:rPr>
          <w:rFonts w:ascii="Times New Roman" w:hAnsi="Times New Roman" w:cs="Times New Roman"/>
          <w:sz w:val="24"/>
          <w:szCs w:val="24"/>
        </w:rPr>
      </w:pPr>
    </w:p>
    <w:p w14:paraId="5F380C4C" w14:textId="40A692CF" w:rsidR="0000458E" w:rsidRPr="000915D0" w:rsidRDefault="0000458E" w:rsidP="005A2601">
      <w:pPr>
        <w:pStyle w:val="Paragraphedeliste"/>
        <w:numPr>
          <w:ilvl w:val="0"/>
          <w:numId w:val="1"/>
        </w:numPr>
        <w:spacing w:line="360" w:lineRule="auto"/>
        <w:jc w:val="both"/>
        <w:rPr>
          <w:rFonts w:ascii="Times New Roman" w:hAnsi="Times New Roman" w:cs="Times New Roman"/>
          <w:b/>
          <w:sz w:val="24"/>
          <w:szCs w:val="24"/>
        </w:rPr>
      </w:pPr>
      <w:r w:rsidRPr="000915D0">
        <w:rPr>
          <w:rFonts w:ascii="Times New Roman" w:hAnsi="Times New Roman" w:cs="Times New Roman"/>
          <w:b/>
          <w:sz w:val="24"/>
          <w:szCs w:val="24"/>
        </w:rPr>
        <w:t>Revue de la littérature</w:t>
      </w:r>
      <w:r w:rsidR="00830927" w:rsidRPr="000915D0">
        <w:rPr>
          <w:rFonts w:ascii="Times New Roman" w:hAnsi="Times New Roman" w:cs="Times New Roman"/>
          <w:b/>
          <w:sz w:val="24"/>
          <w:szCs w:val="24"/>
        </w:rPr>
        <w:t xml:space="preserve"> : </w:t>
      </w:r>
      <w:r w:rsidRPr="000915D0">
        <w:rPr>
          <w:rFonts w:ascii="Times New Roman" w:hAnsi="Times New Roman" w:cs="Times New Roman"/>
          <w:b/>
          <w:sz w:val="24"/>
          <w:szCs w:val="24"/>
        </w:rPr>
        <w:t>Théorie de la mobilisation et gouvernement d’entreprise</w:t>
      </w:r>
    </w:p>
    <w:p w14:paraId="043CA0B8" w14:textId="6807520C" w:rsidR="0000458E" w:rsidRPr="000915D0" w:rsidRDefault="002A28B5" w:rsidP="0000458E">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 xml:space="preserve">Il </w:t>
      </w:r>
      <w:r w:rsidR="00865A51" w:rsidRPr="000915D0">
        <w:rPr>
          <w:rFonts w:ascii="Times New Roman" w:hAnsi="Times New Roman" w:cs="Times New Roman"/>
          <w:sz w:val="24"/>
          <w:szCs w:val="24"/>
        </w:rPr>
        <w:t xml:space="preserve">existe </w:t>
      </w:r>
      <w:r w:rsidR="0098492F" w:rsidRPr="000915D0">
        <w:rPr>
          <w:rFonts w:ascii="Times New Roman" w:hAnsi="Times New Roman" w:cs="Times New Roman"/>
          <w:sz w:val="24"/>
          <w:szCs w:val="24"/>
        </w:rPr>
        <w:t>une</w:t>
      </w:r>
      <w:r w:rsidR="000B23F3" w:rsidRPr="000915D0">
        <w:rPr>
          <w:rFonts w:ascii="Times New Roman" w:hAnsi="Times New Roman" w:cs="Times New Roman"/>
          <w:sz w:val="24"/>
          <w:szCs w:val="24"/>
        </w:rPr>
        <w:t xml:space="preserve"> importante</w:t>
      </w:r>
      <w:r w:rsidR="0098492F" w:rsidRPr="000915D0">
        <w:rPr>
          <w:rFonts w:ascii="Times New Roman" w:hAnsi="Times New Roman" w:cs="Times New Roman"/>
          <w:sz w:val="24"/>
          <w:szCs w:val="24"/>
        </w:rPr>
        <w:t xml:space="preserve"> littérature</w:t>
      </w:r>
      <w:r w:rsidR="002B6242" w:rsidRPr="000915D0">
        <w:rPr>
          <w:rFonts w:ascii="Times New Roman" w:hAnsi="Times New Roman" w:cs="Times New Roman"/>
          <w:sz w:val="24"/>
          <w:szCs w:val="24"/>
        </w:rPr>
        <w:t xml:space="preserve"> comparative concernant </w:t>
      </w:r>
      <w:r w:rsidR="00835B9C" w:rsidRPr="000915D0">
        <w:rPr>
          <w:rFonts w:ascii="Times New Roman" w:hAnsi="Times New Roman" w:cs="Times New Roman"/>
          <w:sz w:val="24"/>
          <w:szCs w:val="24"/>
        </w:rPr>
        <w:t>les divers systèmes nationaux de gouvernance d’entreprise par le monde</w:t>
      </w:r>
      <w:r w:rsidR="008B5869" w:rsidRPr="000915D0">
        <w:rPr>
          <w:rFonts w:ascii="Times New Roman" w:hAnsi="Times New Roman" w:cs="Times New Roman"/>
          <w:sz w:val="24"/>
          <w:szCs w:val="24"/>
        </w:rPr>
        <w:t xml:space="preserve"> </w:t>
      </w:r>
      <w:r w:rsidR="00334C51" w:rsidRPr="000915D0">
        <w:rPr>
          <w:rFonts w:ascii="Times New Roman" w:hAnsi="Times New Roman" w:cs="Times New Roman"/>
          <w:sz w:val="24"/>
          <w:szCs w:val="24"/>
        </w:rPr>
        <w:t xml:space="preserve">(Charreaux, 2006 ; </w:t>
      </w:r>
      <w:r w:rsidR="00B820CF" w:rsidRPr="000915D0">
        <w:rPr>
          <w:rFonts w:ascii="Times New Roman" w:hAnsi="Times New Roman" w:cs="Times New Roman"/>
          <w:sz w:val="24"/>
          <w:szCs w:val="24"/>
        </w:rPr>
        <w:t>Filatotchev et al., 2013</w:t>
      </w:r>
      <w:r w:rsidR="006D7568" w:rsidRPr="000915D0">
        <w:rPr>
          <w:rFonts w:ascii="Times New Roman" w:hAnsi="Times New Roman" w:cs="Times New Roman"/>
          <w:sz w:val="24"/>
          <w:szCs w:val="24"/>
        </w:rPr>
        <w:t>)</w:t>
      </w:r>
      <w:r w:rsidR="00216E56" w:rsidRPr="000915D0">
        <w:rPr>
          <w:rFonts w:ascii="Times New Roman" w:hAnsi="Times New Roman" w:cs="Times New Roman"/>
          <w:sz w:val="24"/>
          <w:szCs w:val="24"/>
        </w:rPr>
        <w:t>.</w:t>
      </w:r>
      <w:r w:rsidR="00CE5464" w:rsidRPr="000915D0">
        <w:rPr>
          <w:rFonts w:ascii="Times New Roman" w:hAnsi="Times New Roman" w:cs="Times New Roman"/>
          <w:sz w:val="24"/>
          <w:szCs w:val="24"/>
        </w:rPr>
        <w:t xml:space="preserve"> Une grande partie de ces travaux dépeint cependant les systèmes de gouvernance comme </w:t>
      </w:r>
      <w:r w:rsidR="00320421" w:rsidRPr="000915D0">
        <w:rPr>
          <w:rFonts w:ascii="Times New Roman" w:hAnsi="Times New Roman" w:cs="Times New Roman"/>
          <w:sz w:val="24"/>
          <w:szCs w:val="24"/>
        </w:rPr>
        <w:t>une réalité relativement statique</w:t>
      </w:r>
      <w:r w:rsidR="006C6ACE" w:rsidRPr="000915D0">
        <w:rPr>
          <w:rFonts w:ascii="Times New Roman" w:hAnsi="Times New Roman" w:cs="Times New Roman"/>
          <w:sz w:val="24"/>
          <w:szCs w:val="24"/>
        </w:rPr>
        <w:t xml:space="preserve">. </w:t>
      </w:r>
      <w:r w:rsidR="00AC3962" w:rsidRPr="000915D0">
        <w:rPr>
          <w:rFonts w:ascii="Times New Roman" w:hAnsi="Times New Roman" w:cs="Times New Roman"/>
          <w:sz w:val="24"/>
          <w:szCs w:val="24"/>
        </w:rPr>
        <w:t>Dans les typologies de systèmes nationaux</w:t>
      </w:r>
      <w:r w:rsidR="006B0F91" w:rsidRPr="000915D0">
        <w:rPr>
          <w:rFonts w:ascii="Times New Roman" w:hAnsi="Times New Roman" w:cs="Times New Roman"/>
          <w:sz w:val="24"/>
          <w:szCs w:val="24"/>
        </w:rPr>
        <w:t xml:space="preserve">, </w:t>
      </w:r>
      <w:r w:rsidR="006E7996" w:rsidRPr="000915D0">
        <w:rPr>
          <w:rFonts w:ascii="Times New Roman" w:hAnsi="Times New Roman" w:cs="Times New Roman"/>
          <w:sz w:val="24"/>
          <w:szCs w:val="24"/>
        </w:rPr>
        <w:t xml:space="preserve">on trouve typiquement une classification en fonction </w:t>
      </w:r>
      <w:r w:rsidR="00172840" w:rsidRPr="000915D0">
        <w:rPr>
          <w:rFonts w:ascii="Times New Roman" w:hAnsi="Times New Roman" w:cs="Times New Roman"/>
          <w:sz w:val="24"/>
          <w:szCs w:val="24"/>
        </w:rPr>
        <w:t xml:space="preserve">de la prise en compte </w:t>
      </w:r>
      <w:r w:rsidR="00433B15" w:rsidRPr="000915D0">
        <w:rPr>
          <w:rFonts w:ascii="Times New Roman" w:hAnsi="Times New Roman" w:cs="Times New Roman"/>
          <w:sz w:val="24"/>
          <w:szCs w:val="24"/>
        </w:rPr>
        <w:t xml:space="preserve">des intérêts d’un nombre plus ou moins </w:t>
      </w:r>
      <w:r w:rsidR="00F256F8" w:rsidRPr="000915D0">
        <w:rPr>
          <w:rFonts w:ascii="Times New Roman" w:hAnsi="Times New Roman" w:cs="Times New Roman"/>
          <w:sz w:val="24"/>
          <w:szCs w:val="24"/>
        </w:rPr>
        <w:t>élevé de</w:t>
      </w:r>
      <w:r w:rsidR="006701CD" w:rsidRPr="000915D0">
        <w:rPr>
          <w:rFonts w:ascii="Times New Roman" w:hAnsi="Times New Roman" w:cs="Times New Roman"/>
          <w:sz w:val="24"/>
          <w:szCs w:val="24"/>
        </w:rPr>
        <w:t xml:space="preserve"> diverses</w:t>
      </w:r>
      <w:r w:rsidR="00F256F8" w:rsidRPr="000915D0">
        <w:rPr>
          <w:rFonts w:ascii="Times New Roman" w:hAnsi="Times New Roman" w:cs="Times New Roman"/>
          <w:sz w:val="24"/>
          <w:szCs w:val="24"/>
        </w:rPr>
        <w:t xml:space="preserve"> pa</w:t>
      </w:r>
      <w:r w:rsidR="005A47AB" w:rsidRPr="000915D0">
        <w:rPr>
          <w:rFonts w:ascii="Times New Roman" w:hAnsi="Times New Roman" w:cs="Times New Roman"/>
          <w:sz w:val="24"/>
          <w:szCs w:val="24"/>
        </w:rPr>
        <w:t>rties prenantes</w:t>
      </w:r>
      <w:r w:rsidR="00A74DD8" w:rsidRPr="000915D0">
        <w:rPr>
          <w:rFonts w:ascii="Times New Roman" w:hAnsi="Times New Roman" w:cs="Times New Roman"/>
          <w:sz w:val="24"/>
          <w:szCs w:val="24"/>
        </w:rPr>
        <w:t xml:space="preserve"> : à un extrême de l’échelle, on trouve </w:t>
      </w:r>
      <w:r w:rsidR="00D91A0E" w:rsidRPr="000915D0">
        <w:rPr>
          <w:rFonts w:ascii="Times New Roman" w:hAnsi="Times New Roman" w:cs="Times New Roman"/>
          <w:sz w:val="24"/>
          <w:szCs w:val="24"/>
        </w:rPr>
        <w:t xml:space="preserve">les systèmes anglo-américains, dont la gouvernance serait quasi-exclusivement </w:t>
      </w:r>
      <w:r w:rsidR="00D6150A" w:rsidRPr="000915D0">
        <w:rPr>
          <w:rFonts w:ascii="Times New Roman" w:hAnsi="Times New Roman" w:cs="Times New Roman"/>
          <w:sz w:val="24"/>
          <w:szCs w:val="24"/>
        </w:rPr>
        <w:t xml:space="preserve">tournée vers la protection des parties prenantes financières (notamment </w:t>
      </w:r>
      <w:r w:rsidR="008B127C" w:rsidRPr="000915D0">
        <w:rPr>
          <w:rFonts w:ascii="Times New Roman" w:hAnsi="Times New Roman" w:cs="Times New Roman"/>
          <w:sz w:val="24"/>
          <w:szCs w:val="24"/>
        </w:rPr>
        <w:t>des actionnaires), à l’autre extr</w:t>
      </w:r>
      <w:r w:rsidR="001B4F79" w:rsidRPr="000915D0">
        <w:rPr>
          <w:rFonts w:ascii="Times New Roman" w:hAnsi="Times New Roman" w:cs="Times New Roman"/>
          <w:sz w:val="24"/>
          <w:szCs w:val="24"/>
        </w:rPr>
        <w:t>ême, se situe</w:t>
      </w:r>
      <w:r w:rsidR="006701CD" w:rsidRPr="000915D0">
        <w:rPr>
          <w:rFonts w:ascii="Times New Roman" w:hAnsi="Times New Roman" w:cs="Times New Roman"/>
          <w:sz w:val="24"/>
          <w:szCs w:val="24"/>
        </w:rPr>
        <w:t>rai</w:t>
      </w:r>
      <w:r w:rsidR="002B7AAE" w:rsidRPr="000915D0">
        <w:rPr>
          <w:rFonts w:ascii="Times New Roman" w:hAnsi="Times New Roman" w:cs="Times New Roman"/>
          <w:sz w:val="24"/>
          <w:szCs w:val="24"/>
        </w:rPr>
        <w:t>e</w:t>
      </w:r>
      <w:r w:rsidR="001B4F79" w:rsidRPr="000915D0">
        <w:rPr>
          <w:rFonts w:ascii="Times New Roman" w:hAnsi="Times New Roman" w:cs="Times New Roman"/>
          <w:sz w:val="24"/>
          <w:szCs w:val="24"/>
        </w:rPr>
        <w:t>nt des systèmes pluralistes</w:t>
      </w:r>
      <w:r w:rsidR="00960700" w:rsidRPr="000915D0">
        <w:rPr>
          <w:rFonts w:ascii="Times New Roman" w:hAnsi="Times New Roman" w:cs="Times New Roman"/>
          <w:sz w:val="24"/>
          <w:szCs w:val="24"/>
        </w:rPr>
        <w:t xml:space="preserve">, tels que le Japon, tournés </w:t>
      </w:r>
      <w:r w:rsidR="00587BD9" w:rsidRPr="000915D0">
        <w:rPr>
          <w:rFonts w:ascii="Times New Roman" w:hAnsi="Times New Roman" w:cs="Times New Roman"/>
          <w:sz w:val="24"/>
          <w:szCs w:val="24"/>
        </w:rPr>
        <w:t xml:space="preserve">vers les intérêts de parties prenantes multiples (Yoshimori, 1995). </w:t>
      </w:r>
      <w:r w:rsidR="00D90F5E" w:rsidRPr="000915D0">
        <w:rPr>
          <w:rFonts w:ascii="Times New Roman" w:hAnsi="Times New Roman" w:cs="Times New Roman"/>
          <w:sz w:val="24"/>
          <w:szCs w:val="24"/>
        </w:rPr>
        <w:t xml:space="preserve">Les pays d’Europe </w:t>
      </w:r>
      <w:r w:rsidR="00E22C12" w:rsidRPr="000915D0">
        <w:rPr>
          <w:rFonts w:ascii="Times New Roman" w:hAnsi="Times New Roman" w:cs="Times New Roman"/>
          <w:sz w:val="24"/>
          <w:szCs w:val="24"/>
        </w:rPr>
        <w:t>continentale</w:t>
      </w:r>
      <w:r w:rsidR="002B7AAE" w:rsidRPr="000915D0">
        <w:rPr>
          <w:rFonts w:ascii="Times New Roman" w:hAnsi="Times New Roman" w:cs="Times New Roman"/>
          <w:sz w:val="24"/>
          <w:szCs w:val="24"/>
        </w:rPr>
        <w:t>, comme la France et l’Allemagne,</w:t>
      </w:r>
      <w:r w:rsidR="00D90F5E" w:rsidRPr="000915D0">
        <w:rPr>
          <w:rFonts w:ascii="Times New Roman" w:hAnsi="Times New Roman" w:cs="Times New Roman"/>
          <w:sz w:val="24"/>
          <w:szCs w:val="24"/>
        </w:rPr>
        <w:t xml:space="preserve"> se situeraient à mi-chemin </w:t>
      </w:r>
      <w:r w:rsidR="00541BA4" w:rsidRPr="000915D0">
        <w:rPr>
          <w:rFonts w:ascii="Times New Roman" w:hAnsi="Times New Roman" w:cs="Times New Roman"/>
          <w:sz w:val="24"/>
          <w:szCs w:val="24"/>
        </w:rPr>
        <w:t>sur</w:t>
      </w:r>
      <w:r w:rsidR="00D90F5E" w:rsidRPr="000915D0">
        <w:rPr>
          <w:rFonts w:ascii="Times New Roman" w:hAnsi="Times New Roman" w:cs="Times New Roman"/>
          <w:sz w:val="24"/>
          <w:szCs w:val="24"/>
        </w:rPr>
        <w:t xml:space="preserve"> cette </w:t>
      </w:r>
      <w:r w:rsidR="00444E0B" w:rsidRPr="000915D0">
        <w:rPr>
          <w:rFonts w:ascii="Times New Roman" w:hAnsi="Times New Roman" w:cs="Times New Roman"/>
          <w:sz w:val="24"/>
          <w:szCs w:val="24"/>
        </w:rPr>
        <w:t>échelle</w:t>
      </w:r>
      <w:r w:rsidR="00E22C12" w:rsidRPr="000915D0">
        <w:rPr>
          <w:rFonts w:ascii="Times New Roman" w:hAnsi="Times New Roman" w:cs="Times New Roman"/>
          <w:sz w:val="24"/>
          <w:szCs w:val="24"/>
        </w:rPr>
        <w:t>,</w:t>
      </w:r>
      <w:r w:rsidR="00940DB1" w:rsidRPr="000915D0">
        <w:rPr>
          <w:rFonts w:ascii="Times New Roman" w:hAnsi="Times New Roman" w:cs="Times New Roman"/>
          <w:sz w:val="24"/>
          <w:szCs w:val="24"/>
        </w:rPr>
        <w:t xml:space="preserve"> entre le monisme anglo-saxon et le pluralisme japonais</w:t>
      </w:r>
      <w:r w:rsidR="007049F0" w:rsidRPr="000915D0">
        <w:rPr>
          <w:rFonts w:ascii="Times New Roman" w:hAnsi="Times New Roman" w:cs="Times New Roman"/>
          <w:sz w:val="24"/>
          <w:szCs w:val="24"/>
        </w:rPr>
        <w:t>, privilégiant à des degrés variables telle ou telle partie prenante</w:t>
      </w:r>
      <w:r w:rsidR="00640A8E" w:rsidRPr="000915D0">
        <w:rPr>
          <w:rFonts w:ascii="Times New Roman" w:hAnsi="Times New Roman" w:cs="Times New Roman"/>
          <w:sz w:val="24"/>
          <w:szCs w:val="24"/>
        </w:rPr>
        <w:t>.</w:t>
      </w:r>
      <w:r w:rsidR="00133C37" w:rsidRPr="000915D0">
        <w:rPr>
          <w:rFonts w:ascii="Times New Roman" w:hAnsi="Times New Roman" w:cs="Times New Roman"/>
          <w:sz w:val="24"/>
          <w:szCs w:val="24"/>
        </w:rPr>
        <w:t xml:space="preserve"> Le rôle des salariés</w:t>
      </w:r>
      <w:r w:rsidR="002645D8" w:rsidRPr="000915D0">
        <w:rPr>
          <w:rFonts w:ascii="Times New Roman" w:hAnsi="Times New Roman" w:cs="Times New Roman"/>
          <w:sz w:val="24"/>
          <w:szCs w:val="24"/>
        </w:rPr>
        <w:t>, notamment,</w:t>
      </w:r>
      <w:r w:rsidR="00133C37" w:rsidRPr="000915D0">
        <w:rPr>
          <w:rFonts w:ascii="Times New Roman" w:hAnsi="Times New Roman" w:cs="Times New Roman"/>
          <w:sz w:val="24"/>
          <w:szCs w:val="24"/>
        </w:rPr>
        <w:t xml:space="preserve"> </w:t>
      </w:r>
      <w:r w:rsidR="00C96CE6" w:rsidRPr="000915D0">
        <w:rPr>
          <w:rFonts w:ascii="Times New Roman" w:hAnsi="Times New Roman" w:cs="Times New Roman"/>
          <w:sz w:val="24"/>
          <w:szCs w:val="24"/>
        </w:rPr>
        <w:t xml:space="preserve">apparaît comme </w:t>
      </w:r>
      <w:r w:rsidR="00C24BF0" w:rsidRPr="000915D0">
        <w:rPr>
          <w:rFonts w:ascii="Times New Roman" w:hAnsi="Times New Roman" w:cs="Times New Roman"/>
          <w:sz w:val="24"/>
          <w:szCs w:val="24"/>
        </w:rPr>
        <w:t>exceptionnellement</w:t>
      </w:r>
      <w:r w:rsidR="00C96CE6" w:rsidRPr="000915D0">
        <w:rPr>
          <w:rFonts w:ascii="Times New Roman" w:hAnsi="Times New Roman" w:cs="Times New Roman"/>
          <w:sz w:val="24"/>
          <w:szCs w:val="24"/>
        </w:rPr>
        <w:t xml:space="preserve"> fort </w:t>
      </w:r>
      <w:r w:rsidR="006F2403" w:rsidRPr="000915D0">
        <w:rPr>
          <w:rFonts w:ascii="Times New Roman" w:hAnsi="Times New Roman" w:cs="Times New Roman"/>
          <w:sz w:val="24"/>
          <w:szCs w:val="24"/>
        </w:rPr>
        <w:t xml:space="preserve">en Allemagne, ce qui </w:t>
      </w:r>
      <w:r w:rsidR="00061DFE" w:rsidRPr="000915D0">
        <w:rPr>
          <w:rFonts w:ascii="Times New Roman" w:hAnsi="Times New Roman" w:cs="Times New Roman"/>
          <w:sz w:val="24"/>
          <w:szCs w:val="24"/>
        </w:rPr>
        <w:t>serait le résultat d’une culture rhénane particulièrement consensuelle</w:t>
      </w:r>
      <w:r w:rsidR="00E32063" w:rsidRPr="000915D0">
        <w:rPr>
          <w:rFonts w:ascii="Times New Roman" w:hAnsi="Times New Roman" w:cs="Times New Roman"/>
          <w:sz w:val="24"/>
          <w:szCs w:val="24"/>
        </w:rPr>
        <w:t xml:space="preserve"> (Albert, 1991)</w:t>
      </w:r>
      <w:r w:rsidR="00C24BF0" w:rsidRPr="000915D0">
        <w:rPr>
          <w:rFonts w:ascii="Times New Roman" w:hAnsi="Times New Roman" w:cs="Times New Roman"/>
          <w:sz w:val="24"/>
          <w:szCs w:val="24"/>
        </w:rPr>
        <w:t>.</w:t>
      </w:r>
      <w:r w:rsidR="00640A8E" w:rsidRPr="000915D0">
        <w:rPr>
          <w:rFonts w:ascii="Times New Roman" w:hAnsi="Times New Roman" w:cs="Times New Roman"/>
          <w:sz w:val="24"/>
          <w:szCs w:val="24"/>
        </w:rPr>
        <w:t xml:space="preserve"> </w:t>
      </w:r>
      <w:r w:rsidR="00810EB2" w:rsidRPr="000915D0">
        <w:rPr>
          <w:rFonts w:ascii="Times New Roman" w:hAnsi="Times New Roman" w:cs="Times New Roman"/>
          <w:sz w:val="24"/>
          <w:szCs w:val="24"/>
        </w:rPr>
        <w:t xml:space="preserve">Différentes </w:t>
      </w:r>
      <w:r w:rsidR="00E44145" w:rsidRPr="000915D0">
        <w:rPr>
          <w:rFonts w:ascii="Times New Roman" w:hAnsi="Times New Roman" w:cs="Times New Roman"/>
          <w:sz w:val="24"/>
          <w:szCs w:val="24"/>
        </w:rPr>
        <w:t>explications sont proposées pour comprendre l’existence de</w:t>
      </w:r>
      <w:r w:rsidR="00A52FB9" w:rsidRPr="000915D0">
        <w:rPr>
          <w:rFonts w:ascii="Times New Roman" w:hAnsi="Times New Roman" w:cs="Times New Roman"/>
          <w:sz w:val="24"/>
          <w:szCs w:val="24"/>
        </w:rPr>
        <w:t xml:space="preserve"> telles</w:t>
      </w:r>
      <w:r w:rsidR="007F17D1" w:rsidRPr="000915D0">
        <w:rPr>
          <w:rFonts w:ascii="Times New Roman" w:hAnsi="Times New Roman" w:cs="Times New Roman"/>
          <w:sz w:val="24"/>
          <w:szCs w:val="24"/>
        </w:rPr>
        <w:t xml:space="preserve"> différences entre systèmes nationaux (Charreaux, 2006). </w:t>
      </w:r>
      <w:r w:rsidR="009D58F5" w:rsidRPr="000915D0">
        <w:rPr>
          <w:rFonts w:ascii="Times New Roman" w:hAnsi="Times New Roman" w:cs="Times New Roman"/>
          <w:sz w:val="24"/>
          <w:szCs w:val="24"/>
        </w:rPr>
        <w:t xml:space="preserve">Parmi les explications les plus répandues </w:t>
      </w:r>
      <w:r w:rsidR="00F1781E" w:rsidRPr="000915D0">
        <w:rPr>
          <w:rFonts w:ascii="Times New Roman" w:hAnsi="Times New Roman" w:cs="Times New Roman"/>
          <w:sz w:val="24"/>
          <w:szCs w:val="24"/>
        </w:rPr>
        <w:t>se trouve</w:t>
      </w:r>
      <w:r w:rsidR="009D58F5" w:rsidRPr="000915D0">
        <w:rPr>
          <w:rFonts w:ascii="Times New Roman" w:hAnsi="Times New Roman" w:cs="Times New Roman"/>
          <w:sz w:val="24"/>
          <w:szCs w:val="24"/>
        </w:rPr>
        <w:t xml:space="preserve"> l’approche </w:t>
      </w:r>
      <w:r w:rsidR="009850E9" w:rsidRPr="000915D0">
        <w:rPr>
          <w:rFonts w:ascii="Times New Roman" w:hAnsi="Times New Roman" w:cs="Times New Roman"/>
          <w:sz w:val="24"/>
          <w:szCs w:val="24"/>
        </w:rPr>
        <w:t>juridico-financière</w:t>
      </w:r>
      <w:r w:rsidR="009C67F4" w:rsidRPr="000915D0">
        <w:rPr>
          <w:rFonts w:ascii="Times New Roman" w:hAnsi="Times New Roman" w:cs="Times New Roman"/>
          <w:sz w:val="24"/>
          <w:szCs w:val="24"/>
        </w:rPr>
        <w:t xml:space="preserve"> qui </w:t>
      </w:r>
      <w:r w:rsidR="00035D2E" w:rsidRPr="000915D0">
        <w:rPr>
          <w:rFonts w:ascii="Times New Roman" w:hAnsi="Times New Roman" w:cs="Times New Roman"/>
          <w:sz w:val="24"/>
          <w:szCs w:val="24"/>
        </w:rPr>
        <w:t>fait dépendre l</w:t>
      </w:r>
      <w:r w:rsidR="001709D7" w:rsidRPr="000915D0">
        <w:rPr>
          <w:rFonts w:ascii="Times New Roman" w:hAnsi="Times New Roman" w:cs="Times New Roman"/>
          <w:sz w:val="24"/>
          <w:szCs w:val="24"/>
        </w:rPr>
        <w:t xml:space="preserve">a nature d’un système de gouvernance de la </w:t>
      </w:r>
      <w:r w:rsidR="00DA52EA" w:rsidRPr="000915D0">
        <w:rPr>
          <w:rFonts w:ascii="Times New Roman" w:hAnsi="Times New Roman" w:cs="Times New Roman"/>
          <w:sz w:val="24"/>
          <w:szCs w:val="24"/>
        </w:rPr>
        <w:t xml:space="preserve">tradition légale des pays concernés (droit commun </w:t>
      </w:r>
      <w:r w:rsidR="00DA52EA" w:rsidRPr="000915D0">
        <w:rPr>
          <w:rFonts w:ascii="Times New Roman" w:hAnsi="Times New Roman" w:cs="Times New Roman"/>
          <w:i/>
          <w:sz w:val="24"/>
          <w:szCs w:val="24"/>
        </w:rPr>
        <w:t>vs</w:t>
      </w:r>
      <w:r w:rsidR="00DA52EA" w:rsidRPr="000915D0">
        <w:rPr>
          <w:rFonts w:ascii="Times New Roman" w:hAnsi="Times New Roman" w:cs="Times New Roman"/>
          <w:sz w:val="24"/>
          <w:szCs w:val="24"/>
        </w:rPr>
        <w:t xml:space="preserve">. </w:t>
      </w:r>
      <w:proofErr w:type="gramStart"/>
      <w:r w:rsidR="00DA52EA" w:rsidRPr="000915D0">
        <w:rPr>
          <w:rFonts w:ascii="Times New Roman" w:hAnsi="Times New Roman" w:cs="Times New Roman"/>
          <w:sz w:val="24"/>
          <w:szCs w:val="24"/>
        </w:rPr>
        <w:t>droit</w:t>
      </w:r>
      <w:proofErr w:type="gramEnd"/>
      <w:r w:rsidR="00DA52EA" w:rsidRPr="000915D0">
        <w:rPr>
          <w:rFonts w:ascii="Times New Roman" w:hAnsi="Times New Roman" w:cs="Times New Roman"/>
          <w:sz w:val="24"/>
          <w:szCs w:val="24"/>
        </w:rPr>
        <w:t xml:space="preserve"> civil</w:t>
      </w:r>
      <w:r w:rsidR="003A21C7" w:rsidRPr="000915D0">
        <w:rPr>
          <w:rFonts w:ascii="Times New Roman" w:hAnsi="Times New Roman" w:cs="Times New Roman"/>
          <w:sz w:val="24"/>
          <w:szCs w:val="24"/>
        </w:rPr>
        <w:t> : La Porta et al., 2000).</w:t>
      </w:r>
      <w:r w:rsidR="00C32BB3" w:rsidRPr="000915D0">
        <w:rPr>
          <w:rFonts w:ascii="Times New Roman" w:hAnsi="Times New Roman" w:cs="Times New Roman"/>
          <w:sz w:val="24"/>
          <w:szCs w:val="24"/>
        </w:rPr>
        <w:t xml:space="preserve"> </w:t>
      </w:r>
      <w:r w:rsidR="00A84FB7" w:rsidRPr="000915D0">
        <w:rPr>
          <w:rFonts w:ascii="Times New Roman" w:hAnsi="Times New Roman" w:cs="Times New Roman"/>
          <w:sz w:val="24"/>
          <w:szCs w:val="24"/>
        </w:rPr>
        <w:t>Selon cette approche</w:t>
      </w:r>
      <w:r w:rsidR="00D76E22" w:rsidRPr="000915D0">
        <w:rPr>
          <w:rFonts w:ascii="Times New Roman" w:hAnsi="Times New Roman" w:cs="Times New Roman"/>
          <w:sz w:val="24"/>
          <w:szCs w:val="24"/>
        </w:rPr>
        <w:t xml:space="preserve">, le primat de l’intérêt des actionnaires aux Etats-Unis </w:t>
      </w:r>
      <w:r w:rsidR="00E50487" w:rsidRPr="000915D0">
        <w:rPr>
          <w:rFonts w:ascii="Times New Roman" w:hAnsi="Times New Roman" w:cs="Times New Roman"/>
          <w:sz w:val="24"/>
          <w:szCs w:val="24"/>
        </w:rPr>
        <w:t xml:space="preserve">serait le résultat des spécificités des origines du droit américain. </w:t>
      </w:r>
      <w:r w:rsidR="002961A7" w:rsidRPr="000915D0">
        <w:rPr>
          <w:rFonts w:ascii="Times New Roman" w:hAnsi="Times New Roman" w:cs="Times New Roman"/>
          <w:sz w:val="24"/>
          <w:szCs w:val="24"/>
        </w:rPr>
        <w:t xml:space="preserve">Des travaux </w:t>
      </w:r>
      <w:r w:rsidR="008A18A0" w:rsidRPr="000915D0">
        <w:rPr>
          <w:rFonts w:ascii="Times New Roman" w:hAnsi="Times New Roman" w:cs="Times New Roman"/>
          <w:sz w:val="24"/>
          <w:szCs w:val="24"/>
        </w:rPr>
        <w:t>adoptant une perspective historique</w:t>
      </w:r>
      <w:r w:rsidR="007D746D" w:rsidRPr="000915D0">
        <w:rPr>
          <w:rFonts w:ascii="Times New Roman" w:hAnsi="Times New Roman" w:cs="Times New Roman"/>
          <w:sz w:val="24"/>
          <w:szCs w:val="24"/>
        </w:rPr>
        <w:t xml:space="preserve"> montrent cependant qu’un système de gouvernance comme celui des Etats-Unis </w:t>
      </w:r>
      <w:r w:rsidR="00433B0E" w:rsidRPr="000915D0">
        <w:rPr>
          <w:rFonts w:ascii="Times New Roman" w:hAnsi="Times New Roman" w:cs="Times New Roman"/>
          <w:sz w:val="24"/>
          <w:szCs w:val="24"/>
        </w:rPr>
        <w:t>a beaucoup évolué au cours du temps et que la protection des intérêts des actionnaires n’y a pas toujours dominé</w:t>
      </w:r>
      <w:r w:rsidR="00C24BF0" w:rsidRPr="000915D0">
        <w:rPr>
          <w:rFonts w:ascii="Times New Roman" w:hAnsi="Times New Roman" w:cs="Times New Roman"/>
          <w:sz w:val="24"/>
          <w:szCs w:val="24"/>
        </w:rPr>
        <w:t>.</w:t>
      </w:r>
      <w:r w:rsidR="002717EE" w:rsidRPr="000915D0">
        <w:rPr>
          <w:rFonts w:ascii="Times New Roman" w:hAnsi="Times New Roman" w:cs="Times New Roman"/>
          <w:sz w:val="24"/>
          <w:szCs w:val="24"/>
        </w:rPr>
        <w:t xml:space="preserve"> </w:t>
      </w:r>
      <w:r w:rsidR="00C24BF0" w:rsidRPr="000915D0">
        <w:rPr>
          <w:rFonts w:ascii="Times New Roman" w:hAnsi="Times New Roman" w:cs="Times New Roman"/>
          <w:sz w:val="24"/>
          <w:szCs w:val="24"/>
        </w:rPr>
        <w:t>Elle</w:t>
      </w:r>
      <w:r w:rsidR="00DD422C" w:rsidRPr="000915D0">
        <w:rPr>
          <w:rFonts w:ascii="Times New Roman" w:hAnsi="Times New Roman" w:cs="Times New Roman"/>
          <w:sz w:val="24"/>
          <w:szCs w:val="24"/>
        </w:rPr>
        <w:t xml:space="preserve"> est, en fait, relativement</w:t>
      </w:r>
      <w:r w:rsidR="00FA0542" w:rsidRPr="000915D0">
        <w:rPr>
          <w:rFonts w:ascii="Times New Roman" w:hAnsi="Times New Roman" w:cs="Times New Roman"/>
          <w:sz w:val="24"/>
          <w:szCs w:val="24"/>
        </w:rPr>
        <w:t xml:space="preserve"> récente à l’échelle de l’histoire du capitalisme</w:t>
      </w:r>
      <w:r w:rsidR="00A21281" w:rsidRPr="000915D0">
        <w:rPr>
          <w:rFonts w:ascii="Times New Roman" w:hAnsi="Times New Roman" w:cs="Times New Roman"/>
          <w:sz w:val="24"/>
          <w:szCs w:val="24"/>
        </w:rPr>
        <w:t xml:space="preserve"> (Gomez</w:t>
      </w:r>
      <w:r w:rsidR="009A5548" w:rsidRPr="000915D0">
        <w:rPr>
          <w:rFonts w:ascii="Times New Roman" w:hAnsi="Times New Roman" w:cs="Times New Roman"/>
          <w:sz w:val="24"/>
          <w:szCs w:val="24"/>
        </w:rPr>
        <w:t>, 2003)</w:t>
      </w:r>
      <w:r w:rsidR="00FA0542" w:rsidRPr="000915D0">
        <w:rPr>
          <w:rFonts w:ascii="Times New Roman" w:hAnsi="Times New Roman" w:cs="Times New Roman"/>
          <w:sz w:val="24"/>
          <w:szCs w:val="24"/>
        </w:rPr>
        <w:t>.</w:t>
      </w:r>
      <w:r w:rsidR="009B013D" w:rsidRPr="000915D0">
        <w:rPr>
          <w:rFonts w:ascii="Times New Roman" w:hAnsi="Times New Roman" w:cs="Times New Roman"/>
          <w:sz w:val="24"/>
          <w:szCs w:val="24"/>
        </w:rPr>
        <w:t xml:space="preserve"> </w:t>
      </w:r>
      <w:r w:rsidR="008D2F1B" w:rsidRPr="000915D0">
        <w:rPr>
          <w:rFonts w:ascii="Times New Roman" w:hAnsi="Times New Roman" w:cs="Times New Roman"/>
          <w:sz w:val="24"/>
          <w:szCs w:val="24"/>
        </w:rPr>
        <w:t>Lazonick et O’Sull</w:t>
      </w:r>
      <w:r w:rsidR="0051533D" w:rsidRPr="000915D0">
        <w:rPr>
          <w:rFonts w:ascii="Times New Roman" w:hAnsi="Times New Roman" w:cs="Times New Roman"/>
          <w:sz w:val="24"/>
          <w:szCs w:val="24"/>
        </w:rPr>
        <w:t>i</w:t>
      </w:r>
      <w:r w:rsidR="008D2F1B" w:rsidRPr="000915D0">
        <w:rPr>
          <w:rFonts w:ascii="Times New Roman" w:hAnsi="Times New Roman" w:cs="Times New Roman"/>
          <w:sz w:val="24"/>
          <w:szCs w:val="24"/>
        </w:rPr>
        <w:t>van (</w:t>
      </w:r>
      <w:r w:rsidR="00214CBA" w:rsidRPr="000915D0">
        <w:rPr>
          <w:rFonts w:ascii="Times New Roman" w:hAnsi="Times New Roman" w:cs="Times New Roman"/>
          <w:sz w:val="24"/>
          <w:szCs w:val="24"/>
        </w:rPr>
        <w:t>1997</w:t>
      </w:r>
      <w:r w:rsidR="008D2F1B" w:rsidRPr="000915D0">
        <w:rPr>
          <w:rFonts w:ascii="Times New Roman" w:hAnsi="Times New Roman" w:cs="Times New Roman"/>
          <w:sz w:val="24"/>
          <w:szCs w:val="24"/>
        </w:rPr>
        <w:t xml:space="preserve">) montrent, </w:t>
      </w:r>
      <w:r w:rsidR="00855185" w:rsidRPr="000915D0">
        <w:rPr>
          <w:rFonts w:ascii="Times New Roman" w:hAnsi="Times New Roman" w:cs="Times New Roman"/>
          <w:sz w:val="24"/>
          <w:szCs w:val="24"/>
        </w:rPr>
        <w:t>en effet</w:t>
      </w:r>
      <w:r w:rsidR="00B82AF6" w:rsidRPr="000915D0">
        <w:rPr>
          <w:rFonts w:ascii="Times New Roman" w:hAnsi="Times New Roman" w:cs="Times New Roman"/>
          <w:sz w:val="24"/>
          <w:szCs w:val="24"/>
        </w:rPr>
        <w:t xml:space="preserve">, que le capitalisme actionnarial américain n’est pas la résultante </w:t>
      </w:r>
      <w:r w:rsidR="00FE6F7A" w:rsidRPr="000915D0">
        <w:rPr>
          <w:rFonts w:ascii="Times New Roman" w:hAnsi="Times New Roman" w:cs="Times New Roman"/>
          <w:sz w:val="24"/>
          <w:szCs w:val="24"/>
        </w:rPr>
        <w:t>d’un cadre légal</w:t>
      </w:r>
      <w:r w:rsidR="00216AE4" w:rsidRPr="000915D0">
        <w:rPr>
          <w:rFonts w:ascii="Times New Roman" w:hAnsi="Times New Roman" w:cs="Times New Roman"/>
          <w:sz w:val="24"/>
          <w:szCs w:val="24"/>
        </w:rPr>
        <w:t xml:space="preserve"> préexistant</w:t>
      </w:r>
      <w:r w:rsidR="00FE6F7A" w:rsidRPr="000915D0">
        <w:rPr>
          <w:rFonts w:ascii="Times New Roman" w:hAnsi="Times New Roman" w:cs="Times New Roman"/>
          <w:sz w:val="24"/>
          <w:szCs w:val="24"/>
        </w:rPr>
        <w:t xml:space="preserve"> particulièrement protecteur, mais </w:t>
      </w:r>
      <w:r w:rsidR="002C76DB" w:rsidRPr="000915D0">
        <w:rPr>
          <w:rFonts w:ascii="Times New Roman" w:hAnsi="Times New Roman" w:cs="Times New Roman"/>
          <w:sz w:val="24"/>
          <w:szCs w:val="24"/>
        </w:rPr>
        <w:t>issu de</w:t>
      </w:r>
      <w:r w:rsidR="005C7450" w:rsidRPr="000915D0">
        <w:rPr>
          <w:rFonts w:ascii="Times New Roman" w:hAnsi="Times New Roman" w:cs="Times New Roman"/>
          <w:sz w:val="24"/>
          <w:szCs w:val="24"/>
        </w:rPr>
        <w:t xml:space="preserve"> la problématique de la transmission du capital de</w:t>
      </w:r>
      <w:r w:rsidR="002C76DB" w:rsidRPr="000915D0">
        <w:rPr>
          <w:rFonts w:ascii="Times New Roman" w:hAnsi="Times New Roman" w:cs="Times New Roman"/>
          <w:sz w:val="24"/>
          <w:szCs w:val="24"/>
        </w:rPr>
        <w:t>s</w:t>
      </w:r>
      <w:r w:rsidR="005C7450" w:rsidRPr="000915D0">
        <w:rPr>
          <w:rFonts w:ascii="Times New Roman" w:hAnsi="Times New Roman" w:cs="Times New Roman"/>
          <w:sz w:val="24"/>
          <w:szCs w:val="24"/>
        </w:rPr>
        <w:t xml:space="preserve"> grandes firmes entrepreneuriales parvenues à </w:t>
      </w:r>
      <w:r w:rsidR="005C7450" w:rsidRPr="000915D0">
        <w:rPr>
          <w:rFonts w:ascii="Times New Roman" w:hAnsi="Times New Roman" w:cs="Times New Roman"/>
          <w:sz w:val="24"/>
          <w:szCs w:val="24"/>
        </w:rPr>
        <w:lastRenderedPageBreak/>
        <w:t xml:space="preserve">maturité </w:t>
      </w:r>
      <w:r w:rsidR="005A241F" w:rsidRPr="000915D0">
        <w:rPr>
          <w:rFonts w:ascii="Times New Roman" w:hAnsi="Times New Roman" w:cs="Times New Roman"/>
          <w:sz w:val="24"/>
          <w:szCs w:val="24"/>
        </w:rPr>
        <w:t>au début du 20</w:t>
      </w:r>
      <w:r w:rsidR="005A241F" w:rsidRPr="000915D0">
        <w:rPr>
          <w:rFonts w:ascii="Times New Roman" w:hAnsi="Times New Roman" w:cs="Times New Roman"/>
          <w:sz w:val="24"/>
          <w:szCs w:val="24"/>
          <w:vertAlign w:val="superscript"/>
        </w:rPr>
        <w:t>ème</w:t>
      </w:r>
      <w:r w:rsidR="005A241F" w:rsidRPr="000915D0">
        <w:rPr>
          <w:rFonts w:ascii="Times New Roman" w:hAnsi="Times New Roman" w:cs="Times New Roman"/>
          <w:sz w:val="24"/>
          <w:szCs w:val="24"/>
        </w:rPr>
        <w:t xml:space="preserve"> siècle.</w:t>
      </w:r>
      <w:r w:rsidR="00F52850" w:rsidRPr="000915D0">
        <w:rPr>
          <w:rFonts w:ascii="Times New Roman" w:hAnsi="Times New Roman" w:cs="Times New Roman"/>
          <w:sz w:val="24"/>
          <w:szCs w:val="24"/>
        </w:rPr>
        <w:t xml:space="preserve"> </w:t>
      </w:r>
      <w:r w:rsidR="006324F8" w:rsidRPr="000915D0">
        <w:rPr>
          <w:rFonts w:ascii="Times New Roman" w:hAnsi="Times New Roman" w:cs="Times New Roman"/>
          <w:sz w:val="24"/>
          <w:szCs w:val="24"/>
        </w:rPr>
        <w:t xml:space="preserve">Le renforcement de la protection légale des intérêts financiers se serait </w:t>
      </w:r>
      <w:r w:rsidR="0001079A" w:rsidRPr="000915D0">
        <w:rPr>
          <w:rFonts w:ascii="Times New Roman" w:hAnsi="Times New Roman" w:cs="Times New Roman"/>
          <w:sz w:val="24"/>
          <w:szCs w:val="24"/>
        </w:rPr>
        <w:t xml:space="preserve">alors opéré plus tardivement, comme une adaptation institutionnelle </w:t>
      </w:r>
      <w:r w:rsidR="006E315C" w:rsidRPr="000915D0">
        <w:rPr>
          <w:rFonts w:ascii="Times New Roman" w:hAnsi="Times New Roman" w:cs="Times New Roman"/>
          <w:sz w:val="24"/>
          <w:szCs w:val="24"/>
        </w:rPr>
        <w:t>aux mutations du système capitaliste américain</w:t>
      </w:r>
      <w:r w:rsidR="009977D4" w:rsidRPr="000915D0">
        <w:rPr>
          <w:rFonts w:ascii="Times New Roman" w:hAnsi="Times New Roman" w:cs="Times New Roman"/>
          <w:sz w:val="24"/>
          <w:szCs w:val="24"/>
        </w:rPr>
        <w:t>, familial au départ</w:t>
      </w:r>
      <w:r w:rsidR="00000BA3" w:rsidRPr="000915D0">
        <w:rPr>
          <w:rFonts w:ascii="Times New Roman" w:hAnsi="Times New Roman" w:cs="Times New Roman"/>
          <w:sz w:val="24"/>
          <w:szCs w:val="24"/>
        </w:rPr>
        <w:t>, managérial ensuite, actionnarial enfin (Gomez</w:t>
      </w:r>
      <w:r w:rsidR="00A64C0D" w:rsidRPr="000915D0">
        <w:rPr>
          <w:rFonts w:ascii="Times New Roman" w:hAnsi="Times New Roman" w:cs="Times New Roman"/>
          <w:sz w:val="24"/>
          <w:szCs w:val="24"/>
        </w:rPr>
        <w:t>, 2003).</w:t>
      </w:r>
      <w:r w:rsidR="00FA0542" w:rsidRPr="000915D0">
        <w:rPr>
          <w:rFonts w:ascii="Times New Roman" w:hAnsi="Times New Roman" w:cs="Times New Roman"/>
          <w:sz w:val="24"/>
          <w:szCs w:val="24"/>
        </w:rPr>
        <w:t xml:space="preserve"> </w:t>
      </w:r>
      <w:r w:rsidR="00672B71" w:rsidRPr="000915D0">
        <w:rPr>
          <w:rFonts w:ascii="Times New Roman" w:hAnsi="Times New Roman" w:cs="Times New Roman"/>
          <w:sz w:val="24"/>
          <w:szCs w:val="24"/>
        </w:rPr>
        <w:t>Selon Roe (2003</w:t>
      </w:r>
      <w:r w:rsidR="002465EF" w:rsidRPr="000915D0">
        <w:rPr>
          <w:rFonts w:ascii="Times New Roman" w:hAnsi="Times New Roman" w:cs="Times New Roman"/>
          <w:sz w:val="24"/>
          <w:szCs w:val="24"/>
        </w:rPr>
        <w:t>),</w:t>
      </w:r>
      <w:r w:rsidR="000F1AFC" w:rsidRPr="000915D0">
        <w:rPr>
          <w:rFonts w:ascii="Times New Roman" w:hAnsi="Times New Roman" w:cs="Times New Roman"/>
          <w:sz w:val="24"/>
          <w:szCs w:val="24"/>
        </w:rPr>
        <w:t xml:space="preserve"> qui prend également ses distances avec l’explication purement légaliste</w:t>
      </w:r>
      <w:r w:rsidR="00CC5EE9" w:rsidRPr="000915D0">
        <w:rPr>
          <w:rFonts w:ascii="Times New Roman" w:hAnsi="Times New Roman" w:cs="Times New Roman"/>
          <w:sz w:val="24"/>
          <w:szCs w:val="24"/>
        </w:rPr>
        <w:t>,</w:t>
      </w:r>
      <w:r w:rsidR="002465EF" w:rsidRPr="000915D0">
        <w:rPr>
          <w:rFonts w:ascii="Times New Roman" w:hAnsi="Times New Roman" w:cs="Times New Roman"/>
          <w:sz w:val="24"/>
          <w:szCs w:val="24"/>
        </w:rPr>
        <w:t xml:space="preserve"> le déterminant essentiel </w:t>
      </w:r>
      <w:r w:rsidR="00662CA7" w:rsidRPr="000915D0">
        <w:rPr>
          <w:rFonts w:ascii="Times New Roman" w:hAnsi="Times New Roman" w:cs="Times New Roman"/>
          <w:sz w:val="24"/>
          <w:szCs w:val="24"/>
        </w:rPr>
        <w:t xml:space="preserve">de la prise en compte des intérêts </w:t>
      </w:r>
      <w:r w:rsidR="0028632E" w:rsidRPr="000915D0">
        <w:rPr>
          <w:rFonts w:ascii="Times New Roman" w:hAnsi="Times New Roman" w:cs="Times New Roman"/>
          <w:sz w:val="24"/>
          <w:szCs w:val="24"/>
        </w:rPr>
        <w:t xml:space="preserve">des investisseurs ou </w:t>
      </w:r>
      <w:r w:rsidR="001A55ED" w:rsidRPr="000915D0">
        <w:rPr>
          <w:rFonts w:ascii="Times New Roman" w:hAnsi="Times New Roman" w:cs="Times New Roman"/>
          <w:sz w:val="24"/>
          <w:szCs w:val="24"/>
        </w:rPr>
        <w:t xml:space="preserve">de ceux des salariés serait l’idéologie politique dominante </w:t>
      </w:r>
      <w:r w:rsidR="00E51CB6" w:rsidRPr="000915D0">
        <w:rPr>
          <w:rFonts w:ascii="Times New Roman" w:hAnsi="Times New Roman" w:cs="Times New Roman"/>
          <w:sz w:val="24"/>
          <w:szCs w:val="24"/>
        </w:rPr>
        <w:t>d’un pays</w:t>
      </w:r>
      <w:r w:rsidR="006F5030" w:rsidRPr="000915D0">
        <w:rPr>
          <w:rFonts w:ascii="Times New Roman" w:hAnsi="Times New Roman" w:cs="Times New Roman"/>
          <w:sz w:val="24"/>
          <w:szCs w:val="24"/>
        </w:rPr>
        <w:t xml:space="preserve"> qui tendrait à s’institutionnaliser à travers la législation. </w:t>
      </w:r>
      <w:r w:rsidR="00010253" w:rsidRPr="000915D0">
        <w:rPr>
          <w:rFonts w:ascii="Times New Roman" w:hAnsi="Times New Roman" w:cs="Times New Roman"/>
          <w:sz w:val="24"/>
          <w:szCs w:val="24"/>
        </w:rPr>
        <w:t>Ainsi</w:t>
      </w:r>
      <w:r w:rsidR="005D4BE4" w:rsidRPr="000915D0">
        <w:rPr>
          <w:rFonts w:ascii="Times New Roman" w:hAnsi="Times New Roman" w:cs="Times New Roman"/>
          <w:sz w:val="24"/>
          <w:szCs w:val="24"/>
        </w:rPr>
        <w:t xml:space="preserve">, les pays qualifiés </w:t>
      </w:r>
      <w:r w:rsidR="00F97E4B" w:rsidRPr="000915D0">
        <w:rPr>
          <w:rFonts w:ascii="Times New Roman" w:hAnsi="Times New Roman" w:cs="Times New Roman"/>
          <w:sz w:val="24"/>
          <w:szCs w:val="24"/>
        </w:rPr>
        <w:t xml:space="preserve">de sociaux-démocrates favoriseraient les salariés, </w:t>
      </w:r>
      <w:r w:rsidR="00C335D7" w:rsidRPr="000915D0">
        <w:rPr>
          <w:rFonts w:ascii="Times New Roman" w:hAnsi="Times New Roman" w:cs="Times New Roman"/>
          <w:sz w:val="24"/>
          <w:szCs w:val="24"/>
        </w:rPr>
        <w:t xml:space="preserve">alors que les pays libéraux accorderaient la primauté aux actionnaires. Une telle approche laisse cependant deux questions ouvertes : </w:t>
      </w:r>
      <w:r w:rsidR="00FD1CB0" w:rsidRPr="000915D0">
        <w:rPr>
          <w:rFonts w:ascii="Times New Roman" w:hAnsi="Times New Roman" w:cs="Times New Roman"/>
          <w:sz w:val="24"/>
          <w:szCs w:val="24"/>
        </w:rPr>
        <w:t xml:space="preserve">1. </w:t>
      </w:r>
      <w:r w:rsidR="00FF2C75" w:rsidRPr="000915D0">
        <w:rPr>
          <w:rFonts w:ascii="Times New Roman" w:hAnsi="Times New Roman" w:cs="Times New Roman"/>
          <w:sz w:val="24"/>
          <w:szCs w:val="24"/>
        </w:rPr>
        <w:t>Quels sont</w:t>
      </w:r>
      <w:r w:rsidR="00882E59" w:rsidRPr="000915D0">
        <w:rPr>
          <w:rFonts w:ascii="Times New Roman" w:hAnsi="Times New Roman" w:cs="Times New Roman"/>
          <w:sz w:val="24"/>
          <w:szCs w:val="24"/>
        </w:rPr>
        <w:t>, concrètement,</w:t>
      </w:r>
      <w:r w:rsidR="00FF2C75" w:rsidRPr="000915D0">
        <w:rPr>
          <w:rFonts w:ascii="Times New Roman" w:hAnsi="Times New Roman" w:cs="Times New Roman"/>
          <w:sz w:val="24"/>
          <w:szCs w:val="24"/>
        </w:rPr>
        <w:t xml:space="preserve"> les mécanismes qui </w:t>
      </w:r>
      <w:r w:rsidR="00A3088F" w:rsidRPr="000915D0">
        <w:rPr>
          <w:rFonts w:ascii="Times New Roman" w:hAnsi="Times New Roman" w:cs="Times New Roman"/>
          <w:sz w:val="24"/>
          <w:szCs w:val="24"/>
        </w:rPr>
        <w:t xml:space="preserve">permettent de comprendre l’institutionnalisation </w:t>
      </w:r>
      <w:r w:rsidR="00AF6BCE" w:rsidRPr="000915D0">
        <w:rPr>
          <w:rFonts w:ascii="Times New Roman" w:hAnsi="Times New Roman" w:cs="Times New Roman"/>
          <w:sz w:val="24"/>
          <w:szCs w:val="24"/>
        </w:rPr>
        <w:t xml:space="preserve">d’une </w:t>
      </w:r>
      <w:r w:rsidR="008131C9" w:rsidRPr="000915D0">
        <w:rPr>
          <w:rFonts w:ascii="Times New Roman" w:hAnsi="Times New Roman" w:cs="Times New Roman"/>
          <w:sz w:val="24"/>
          <w:szCs w:val="24"/>
        </w:rPr>
        <w:t xml:space="preserve">idéologie </w:t>
      </w:r>
      <w:r w:rsidR="00AF6BCE" w:rsidRPr="000915D0">
        <w:rPr>
          <w:rFonts w:ascii="Times New Roman" w:hAnsi="Times New Roman" w:cs="Times New Roman"/>
          <w:sz w:val="24"/>
          <w:szCs w:val="24"/>
        </w:rPr>
        <w:t>politique</w:t>
      </w:r>
      <w:r w:rsidR="002362A2" w:rsidRPr="000915D0">
        <w:rPr>
          <w:rFonts w:ascii="Times New Roman" w:hAnsi="Times New Roman" w:cs="Times New Roman"/>
          <w:sz w:val="24"/>
          <w:szCs w:val="24"/>
        </w:rPr>
        <w:t xml:space="preserve"> à travers la législation</w:t>
      </w:r>
      <w:r w:rsidR="00AF6BCE" w:rsidRPr="000915D0">
        <w:rPr>
          <w:rFonts w:ascii="Times New Roman" w:hAnsi="Times New Roman" w:cs="Times New Roman"/>
          <w:sz w:val="24"/>
          <w:szCs w:val="24"/>
        </w:rPr>
        <w:t xml:space="preserve"> dans la dynamique d’évolution d’un système</w:t>
      </w:r>
      <w:r w:rsidR="002362A2" w:rsidRPr="000915D0">
        <w:rPr>
          <w:rFonts w:ascii="Times New Roman" w:hAnsi="Times New Roman" w:cs="Times New Roman"/>
          <w:sz w:val="24"/>
          <w:szCs w:val="24"/>
        </w:rPr>
        <w:t xml:space="preserve"> de gouvernance</w:t>
      </w:r>
      <w:r w:rsidR="00D55400" w:rsidRPr="000915D0">
        <w:rPr>
          <w:rFonts w:ascii="Times New Roman" w:hAnsi="Times New Roman" w:cs="Times New Roman"/>
          <w:sz w:val="24"/>
          <w:szCs w:val="24"/>
        </w:rPr>
        <w:t> ? 2. Comment rendre compte du fait que deux pays</w:t>
      </w:r>
      <w:r w:rsidR="00180FB4" w:rsidRPr="000915D0">
        <w:rPr>
          <w:rFonts w:ascii="Times New Roman" w:hAnsi="Times New Roman" w:cs="Times New Roman"/>
          <w:sz w:val="24"/>
          <w:szCs w:val="24"/>
        </w:rPr>
        <w:t xml:space="preserve">, qui sont relativement proches sur l’échelle politique de Roe, </w:t>
      </w:r>
      <w:r w:rsidR="00FF5396" w:rsidRPr="000915D0">
        <w:rPr>
          <w:rFonts w:ascii="Times New Roman" w:hAnsi="Times New Roman" w:cs="Times New Roman"/>
          <w:sz w:val="24"/>
          <w:szCs w:val="24"/>
        </w:rPr>
        <w:t xml:space="preserve">comme la France et l’Allemagne, ont des trajectoires institutionnelles </w:t>
      </w:r>
      <w:r w:rsidR="006C63E5" w:rsidRPr="000915D0">
        <w:rPr>
          <w:rFonts w:ascii="Times New Roman" w:hAnsi="Times New Roman" w:cs="Times New Roman"/>
          <w:sz w:val="24"/>
          <w:szCs w:val="24"/>
        </w:rPr>
        <w:t xml:space="preserve">aussi différentes ? </w:t>
      </w:r>
      <w:r w:rsidR="00366AE6" w:rsidRPr="000915D0">
        <w:rPr>
          <w:rFonts w:ascii="Times New Roman" w:hAnsi="Times New Roman" w:cs="Times New Roman"/>
          <w:sz w:val="24"/>
          <w:szCs w:val="24"/>
        </w:rPr>
        <w:t xml:space="preserve">Cette dernière question </w:t>
      </w:r>
      <w:r w:rsidR="00950495" w:rsidRPr="000915D0">
        <w:rPr>
          <w:rFonts w:ascii="Times New Roman" w:hAnsi="Times New Roman" w:cs="Times New Roman"/>
          <w:sz w:val="24"/>
          <w:szCs w:val="24"/>
        </w:rPr>
        <w:t>apparaît</w:t>
      </w:r>
      <w:r w:rsidR="002421E9" w:rsidRPr="000915D0">
        <w:rPr>
          <w:rFonts w:ascii="Times New Roman" w:hAnsi="Times New Roman" w:cs="Times New Roman"/>
          <w:sz w:val="24"/>
          <w:szCs w:val="24"/>
        </w:rPr>
        <w:t xml:space="preserve"> comme particulièrement pertinente</w:t>
      </w:r>
      <w:r w:rsidR="00950CDC" w:rsidRPr="000915D0">
        <w:rPr>
          <w:rFonts w:ascii="Times New Roman" w:hAnsi="Times New Roman" w:cs="Times New Roman"/>
          <w:sz w:val="24"/>
          <w:szCs w:val="24"/>
        </w:rPr>
        <w:t xml:space="preserve"> au niveau</w:t>
      </w:r>
      <w:r w:rsidR="0085285E" w:rsidRPr="000915D0">
        <w:rPr>
          <w:rFonts w:ascii="Times New Roman" w:hAnsi="Times New Roman" w:cs="Times New Roman"/>
          <w:sz w:val="24"/>
          <w:szCs w:val="24"/>
        </w:rPr>
        <w:t xml:space="preserve"> de la codétermination des salariés, progressivement </w:t>
      </w:r>
      <w:r w:rsidR="00964E7C" w:rsidRPr="000915D0">
        <w:rPr>
          <w:rFonts w:ascii="Times New Roman" w:hAnsi="Times New Roman" w:cs="Times New Roman"/>
          <w:sz w:val="24"/>
          <w:szCs w:val="24"/>
        </w:rPr>
        <w:t>institutionnalisée</w:t>
      </w:r>
      <w:r w:rsidR="00E44498" w:rsidRPr="000915D0">
        <w:rPr>
          <w:rFonts w:ascii="Times New Roman" w:hAnsi="Times New Roman" w:cs="Times New Roman"/>
          <w:sz w:val="24"/>
          <w:szCs w:val="24"/>
        </w:rPr>
        <w:t xml:space="preserve"> à un niveau</w:t>
      </w:r>
      <w:r w:rsidR="00950CDC" w:rsidRPr="000915D0">
        <w:rPr>
          <w:rFonts w:ascii="Times New Roman" w:hAnsi="Times New Roman" w:cs="Times New Roman"/>
          <w:sz w:val="24"/>
          <w:szCs w:val="24"/>
        </w:rPr>
        <w:t xml:space="preserve"> tr</w:t>
      </w:r>
      <w:r w:rsidR="004D0853" w:rsidRPr="000915D0">
        <w:rPr>
          <w:rFonts w:ascii="Times New Roman" w:hAnsi="Times New Roman" w:cs="Times New Roman"/>
          <w:sz w:val="24"/>
          <w:szCs w:val="24"/>
        </w:rPr>
        <w:t>ès</w:t>
      </w:r>
      <w:r w:rsidR="00E44498" w:rsidRPr="000915D0">
        <w:rPr>
          <w:rFonts w:ascii="Times New Roman" w:hAnsi="Times New Roman" w:cs="Times New Roman"/>
          <w:sz w:val="24"/>
          <w:szCs w:val="24"/>
        </w:rPr>
        <w:t xml:space="preserve"> élevé</w:t>
      </w:r>
      <w:r w:rsidR="00964E7C" w:rsidRPr="000915D0">
        <w:rPr>
          <w:rFonts w:ascii="Times New Roman" w:hAnsi="Times New Roman" w:cs="Times New Roman"/>
          <w:sz w:val="24"/>
          <w:szCs w:val="24"/>
        </w:rPr>
        <w:t xml:space="preserve"> par la loi </w:t>
      </w:r>
      <w:r w:rsidR="00E44498" w:rsidRPr="000915D0">
        <w:rPr>
          <w:rFonts w:ascii="Times New Roman" w:hAnsi="Times New Roman" w:cs="Times New Roman"/>
          <w:sz w:val="24"/>
          <w:szCs w:val="24"/>
        </w:rPr>
        <w:t>a</w:t>
      </w:r>
      <w:r w:rsidR="00964E7C" w:rsidRPr="000915D0">
        <w:rPr>
          <w:rFonts w:ascii="Times New Roman" w:hAnsi="Times New Roman" w:cs="Times New Roman"/>
          <w:sz w:val="24"/>
          <w:szCs w:val="24"/>
        </w:rPr>
        <w:t>llemande entre la fin des années 1940 et les années 1970</w:t>
      </w:r>
      <w:r w:rsidR="00D57F64" w:rsidRPr="000915D0">
        <w:rPr>
          <w:rFonts w:ascii="Times New Roman" w:hAnsi="Times New Roman" w:cs="Times New Roman"/>
          <w:sz w:val="24"/>
          <w:szCs w:val="24"/>
        </w:rPr>
        <w:t xml:space="preserve">, alors qu’elle n’a jamais atteint le même niveau en </w:t>
      </w:r>
      <w:r w:rsidR="001B52E2" w:rsidRPr="000915D0">
        <w:rPr>
          <w:rFonts w:ascii="Times New Roman" w:hAnsi="Times New Roman" w:cs="Times New Roman"/>
          <w:sz w:val="24"/>
          <w:szCs w:val="24"/>
        </w:rPr>
        <w:t>France, malgré plusieurs initiatives fondées sur des idées proches</w:t>
      </w:r>
      <w:r w:rsidR="004D0853" w:rsidRPr="000915D0">
        <w:rPr>
          <w:rFonts w:ascii="Times New Roman" w:hAnsi="Times New Roman" w:cs="Times New Roman"/>
          <w:sz w:val="24"/>
          <w:szCs w:val="24"/>
        </w:rPr>
        <w:t xml:space="preserve"> (Aubert et Hollandts, 2022)</w:t>
      </w:r>
      <w:r w:rsidR="001B52E2" w:rsidRPr="000915D0">
        <w:rPr>
          <w:rFonts w:ascii="Times New Roman" w:hAnsi="Times New Roman" w:cs="Times New Roman"/>
          <w:sz w:val="24"/>
          <w:szCs w:val="24"/>
        </w:rPr>
        <w:t>.</w:t>
      </w:r>
    </w:p>
    <w:p w14:paraId="24EE75E8" w14:textId="5AEAF387" w:rsidR="00CE4764" w:rsidRPr="000915D0" w:rsidRDefault="005A6DDD" w:rsidP="0000458E">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 xml:space="preserve">Le travail </w:t>
      </w:r>
      <w:r w:rsidR="00FC3F3B" w:rsidRPr="000915D0">
        <w:rPr>
          <w:rFonts w:ascii="Times New Roman" w:hAnsi="Times New Roman" w:cs="Times New Roman"/>
          <w:sz w:val="24"/>
          <w:szCs w:val="24"/>
        </w:rPr>
        <w:t>de Davis et Thompson (1994)</w:t>
      </w:r>
      <w:r w:rsidR="00A12A15" w:rsidRPr="000915D0">
        <w:rPr>
          <w:rFonts w:ascii="Times New Roman" w:hAnsi="Times New Roman" w:cs="Times New Roman"/>
          <w:sz w:val="24"/>
          <w:szCs w:val="24"/>
        </w:rPr>
        <w:t xml:space="preserve">, qui </w:t>
      </w:r>
      <w:r w:rsidR="004469A6" w:rsidRPr="000915D0">
        <w:rPr>
          <w:rFonts w:ascii="Times New Roman" w:hAnsi="Times New Roman" w:cs="Times New Roman"/>
          <w:sz w:val="24"/>
          <w:szCs w:val="24"/>
        </w:rPr>
        <w:t xml:space="preserve">permet une compréhension </w:t>
      </w:r>
      <w:r w:rsidR="00057C9E" w:rsidRPr="000915D0">
        <w:rPr>
          <w:rFonts w:ascii="Times New Roman" w:hAnsi="Times New Roman" w:cs="Times New Roman"/>
          <w:sz w:val="24"/>
          <w:szCs w:val="24"/>
        </w:rPr>
        <w:t>de l’avènement du capitalisme actionnarial aux Etats-Unis</w:t>
      </w:r>
      <w:r w:rsidR="00D47B83" w:rsidRPr="000915D0">
        <w:rPr>
          <w:rFonts w:ascii="Times New Roman" w:hAnsi="Times New Roman" w:cs="Times New Roman"/>
          <w:sz w:val="24"/>
          <w:szCs w:val="24"/>
        </w:rPr>
        <w:t xml:space="preserve"> au cours des années 1980 grâce à la théorie de la mobilisation sociale</w:t>
      </w:r>
      <w:r w:rsidR="00300AA0" w:rsidRPr="000915D0">
        <w:rPr>
          <w:rFonts w:ascii="Times New Roman" w:hAnsi="Times New Roman" w:cs="Times New Roman"/>
          <w:sz w:val="24"/>
          <w:szCs w:val="24"/>
        </w:rPr>
        <w:t>, semble</w:t>
      </w:r>
      <w:r w:rsidR="00E81D02" w:rsidRPr="000915D0">
        <w:rPr>
          <w:rFonts w:ascii="Times New Roman" w:hAnsi="Times New Roman" w:cs="Times New Roman"/>
          <w:sz w:val="24"/>
          <w:szCs w:val="24"/>
        </w:rPr>
        <w:t xml:space="preserve"> fournir un fondement co</w:t>
      </w:r>
      <w:r w:rsidR="00690F00" w:rsidRPr="000915D0">
        <w:rPr>
          <w:rFonts w:ascii="Times New Roman" w:hAnsi="Times New Roman" w:cs="Times New Roman"/>
          <w:sz w:val="24"/>
          <w:szCs w:val="24"/>
        </w:rPr>
        <w:t>n</w:t>
      </w:r>
      <w:r w:rsidR="00E81D02" w:rsidRPr="000915D0">
        <w:rPr>
          <w:rFonts w:ascii="Times New Roman" w:hAnsi="Times New Roman" w:cs="Times New Roman"/>
          <w:sz w:val="24"/>
          <w:szCs w:val="24"/>
        </w:rPr>
        <w:t>ceptuel</w:t>
      </w:r>
      <w:r w:rsidR="00300AA0" w:rsidRPr="000915D0">
        <w:rPr>
          <w:rFonts w:ascii="Times New Roman" w:hAnsi="Times New Roman" w:cs="Times New Roman"/>
          <w:sz w:val="24"/>
          <w:szCs w:val="24"/>
        </w:rPr>
        <w:t xml:space="preserve"> particulièrement prometteur </w:t>
      </w:r>
      <w:r w:rsidR="000B19B7" w:rsidRPr="000915D0">
        <w:rPr>
          <w:rFonts w:ascii="Times New Roman" w:hAnsi="Times New Roman" w:cs="Times New Roman"/>
          <w:sz w:val="24"/>
          <w:szCs w:val="24"/>
        </w:rPr>
        <w:t xml:space="preserve">pour répondre à ce double questionnement. </w:t>
      </w:r>
      <w:r w:rsidR="00446A66" w:rsidRPr="000915D0">
        <w:rPr>
          <w:rFonts w:ascii="Times New Roman" w:hAnsi="Times New Roman" w:cs="Times New Roman"/>
          <w:sz w:val="24"/>
          <w:szCs w:val="24"/>
        </w:rPr>
        <w:t>Pour répondre à la première question, Davis et Thompson montrent, en effet,</w:t>
      </w:r>
      <w:r w:rsidR="00841A22" w:rsidRPr="000915D0">
        <w:rPr>
          <w:rFonts w:ascii="Times New Roman" w:hAnsi="Times New Roman" w:cs="Times New Roman"/>
          <w:sz w:val="24"/>
          <w:szCs w:val="24"/>
        </w:rPr>
        <w:t xml:space="preserve"> que le capitalisme actionnarial</w:t>
      </w:r>
      <w:r w:rsidR="00A22D65" w:rsidRPr="000915D0">
        <w:rPr>
          <w:rFonts w:ascii="Times New Roman" w:hAnsi="Times New Roman" w:cs="Times New Roman"/>
          <w:sz w:val="24"/>
          <w:szCs w:val="24"/>
        </w:rPr>
        <w:t xml:space="preserve"> américain</w:t>
      </w:r>
      <w:r w:rsidR="00841A22" w:rsidRPr="000915D0">
        <w:rPr>
          <w:rFonts w:ascii="Times New Roman" w:hAnsi="Times New Roman" w:cs="Times New Roman"/>
          <w:sz w:val="24"/>
          <w:szCs w:val="24"/>
        </w:rPr>
        <w:t xml:space="preserve"> n’est pas le résultat</w:t>
      </w:r>
      <w:r w:rsidR="00D34905" w:rsidRPr="000915D0">
        <w:rPr>
          <w:rFonts w:ascii="Times New Roman" w:hAnsi="Times New Roman" w:cs="Times New Roman"/>
          <w:sz w:val="24"/>
          <w:szCs w:val="24"/>
        </w:rPr>
        <w:t xml:space="preserve"> </w:t>
      </w:r>
      <w:r w:rsidR="00841A22" w:rsidRPr="000915D0">
        <w:rPr>
          <w:rFonts w:ascii="Times New Roman" w:hAnsi="Times New Roman" w:cs="Times New Roman"/>
          <w:sz w:val="24"/>
          <w:szCs w:val="24"/>
        </w:rPr>
        <w:t xml:space="preserve">d’un déterminisme </w:t>
      </w:r>
      <w:r w:rsidR="002E39D3" w:rsidRPr="000915D0">
        <w:rPr>
          <w:rFonts w:ascii="Times New Roman" w:hAnsi="Times New Roman" w:cs="Times New Roman"/>
          <w:sz w:val="24"/>
          <w:szCs w:val="24"/>
        </w:rPr>
        <w:t>idéologique</w:t>
      </w:r>
      <w:r w:rsidR="00807055" w:rsidRPr="000915D0">
        <w:rPr>
          <w:rFonts w:ascii="Times New Roman" w:hAnsi="Times New Roman" w:cs="Times New Roman"/>
          <w:sz w:val="24"/>
          <w:szCs w:val="24"/>
        </w:rPr>
        <w:t xml:space="preserve"> </w:t>
      </w:r>
      <w:r w:rsidR="00D33F26" w:rsidRPr="000915D0">
        <w:rPr>
          <w:rFonts w:ascii="Times New Roman" w:hAnsi="Times New Roman" w:cs="Times New Roman"/>
          <w:sz w:val="24"/>
          <w:szCs w:val="24"/>
        </w:rPr>
        <w:t>libéral</w:t>
      </w:r>
      <w:r w:rsidR="00AF2245" w:rsidRPr="000915D0">
        <w:rPr>
          <w:rFonts w:ascii="Times New Roman" w:hAnsi="Times New Roman" w:cs="Times New Roman"/>
          <w:sz w:val="24"/>
          <w:szCs w:val="24"/>
        </w:rPr>
        <w:t xml:space="preserve"> (ni d’un déterminisme inhérent à la tradition légale du pays)</w:t>
      </w:r>
      <w:r w:rsidR="002E39D3" w:rsidRPr="000915D0">
        <w:rPr>
          <w:rFonts w:ascii="Times New Roman" w:hAnsi="Times New Roman" w:cs="Times New Roman"/>
          <w:sz w:val="24"/>
          <w:szCs w:val="24"/>
        </w:rPr>
        <w:t xml:space="preserve"> mais d’une lutte politique concrète</w:t>
      </w:r>
      <w:r w:rsidR="00A22D65" w:rsidRPr="000915D0">
        <w:rPr>
          <w:rFonts w:ascii="Times New Roman" w:hAnsi="Times New Roman" w:cs="Times New Roman"/>
          <w:sz w:val="24"/>
          <w:szCs w:val="24"/>
        </w:rPr>
        <w:t xml:space="preserve"> des années 1980</w:t>
      </w:r>
      <w:r w:rsidR="00F23132" w:rsidRPr="000915D0">
        <w:rPr>
          <w:rFonts w:ascii="Times New Roman" w:hAnsi="Times New Roman" w:cs="Times New Roman"/>
          <w:sz w:val="24"/>
          <w:szCs w:val="24"/>
        </w:rPr>
        <w:t xml:space="preserve">, qui ne s’est pas imposée par </w:t>
      </w:r>
      <w:r w:rsidR="000D4A52" w:rsidRPr="000915D0">
        <w:rPr>
          <w:rFonts w:ascii="Times New Roman" w:hAnsi="Times New Roman" w:cs="Times New Roman"/>
          <w:sz w:val="24"/>
          <w:szCs w:val="24"/>
        </w:rPr>
        <w:t>elle-même, et dont le succès a été tributaire d’un effort de mobilisation imp</w:t>
      </w:r>
      <w:r w:rsidR="00FE08A0" w:rsidRPr="000915D0">
        <w:rPr>
          <w:rFonts w:ascii="Times New Roman" w:hAnsi="Times New Roman" w:cs="Times New Roman"/>
          <w:sz w:val="24"/>
          <w:szCs w:val="24"/>
        </w:rPr>
        <w:t xml:space="preserve">ortant. Pour la réussite de cette mobilisation, </w:t>
      </w:r>
      <w:r w:rsidR="00E014F7" w:rsidRPr="000915D0">
        <w:rPr>
          <w:rFonts w:ascii="Times New Roman" w:hAnsi="Times New Roman" w:cs="Times New Roman"/>
          <w:sz w:val="24"/>
          <w:szCs w:val="24"/>
        </w:rPr>
        <w:t xml:space="preserve">Davis et Thompson (1994) identifient </w:t>
      </w:r>
      <w:r w:rsidR="00DD12F1" w:rsidRPr="000915D0">
        <w:rPr>
          <w:rFonts w:ascii="Times New Roman" w:hAnsi="Times New Roman" w:cs="Times New Roman"/>
          <w:sz w:val="24"/>
          <w:szCs w:val="24"/>
        </w:rPr>
        <w:t>quatre</w:t>
      </w:r>
      <w:r w:rsidR="00D003E8" w:rsidRPr="000915D0">
        <w:rPr>
          <w:rFonts w:ascii="Times New Roman" w:hAnsi="Times New Roman" w:cs="Times New Roman"/>
          <w:sz w:val="24"/>
          <w:szCs w:val="24"/>
        </w:rPr>
        <w:t xml:space="preserve"> dimensions, dont l’alignement simultané </w:t>
      </w:r>
      <w:r w:rsidR="00D366BC" w:rsidRPr="000915D0">
        <w:rPr>
          <w:rFonts w:ascii="Times New Roman" w:hAnsi="Times New Roman" w:cs="Times New Roman"/>
          <w:sz w:val="24"/>
          <w:szCs w:val="24"/>
        </w:rPr>
        <w:t>apparaît comme une condition nécessaire d’une institutionnalisation réussie</w:t>
      </w:r>
      <w:r w:rsidR="00F05FE0" w:rsidRPr="000915D0">
        <w:rPr>
          <w:rFonts w:ascii="Times New Roman" w:hAnsi="Times New Roman" w:cs="Times New Roman"/>
          <w:sz w:val="24"/>
          <w:szCs w:val="24"/>
        </w:rPr>
        <w:t xml:space="preserve"> : </w:t>
      </w:r>
      <w:r w:rsidR="00C25748" w:rsidRPr="000915D0">
        <w:rPr>
          <w:rFonts w:ascii="Times New Roman" w:hAnsi="Times New Roman" w:cs="Times New Roman"/>
          <w:sz w:val="24"/>
          <w:szCs w:val="24"/>
        </w:rPr>
        <w:t>le contexte d'opportunité politique, les intérêts des acteurs, l’in</w:t>
      </w:r>
      <w:r w:rsidR="00B16725" w:rsidRPr="000915D0">
        <w:rPr>
          <w:rFonts w:ascii="Times New Roman" w:hAnsi="Times New Roman" w:cs="Times New Roman"/>
          <w:sz w:val="24"/>
          <w:szCs w:val="24"/>
        </w:rPr>
        <w:t xml:space="preserve">frastructure organisationnelle, la dynamique de la mobilisation. </w:t>
      </w:r>
      <w:r w:rsidR="00D27691" w:rsidRPr="000915D0">
        <w:rPr>
          <w:rFonts w:ascii="Times New Roman" w:hAnsi="Times New Roman" w:cs="Times New Roman"/>
          <w:sz w:val="24"/>
          <w:szCs w:val="24"/>
        </w:rPr>
        <w:t xml:space="preserve">Selon les auteurs, c’est la </w:t>
      </w:r>
      <w:r w:rsidR="0087574A" w:rsidRPr="000915D0">
        <w:rPr>
          <w:rFonts w:ascii="Times New Roman" w:hAnsi="Times New Roman" w:cs="Times New Roman"/>
          <w:sz w:val="24"/>
          <w:szCs w:val="24"/>
        </w:rPr>
        <w:t>présence</w:t>
      </w:r>
      <w:r w:rsidR="00D27691" w:rsidRPr="000915D0">
        <w:rPr>
          <w:rFonts w:ascii="Times New Roman" w:hAnsi="Times New Roman" w:cs="Times New Roman"/>
          <w:sz w:val="24"/>
          <w:szCs w:val="24"/>
        </w:rPr>
        <w:t xml:space="preserve"> de ces </w:t>
      </w:r>
      <w:r w:rsidR="0087574A" w:rsidRPr="000915D0">
        <w:rPr>
          <w:rFonts w:ascii="Times New Roman" w:hAnsi="Times New Roman" w:cs="Times New Roman"/>
          <w:sz w:val="24"/>
          <w:szCs w:val="24"/>
        </w:rPr>
        <w:t xml:space="preserve">quatre dimensions </w:t>
      </w:r>
      <w:r w:rsidR="002F3255" w:rsidRPr="000915D0">
        <w:rPr>
          <w:rFonts w:ascii="Times New Roman" w:hAnsi="Times New Roman" w:cs="Times New Roman"/>
          <w:sz w:val="24"/>
          <w:szCs w:val="24"/>
        </w:rPr>
        <w:t xml:space="preserve">au même moment qui permet de comprendre le passage d’un capitalisme managérial </w:t>
      </w:r>
      <w:r w:rsidR="00AA1166" w:rsidRPr="000915D0">
        <w:rPr>
          <w:rFonts w:ascii="Times New Roman" w:hAnsi="Times New Roman" w:cs="Times New Roman"/>
          <w:sz w:val="24"/>
          <w:szCs w:val="24"/>
        </w:rPr>
        <w:t>à un capitalisme actionnarial aux USA.</w:t>
      </w:r>
      <w:r w:rsidR="006C68CD" w:rsidRPr="000915D0">
        <w:rPr>
          <w:rFonts w:ascii="Times New Roman" w:hAnsi="Times New Roman" w:cs="Times New Roman"/>
          <w:sz w:val="24"/>
          <w:szCs w:val="24"/>
        </w:rPr>
        <w:t xml:space="preserve"> </w:t>
      </w:r>
    </w:p>
    <w:p w14:paraId="6B2E0E8F" w14:textId="028D5B36" w:rsidR="00FE08A0" w:rsidRPr="000915D0" w:rsidRDefault="006C68CD" w:rsidP="0000458E">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lastRenderedPageBreak/>
        <w:t>Il faut d’abord qu’une telle mobilisation puisse profit</w:t>
      </w:r>
      <w:r w:rsidR="005E0025" w:rsidRPr="000915D0">
        <w:rPr>
          <w:rFonts w:ascii="Times New Roman" w:hAnsi="Times New Roman" w:cs="Times New Roman"/>
          <w:sz w:val="24"/>
          <w:szCs w:val="24"/>
        </w:rPr>
        <w:t>er</w:t>
      </w:r>
      <w:r w:rsidRPr="000915D0">
        <w:rPr>
          <w:rFonts w:ascii="Times New Roman" w:hAnsi="Times New Roman" w:cs="Times New Roman"/>
          <w:sz w:val="24"/>
          <w:szCs w:val="24"/>
        </w:rPr>
        <w:t xml:space="preserve"> d’un contexte d’opportunité politique, caractérisé par des </w:t>
      </w:r>
      <w:r w:rsidR="003F38B1" w:rsidRPr="000915D0">
        <w:rPr>
          <w:rFonts w:ascii="Times New Roman" w:hAnsi="Times New Roman" w:cs="Times New Roman"/>
          <w:sz w:val="24"/>
          <w:szCs w:val="24"/>
        </w:rPr>
        <w:t xml:space="preserve">changements importants, voire par des ruptures sociétales. </w:t>
      </w:r>
      <w:r w:rsidR="00F470E5" w:rsidRPr="000915D0">
        <w:rPr>
          <w:rFonts w:ascii="Times New Roman" w:hAnsi="Times New Roman" w:cs="Times New Roman"/>
          <w:sz w:val="24"/>
          <w:szCs w:val="24"/>
        </w:rPr>
        <w:t xml:space="preserve">Ce contexte concerne l'ensemble des relations de pouvoir dans l'environnement politique et, en particulier, </w:t>
      </w:r>
      <w:r w:rsidR="00171E65" w:rsidRPr="000915D0">
        <w:rPr>
          <w:rFonts w:ascii="Times New Roman" w:hAnsi="Times New Roman" w:cs="Times New Roman"/>
          <w:sz w:val="24"/>
          <w:szCs w:val="24"/>
        </w:rPr>
        <w:t>la manière dont</w:t>
      </w:r>
      <w:r w:rsidR="00F470E5" w:rsidRPr="000915D0">
        <w:rPr>
          <w:rFonts w:ascii="Times New Roman" w:hAnsi="Times New Roman" w:cs="Times New Roman"/>
          <w:sz w:val="24"/>
          <w:szCs w:val="24"/>
        </w:rPr>
        <w:t xml:space="preserve"> les perturbations et l'instabilité affectent le </w:t>
      </w:r>
      <w:r w:rsidR="00F470E5" w:rsidRPr="000915D0">
        <w:rPr>
          <w:rFonts w:ascii="Times New Roman" w:hAnsi="Times New Roman" w:cs="Times New Roman"/>
          <w:i/>
          <w:iCs/>
          <w:sz w:val="24"/>
          <w:szCs w:val="24"/>
        </w:rPr>
        <w:t>statu quo</w:t>
      </w:r>
      <w:r w:rsidR="00F470E5" w:rsidRPr="000915D0">
        <w:rPr>
          <w:rFonts w:ascii="Times New Roman" w:hAnsi="Times New Roman" w:cs="Times New Roman"/>
          <w:sz w:val="24"/>
          <w:szCs w:val="24"/>
        </w:rPr>
        <w:t xml:space="preserve"> en augmentant les chances de réussite d</w:t>
      </w:r>
      <w:r w:rsidR="008255B0" w:rsidRPr="000915D0">
        <w:rPr>
          <w:rFonts w:ascii="Times New Roman" w:hAnsi="Times New Roman" w:cs="Times New Roman"/>
          <w:sz w:val="24"/>
          <w:szCs w:val="24"/>
        </w:rPr>
        <w:t>e la mobilisation</w:t>
      </w:r>
      <w:r w:rsidR="00F470E5" w:rsidRPr="000915D0">
        <w:rPr>
          <w:rFonts w:ascii="Times New Roman" w:hAnsi="Times New Roman" w:cs="Times New Roman"/>
          <w:sz w:val="24"/>
          <w:szCs w:val="24"/>
        </w:rPr>
        <w:t xml:space="preserve"> (</w:t>
      </w:r>
      <w:r w:rsidR="00665471" w:rsidRPr="000915D0">
        <w:rPr>
          <w:rFonts w:ascii="Times New Roman" w:hAnsi="Times New Roman" w:cs="Times New Roman"/>
          <w:sz w:val="24"/>
          <w:szCs w:val="24"/>
        </w:rPr>
        <w:t>Davis et Thompson, 1994</w:t>
      </w:r>
      <w:r w:rsidR="00F470E5" w:rsidRPr="000915D0">
        <w:rPr>
          <w:rFonts w:ascii="Times New Roman" w:hAnsi="Times New Roman" w:cs="Times New Roman"/>
          <w:sz w:val="24"/>
          <w:szCs w:val="24"/>
        </w:rPr>
        <w:t xml:space="preserve">). </w:t>
      </w:r>
      <w:r w:rsidR="00CA0BE3" w:rsidRPr="000915D0">
        <w:rPr>
          <w:rFonts w:ascii="Times New Roman" w:hAnsi="Times New Roman" w:cs="Times New Roman"/>
          <w:sz w:val="24"/>
          <w:szCs w:val="24"/>
        </w:rPr>
        <w:t xml:space="preserve">L’instabilité institutionnelle </w:t>
      </w:r>
      <w:r w:rsidR="005E0025" w:rsidRPr="000915D0">
        <w:rPr>
          <w:rFonts w:ascii="Times New Roman" w:hAnsi="Times New Roman" w:cs="Times New Roman"/>
          <w:sz w:val="24"/>
          <w:szCs w:val="24"/>
        </w:rPr>
        <w:t xml:space="preserve">apparaît ainsi comme un terreau </w:t>
      </w:r>
      <w:r w:rsidR="00F87D1E" w:rsidRPr="000915D0">
        <w:rPr>
          <w:rFonts w:ascii="Times New Roman" w:hAnsi="Times New Roman" w:cs="Times New Roman"/>
          <w:sz w:val="24"/>
          <w:szCs w:val="24"/>
        </w:rPr>
        <w:t xml:space="preserve">particulièrement fertile </w:t>
      </w:r>
      <w:r w:rsidR="00013977" w:rsidRPr="000915D0">
        <w:rPr>
          <w:rFonts w:ascii="Times New Roman" w:hAnsi="Times New Roman" w:cs="Times New Roman"/>
          <w:sz w:val="24"/>
          <w:szCs w:val="24"/>
        </w:rPr>
        <w:t xml:space="preserve">pour </w:t>
      </w:r>
      <w:r w:rsidR="00F87D1E" w:rsidRPr="000915D0">
        <w:rPr>
          <w:rFonts w:ascii="Times New Roman" w:hAnsi="Times New Roman" w:cs="Times New Roman"/>
          <w:sz w:val="24"/>
          <w:szCs w:val="24"/>
        </w:rPr>
        <w:t xml:space="preserve">une mobilisation sociale réussie. </w:t>
      </w:r>
      <w:r w:rsidR="00510D22" w:rsidRPr="000915D0">
        <w:rPr>
          <w:rFonts w:ascii="Times New Roman" w:hAnsi="Times New Roman" w:cs="Times New Roman"/>
          <w:sz w:val="24"/>
          <w:szCs w:val="24"/>
        </w:rPr>
        <w:t>Pour la problématique du contrôle des grandes entreprises américaines cotées</w:t>
      </w:r>
      <w:r w:rsidR="00A91A7A" w:rsidRPr="000915D0">
        <w:rPr>
          <w:rFonts w:ascii="Times New Roman" w:hAnsi="Times New Roman" w:cs="Times New Roman"/>
          <w:sz w:val="24"/>
          <w:szCs w:val="24"/>
        </w:rPr>
        <w:t>, l</w:t>
      </w:r>
      <w:r w:rsidR="00D27E10" w:rsidRPr="000915D0">
        <w:rPr>
          <w:rFonts w:ascii="Times New Roman" w:hAnsi="Times New Roman" w:cs="Times New Roman"/>
          <w:sz w:val="24"/>
          <w:szCs w:val="24"/>
        </w:rPr>
        <w:t>’importante</w:t>
      </w:r>
      <w:r w:rsidR="00A91A7A" w:rsidRPr="000915D0">
        <w:rPr>
          <w:rFonts w:ascii="Times New Roman" w:hAnsi="Times New Roman" w:cs="Times New Roman"/>
          <w:sz w:val="24"/>
          <w:szCs w:val="24"/>
        </w:rPr>
        <w:t xml:space="preserve"> vague </w:t>
      </w:r>
      <w:r w:rsidR="00D27E10" w:rsidRPr="000915D0">
        <w:rPr>
          <w:rFonts w:ascii="Times New Roman" w:hAnsi="Times New Roman" w:cs="Times New Roman"/>
          <w:sz w:val="24"/>
          <w:szCs w:val="24"/>
        </w:rPr>
        <w:t xml:space="preserve">des fusions-acquisitions </w:t>
      </w:r>
      <w:r w:rsidR="00DF478A" w:rsidRPr="000915D0">
        <w:rPr>
          <w:rFonts w:ascii="Times New Roman" w:hAnsi="Times New Roman" w:cs="Times New Roman"/>
          <w:sz w:val="24"/>
          <w:szCs w:val="24"/>
        </w:rPr>
        <w:t xml:space="preserve">rendues possibles par l’invention </w:t>
      </w:r>
      <w:r w:rsidR="005D0BF2" w:rsidRPr="000915D0">
        <w:rPr>
          <w:rFonts w:ascii="Times New Roman" w:hAnsi="Times New Roman" w:cs="Times New Roman"/>
          <w:sz w:val="24"/>
          <w:szCs w:val="24"/>
        </w:rPr>
        <w:t>de</w:t>
      </w:r>
      <w:r w:rsidR="00477B5F" w:rsidRPr="000915D0">
        <w:rPr>
          <w:rFonts w:ascii="Times New Roman" w:hAnsi="Times New Roman" w:cs="Times New Roman"/>
          <w:sz w:val="24"/>
          <w:szCs w:val="24"/>
        </w:rPr>
        <w:t xml:space="preserve">s </w:t>
      </w:r>
      <w:r w:rsidR="00477B5F" w:rsidRPr="000915D0">
        <w:rPr>
          <w:rFonts w:ascii="Times New Roman" w:hAnsi="Times New Roman" w:cs="Times New Roman"/>
          <w:i/>
          <w:iCs/>
          <w:sz w:val="24"/>
          <w:szCs w:val="24"/>
        </w:rPr>
        <w:t>junk bonds</w:t>
      </w:r>
      <w:r w:rsidR="00477B5F" w:rsidRPr="000915D0">
        <w:rPr>
          <w:rFonts w:ascii="Times New Roman" w:hAnsi="Times New Roman" w:cs="Times New Roman"/>
          <w:sz w:val="24"/>
          <w:szCs w:val="24"/>
        </w:rPr>
        <w:t xml:space="preserve"> pour le financement des </w:t>
      </w:r>
      <w:r w:rsidR="00F2531A" w:rsidRPr="000915D0">
        <w:rPr>
          <w:rFonts w:ascii="Times New Roman" w:hAnsi="Times New Roman" w:cs="Times New Roman"/>
          <w:sz w:val="24"/>
          <w:szCs w:val="24"/>
        </w:rPr>
        <w:t xml:space="preserve">grandes </w:t>
      </w:r>
      <w:r w:rsidR="00075652" w:rsidRPr="000915D0">
        <w:rPr>
          <w:rFonts w:ascii="Times New Roman" w:hAnsi="Times New Roman" w:cs="Times New Roman"/>
          <w:sz w:val="24"/>
          <w:szCs w:val="24"/>
        </w:rPr>
        <w:t xml:space="preserve">prises de contrôles hostiles dans </w:t>
      </w:r>
      <w:r w:rsidR="00E333E3" w:rsidRPr="000915D0">
        <w:rPr>
          <w:rFonts w:ascii="Times New Roman" w:hAnsi="Times New Roman" w:cs="Times New Roman"/>
          <w:sz w:val="24"/>
          <w:szCs w:val="24"/>
        </w:rPr>
        <w:t xml:space="preserve">le contexte de la forte déréglementation des </w:t>
      </w:r>
      <w:r w:rsidR="00F2531A" w:rsidRPr="000915D0">
        <w:rPr>
          <w:rFonts w:ascii="Times New Roman" w:hAnsi="Times New Roman" w:cs="Times New Roman"/>
          <w:sz w:val="24"/>
          <w:szCs w:val="24"/>
        </w:rPr>
        <w:t xml:space="preserve">années Reagan </w:t>
      </w:r>
      <w:r w:rsidR="00E42162" w:rsidRPr="000915D0">
        <w:rPr>
          <w:rFonts w:ascii="Times New Roman" w:hAnsi="Times New Roman" w:cs="Times New Roman"/>
          <w:sz w:val="24"/>
          <w:szCs w:val="24"/>
        </w:rPr>
        <w:t>aurait constitué une telle rupture</w:t>
      </w:r>
      <w:r w:rsidR="003E4BA1" w:rsidRPr="000915D0">
        <w:rPr>
          <w:rFonts w:ascii="Times New Roman" w:hAnsi="Times New Roman" w:cs="Times New Roman"/>
          <w:sz w:val="24"/>
          <w:szCs w:val="24"/>
        </w:rPr>
        <w:t xml:space="preserve"> et, donc, </w:t>
      </w:r>
      <w:r w:rsidR="00AC4BAB" w:rsidRPr="000915D0">
        <w:rPr>
          <w:rFonts w:ascii="Times New Roman" w:hAnsi="Times New Roman" w:cs="Times New Roman"/>
          <w:sz w:val="24"/>
          <w:szCs w:val="24"/>
        </w:rPr>
        <w:t>un contexte d’opportunité politique particulièrement favorable</w:t>
      </w:r>
      <w:r w:rsidR="001D78A4" w:rsidRPr="000915D0">
        <w:rPr>
          <w:rFonts w:ascii="Times New Roman" w:hAnsi="Times New Roman" w:cs="Times New Roman"/>
          <w:sz w:val="24"/>
          <w:szCs w:val="24"/>
        </w:rPr>
        <w:t xml:space="preserve"> à la mobilisation des actionnaires</w:t>
      </w:r>
      <w:r w:rsidR="00E42162" w:rsidRPr="000915D0">
        <w:rPr>
          <w:rFonts w:ascii="Times New Roman" w:hAnsi="Times New Roman" w:cs="Times New Roman"/>
          <w:sz w:val="24"/>
          <w:szCs w:val="24"/>
        </w:rPr>
        <w:t xml:space="preserve">. </w:t>
      </w:r>
      <w:r w:rsidR="008C5A70" w:rsidRPr="000915D0">
        <w:rPr>
          <w:rFonts w:ascii="Times New Roman" w:hAnsi="Times New Roman" w:cs="Times New Roman"/>
          <w:sz w:val="24"/>
          <w:szCs w:val="24"/>
        </w:rPr>
        <w:t xml:space="preserve">Une deuxième dimension de la mobilisation </w:t>
      </w:r>
      <w:r w:rsidR="00E302A2" w:rsidRPr="000915D0">
        <w:rPr>
          <w:rFonts w:ascii="Times New Roman" w:hAnsi="Times New Roman" w:cs="Times New Roman"/>
          <w:sz w:val="24"/>
          <w:szCs w:val="24"/>
        </w:rPr>
        <w:t xml:space="preserve">concerne les intérêts défendus. </w:t>
      </w:r>
      <w:r w:rsidR="002451D4" w:rsidRPr="000915D0">
        <w:rPr>
          <w:rFonts w:ascii="Times New Roman" w:hAnsi="Times New Roman" w:cs="Times New Roman"/>
          <w:sz w:val="24"/>
          <w:szCs w:val="24"/>
        </w:rPr>
        <w:t>Selon Davis et Thompson (1994</w:t>
      </w:r>
      <w:r w:rsidR="00C537DB" w:rsidRPr="000915D0">
        <w:rPr>
          <w:rFonts w:ascii="Times New Roman" w:hAnsi="Times New Roman" w:cs="Times New Roman"/>
          <w:sz w:val="24"/>
          <w:szCs w:val="24"/>
        </w:rPr>
        <w:t>), l</w:t>
      </w:r>
      <w:r w:rsidR="002451D4" w:rsidRPr="000915D0">
        <w:rPr>
          <w:rFonts w:ascii="Times New Roman" w:hAnsi="Times New Roman" w:cs="Times New Roman"/>
          <w:sz w:val="24"/>
          <w:szCs w:val="24"/>
        </w:rPr>
        <w:t>es intérêts d'un groupe sont définis par les gains et les pertes résultant de son interaction avec d'autres groupes</w:t>
      </w:r>
      <w:r w:rsidR="00C537DB" w:rsidRPr="000915D0">
        <w:rPr>
          <w:rFonts w:ascii="Times New Roman" w:hAnsi="Times New Roman" w:cs="Times New Roman"/>
          <w:sz w:val="24"/>
          <w:szCs w:val="24"/>
        </w:rPr>
        <w:t xml:space="preserve">. </w:t>
      </w:r>
      <w:r w:rsidR="00E302A2" w:rsidRPr="000915D0">
        <w:rPr>
          <w:rFonts w:ascii="Times New Roman" w:hAnsi="Times New Roman" w:cs="Times New Roman"/>
          <w:sz w:val="24"/>
          <w:szCs w:val="24"/>
        </w:rPr>
        <w:t xml:space="preserve">Il faut être en mesure de constituer un front puissant </w:t>
      </w:r>
      <w:r w:rsidR="00974309" w:rsidRPr="000915D0">
        <w:rPr>
          <w:rFonts w:ascii="Times New Roman" w:hAnsi="Times New Roman" w:cs="Times New Roman"/>
          <w:sz w:val="24"/>
          <w:szCs w:val="24"/>
        </w:rPr>
        <w:t xml:space="preserve">défendant des intérêts partagés. </w:t>
      </w:r>
      <w:r w:rsidR="00C551F0" w:rsidRPr="000915D0">
        <w:rPr>
          <w:rFonts w:ascii="Times New Roman" w:hAnsi="Times New Roman" w:cs="Times New Roman"/>
          <w:sz w:val="24"/>
          <w:szCs w:val="24"/>
        </w:rPr>
        <w:t>Or, la mobilisation pour le contrôle actionnarial fut menée par de grands investisseurs institutionnels</w:t>
      </w:r>
      <w:r w:rsidR="004B3903" w:rsidRPr="000915D0">
        <w:rPr>
          <w:rFonts w:ascii="Times New Roman" w:hAnsi="Times New Roman" w:cs="Times New Roman"/>
          <w:sz w:val="24"/>
          <w:szCs w:val="24"/>
        </w:rPr>
        <w:t xml:space="preserve">, </w:t>
      </w:r>
      <w:r w:rsidR="009C6649" w:rsidRPr="000915D0">
        <w:rPr>
          <w:rFonts w:ascii="Times New Roman" w:hAnsi="Times New Roman" w:cs="Times New Roman"/>
          <w:sz w:val="24"/>
          <w:szCs w:val="24"/>
        </w:rPr>
        <w:t xml:space="preserve">représentant une part majeure de l’épargne des </w:t>
      </w:r>
      <w:r w:rsidR="0003514C" w:rsidRPr="000915D0">
        <w:rPr>
          <w:rFonts w:ascii="Times New Roman" w:hAnsi="Times New Roman" w:cs="Times New Roman"/>
          <w:sz w:val="24"/>
          <w:szCs w:val="24"/>
        </w:rPr>
        <w:t xml:space="preserve">ménages </w:t>
      </w:r>
      <w:r w:rsidR="00F156B7" w:rsidRPr="000915D0">
        <w:rPr>
          <w:rFonts w:ascii="Times New Roman" w:hAnsi="Times New Roman" w:cs="Times New Roman"/>
          <w:sz w:val="24"/>
          <w:szCs w:val="24"/>
        </w:rPr>
        <w:t>américains</w:t>
      </w:r>
      <w:r w:rsidR="006E6E31" w:rsidRPr="000915D0">
        <w:rPr>
          <w:rFonts w:ascii="Times New Roman" w:hAnsi="Times New Roman" w:cs="Times New Roman"/>
          <w:sz w:val="24"/>
          <w:szCs w:val="24"/>
        </w:rPr>
        <w:t xml:space="preserve"> (dont les retraites dépendent essentiellement</w:t>
      </w:r>
      <w:r w:rsidR="00C2369E" w:rsidRPr="000915D0">
        <w:rPr>
          <w:rFonts w:ascii="Times New Roman" w:hAnsi="Times New Roman" w:cs="Times New Roman"/>
          <w:sz w:val="24"/>
          <w:szCs w:val="24"/>
        </w:rPr>
        <w:t xml:space="preserve"> des investissements en bourse)</w:t>
      </w:r>
      <w:r w:rsidR="005C287A" w:rsidRPr="000915D0">
        <w:rPr>
          <w:rFonts w:ascii="Times New Roman" w:hAnsi="Times New Roman" w:cs="Times New Roman"/>
          <w:sz w:val="24"/>
          <w:szCs w:val="24"/>
        </w:rPr>
        <w:t xml:space="preserve">, alors que les intérêts </w:t>
      </w:r>
      <w:r w:rsidR="00F1449A" w:rsidRPr="000915D0">
        <w:rPr>
          <w:rFonts w:ascii="Times New Roman" w:hAnsi="Times New Roman" w:cs="Times New Roman"/>
          <w:sz w:val="24"/>
          <w:szCs w:val="24"/>
        </w:rPr>
        <w:t>du patronat américain</w:t>
      </w:r>
      <w:r w:rsidR="00F156B7" w:rsidRPr="000915D0">
        <w:rPr>
          <w:rFonts w:ascii="Times New Roman" w:hAnsi="Times New Roman" w:cs="Times New Roman"/>
          <w:sz w:val="24"/>
          <w:szCs w:val="24"/>
        </w:rPr>
        <w:t>,</w:t>
      </w:r>
      <w:r w:rsidR="00F1449A" w:rsidRPr="000915D0">
        <w:rPr>
          <w:rFonts w:ascii="Times New Roman" w:hAnsi="Times New Roman" w:cs="Times New Roman"/>
          <w:sz w:val="24"/>
          <w:szCs w:val="24"/>
        </w:rPr>
        <w:t xml:space="preserve"> qui aurait pu s’y opposer pour maintenir le capitalisme managérial qui avait domin</w:t>
      </w:r>
      <w:r w:rsidR="004B3903" w:rsidRPr="000915D0">
        <w:rPr>
          <w:rFonts w:ascii="Times New Roman" w:hAnsi="Times New Roman" w:cs="Times New Roman"/>
          <w:sz w:val="24"/>
          <w:szCs w:val="24"/>
        </w:rPr>
        <w:t xml:space="preserve">é </w:t>
      </w:r>
      <w:r w:rsidR="00D32A44" w:rsidRPr="000915D0">
        <w:rPr>
          <w:rFonts w:ascii="Times New Roman" w:hAnsi="Times New Roman" w:cs="Times New Roman"/>
          <w:sz w:val="24"/>
          <w:szCs w:val="24"/>
        </w:rPr>
        <w:t xml:space="preserve">jusque-là, étaient fractionnés. </w:t>
      </w:r>
      <w:r w:rsidR="00BB79E4" w:rsidRPr="000915D0">
        <w:rPr>
          <w:rFonts w:ascii="Times New Roman" w:hAnsi="Times New Roman" w:cs="Times New Roman"/>
          <w:sz w:val="24"/>
          <w:szCs w:val="24"/>
        </w:rPr>
        <w:t>Certains dirigeants profitaient en effet</w:t>
      </w:r>
      <w:r w:rsidR="00724A55" w:rsidRPr="000915D0">
        <w:rPr>
          <w:rFonts w:ascii="Times New Roman" w:hAnsi="Times New Roman" w:cs="Times New Roman"/>
          <w:sz w:val="24"/>
          <w:szCs w:val="24"/>
        </w:rPr>
        <w:t xml:space="preserve"> eux-mêmes</w:t>
      </w:r>
      <w:r w:rsidR="00BB79E4" w:rsidRPr="000915D0">
        <w:rPr>
          <w:rFonts w:ascii="Times New Roman" w:hAnsi="Times New Roman" w:cs="Times New Roman"/>
          <w:sz w:val="24"/>
          <w:szCs w:val="24"/>
        </w:rPr>
        <w:t xml:space="preserve"> de la vague de prise</w:t>
      </w:r>
      <w:r w:rsidR="001C3000" w:rsidRPr="000915D0">
        <w:rPr>
          <w:rFonts w:ascii="Times New Roman" w:hAnsi="Times New Roman" w:cs="Times New Roman"/>
          <w:sz w:val="24"/>
          <w:szCs w:val="24"/>
        </w:rPr>
        <w:t>s</w:t>
      </w:r>
      <w:r w:rsidR="00BB79E4" w:rsidRPr="000915D0">
        <w:rPr>
          <w:rFonts w:ascii="Times New Roman" w:hAnsi="Times New Roman" w:cs="Times New Roman"/>
          <w:sz w:val="24"/>
          <w:szCs w:val="24"/>
        </w:rPr>
        <w:t xml:space="preserve"> de contrôle </w:t>
      </w:r>
      <w:r w:rsidR="0020132D" w:rsidRPr="000915D0">
        <w:rPr>
          <w:rFonts w:ascii="Times New Roman" w:hAnsi="Times New Roman" w:cs="Times New Roman"/>
          <w:sz w:val="24"/>
          <w:szCs w:val="24"/>
        </w:rPr>
        <w:t>promu</w:t>
      </w:r>
      <w:r w:rsidR="00E95891" w:rsidRPr="000915D0">
        <w:rPr>
          <w:rFonts w:ascii="Times New Roman" w:hAnsi="Times New Roman" w:cs="Times New Roman"/>
          <w:sz w:val="24"/>
          <w:szCs w:val="24"/>
        </w:rPr>
        <w:t>e</w:t>
      </w:r>
      <w:r w:rsidR="0020132D" w:rsidRPr="000915D0">
        <w:rPr>
          <w:rFonts w:ascii="Times New Roman" w:hAnsi="Times New Roman" w:cs="Times New Roman"/>
          <w:sz w:val="24"/>
          <w:szCs w:val="24"/>
        </w:rPr>
        <w:t>s par les investisseurs institutionnels</w:t>
      </w:r>
      <w:r w:rsidR="00986BC9" w:rsidRPr="000915D0">
        <w:rPr>
          <w:rFonts w:ascii="Times New Roman" w:hAnsi="Times New Roman" w:cs="Times New Roman"/>
          <w:sz w:val="24"/>
          <w:szCs w:val="24"/>
        </w:rPr>
        <w:t xml:space="preserve"> et faisaient cause commune avec le front actionnarial</w:t>
      </w:r>
      <w:r w:rsidR="00CA1D7C" w:rsidRPr="000915D0">
        <w:rPr>
          <w:rFonts w:ascii="Times New Roman" w:hAnsi="Times New Roman" w:cs="Times New Roman"/>
          <w:sz w:val="24"/>
          <w:szCs w:val="24"/>
        </w:rPr>
        <w:t xml:space="preserve"> constitué des petits porteurs et des investisseurs institutionnels</w:t>
      </w:r>
      <w:r w:rsidR="00292AB4" w:rsidRPr="000915D0">
        <w:rPr>
          <w:rFonts w:ascii="Times New Roman" w:hAnsi="Times New Roman" w:cs="Times New Roman"/>
          <w:sz w:val="24"/>
          <w:szCs w:val="24"/>
        </w:rPr>
        <w:t xml:space="preserve">. Ainsi, le patronat était incapable d’opposer un front uni face à une mobilisation particulièrement </w:t>
      </w:r>
      <w:r w:rsidR="00A56FA6" w:rsidRPr="000915D0">
        <w:rPr>
          <w:rFonts w:ascii="Times New Roman" w:hAnsi="Times New Roman" w:cs="Times New Roman"/>
          <w:sz w:val="24"/>
          <w:szCs w:val="24"/>
        </w:rPr>
        <w:t>dynamique</w:t>
      </w:r>
      <w:r w:rsidR="009D22F3" w:rsidRPr="000915D0">
        <w:rPr>
          <w:rFonts w:ascii="Times New Roman" w:hAnsi="Times New Roman" w:cs="Times New Roman"/>
          <w:sz w:val="24"/>
          <w:szCs w:val="24"/>
        </w:rPr>
        <w:t xml:space="preserve"> des actionnaires provenant de toutes les franges de la population</w:t>
      </w:r>
      <w:r w:rsidR="00A56FA6" w:rsidRPr="000915D0">
        <w:rPr>
          <w:rFonts w:ascii="Times New Roman" w:hAnsi="Times New Roman" w:cs="Times New Roman"/>
          <w:sz w:val="24"/>
          <w:szCs w:val="24"/>
        </w:rPr>
        <w:t xml:space="preserve">. Cette mobilisation </w:t>
      </w:r>
      <w:r w:rsidR="00991FAA" w:rsidRPr="000915D0">
        <w:rPr>
          <w:rFonts w:ascii="Times New Roman" w:hAnsi="Times New Roman" w:cs="Times New Roman"/>
          <w:sz w:val="24"/>
          <w:szCs w:val="24"/>
        </w:rPr>
        <w:t>était ensuite</w:t>
      </w:r>
      <w:r w:rsidR="00701B46" w:rsidRPr="000915D0">
        <w:rPr>
          <w:rFonts w:ascii="Times New Roman" w:hAnsi="Times New Roman" w:cs="Times New Roman"/>
          <w:sz w:val="24"/>
          <w:szCs w:val="24"/>
        </w:rPr>
        <w:t xml:space="preserve"> menée par des acteurs de ce que Davis et Thompson (1994) qualifient de véritable « </w:t>
      </w:r>
      <w:r w:rsidR="00701B46" w:rsidRPr="000915D0">
        <w:rPr>
          <w:rFonts w:ascii="Times New Roman" w:hAnsi="Times New Roman" w:cs="Times New Roman"/>
          <w:i/>
          <w:sz w:val="24"/>
          <w:szCs w:val="24"/>
        </w:rPr>
        <w:t>industrie</w:t>
      </w:r>
      <w:r w:rsidR="00701B46" w:rsidRPr="000915D0">
        <w:rPr>
          <w:rFonts w:ascii="Times New Roman" w:hAnsi="Times New Roman" w:cs="Times New Roman"/>
          <w:sz w:val="24"/>
          <w:szCs w:val="24"/>
        </w:rPr>
        <w:t> » de la mobilisation</w:t>
      </w:r>
      <w:r w:rsidR="00676E13" w:rsidRPr="000915D0">
        <w:rPr>
          <w:rFonts w:ascii="Times New Roman" w:hAnsi="Times New Roman" w:cs="Times New Roman"/>
          <w:sz w:val="24"/>
          <w:szCs w:val="24"/>
        </w:rPr>
        <w:t>. Selon les auteurs, elle se serait constitué</w:t>
      </w:r>
      <w:r w:rsidR="00536308" w:rsidRPr="000915D0">
        <w:rPr>
          <w:rFonts w:ascii="Times New Roman" w:hAnsi="Times New Roman" w:cs="Times New Roman"/>
          <w:sz w:val="24"/>
          <w:szCs w:val="24"/>
        </w:rPr>
        <w:t>e</w:t>
      </w:r>
      <w:r w:rsidR="00676E13" w:rsidRPr="000915D0">
        <w:rPr>
          <w:rFonts w:ascii="Times New Roman" w:hAnsi="Times New Roman" w:cs="Times New Roman"/>
          <w:sz w:val="24"/>
          <w:szCs w:val="24"/>
        </w:rPr>
        <w:t xml:space="preserve"> en peu de temps (environ </w:t>
      </w:r>
      <w:r w:rsidR="00922FF7" w:rsidRPr="000915D0">
        <w:rPr>
          <w:rFonts w:ascii="Times New Roman" w:hAnsi="Times New Roman" w:cs="Times New Roman"/>
          <w:sz w:val="24"/>
          <w:szCs w:val="24"/>
        </w:rPr>
        <w:t>deux</w:t>
      </w:r>
      <w:r w:rsidR="006866E8" w:rsidRPr="000915D0">
        <w:rPr>
          <w:rFonts w:ascii="Times New Roman" w:hAnsi="Times New Roman" w:cs="Times New Roman"/>
          <w:sz w:val="24"/>
          <w:szCs w:val="24"/>
        </w:rPr>
        <w:t xml:space="preserve"> ans) avec l’émergence d’organisations comme ISS (Institutional Shareholder Services</w:t>
      </w:r>
      <w:r w:rsidR="00A070A8" w:rsidRPr="000915D0">
        <w:rPr>
          <w:rFonts w:ascii="Times New Roman" w:hAnsi="Times New Roman" w:cs="Times New Roman"/>
          <w:sz w:val="24"/>
          <w:szCs w:val="24"/>
        </w:rPr>
        <w:t>)</w:t>
      </w:r>
      <w:r w:rsidR="00A0558F" w:rsidRPr="000915D0">
        <w:rPr>
          <w:rFonts w:ascii="Times New Roman" w:hAnsi="Times New Roman" w:cs="Times New Roman"/>
          <w:sz w:val="24"/>
          <w:szCs w:val="24"/>
        </w:rPr>
        <w:t xml:space="preserve"> et des réseaux liés</w:t>
      </w:r>
      <w:r w:rsidR="00A070A8" w:rsidRPr="000915D0">
        <w:rPr>
          <w:rFonts w:ascii="Times New Roman" w:hAnsi="Times New Roman" w:cs="Times New Roman"/>
          <w:sz w:val="24"/>
          <w:szCs w:val="24"/>
        </w:rPr>
        <w:t>, qui aurai</w:t>
      </w:r>
      <w:r w:rsidR="00CC484E" w:rsidRPr="000915D0">
        <w:rPr>
          <w:rFonts w:ascii="Times New Roman" w:hAnsi="Times New Roman" w:cs="Times New Roman"/>
          <w:sz w:val="24"/>
          <w:szCs w:val="24"/>
        </w:rPr>
        <w:t>en</w:t>
      </w:r>
      <w:r w:rsidR="00A070A8" w:rsidRPr="000915D0">
        <w:rPr>
          <w:rFonts w:ascii="Times New Roman" w:hAnsi="Times New Roman" w:cs="Times New Roman"/>
          <w:sz w:val="24"/>
          <w:szCs w:val="24"/>
        </w:rPr>
        <w:t>t permis la formation d’une véritable infrastructure organi</w:t>
      </w:r>
      <w:r w:rsidR="00A0558F" w:rsidRPr="000915D0">
        <w:rPr>
          <w:rFonts w:ascii="Times New Roman" w:hAnsi="Times New Roman" w:cs="Times New Roman"/>
          <w:sz w:val="24"/>
          <w:szCs w:val="24"/>
        </w:rPr>
        <w:t>sationnelle de la mobilisation</w:t>
      </w:r>
      <w:r w:rsidR="00CC484E" w:rsidRPr="000915D0">
        <w:rPr>
          <w:rFonts w:ascii="Times New Roman" w:hAnsi="Times New Roman" w:cs="Times New Roman"/>
          <w:sz w:val="24"/>
          <w:szCs w:val="24"/>
        </w:rPr>
        <w:t xml:space="preserve">. L’existence d’une telle infrastructure est la troisième dimension de la mobilisation sociale réussie. </w:t>
      </w:r>
      <w:r w:rsidR="00221D85" w:rsidRPr="000915D0">
        <w:rPr>
          <w:rFonts w:ascii="Times New Roman" w:hAnsi="Times New Roman" w:cs="Times New Roman"/>
          <w:sz w:val="24"/>
          <w:szCs w:val="24"/>
        </w:rPr>
        <w:t xml:space="preserve">L’infrastructure sociale correspond </w:t>
      </w:r>
      <w:r w:rsidR="000D27F8" w:rsidRPr="000915D0">
        <w:rPr>
          <w:rFonts w:ascii="Times New Roman" w:hAnsi="Times New Roman" w:cs="Times New Roman"/>
          <w:sz w:val="24"/>
          <w:szCs w:val="24"/>
        </w:rPr>
        <w:t>à l’intensité de l</w:t>
      </w:r>
      <w:r w:rsidR="00221D85" w:rsidRPr="000915D0">
        <w:rPr>
          <w:rFonts w:ascii="Times New Roman" w:hAnsi="Times New Roman" w:cs="Times New Roman"/>
          <w:sz w:val="24"/>
          <w:szCs w:val="24"/>
        </w:rPr>
        <w:t xml:space="preserve">'identité commune et de liens sociaux reliant les individus ou les organisations d'un groupe qui affectent </w:t>
      </w:r>
      <w:r w:rsidR="000D27F8" w:rsidRPr="000915D0">
        <w:rPr>
          <w:rFonts w:ascii="Times New Roman" w:hAnsi="Times New Roman" w:cs="Times New Roman"/>
          <w:sz w:val="24"/>
          <w:szCs w:val="24"/>
        </w:rPr>
        <w:t>s</w:t>
      </w:r>
      <w:r w:rsidR="00221D85" w:rsidRPr="000915D0">
        <w:rPr>
          <w:rFonts w:ascii="Times New Roman" w:hAnsi="Times New Roman" w:cs="Times New Roman"/>
          <w:sz w:val="24"/>
          <w:szCs w:val="24"/>
        </w:rPr>
        <w:t>a capacité</w:t>
      </w:r>
      <w:r w:rsidR="00922FF7" w:rsidRPr="000915D0">
        <w:rPr>
          <w:rFonts w:ascii="Times New Roman" w:hAnsi="Times New Roman" w:cs="Times New Roman"/>
          <w:sz w:val="24"/>
          <w:szCs w:val="24"/>
        </w:rPr>
        <w:t xml:space="preserve"> </w:t>
      </w:r>
      <w:r w:rsidR="00221D85" w:rsidRPr="000915D0">
        <w:rPr>
          <w:rFonts w:ascii="Times New Roman" w:hAnsi="Times New Roman" w:cs="Times New Roman"/>
          <w:sz w:val="24"/>
          <w:szCs w:val="24"/>
        </w:rPr>
        <w:t>à agir sur ses intérêts</w:t>
      </w:r>
      <w:r w:rsidR="004051F4" w:rsidRPr="000915D0">
        <w:rPr>
          <w:rFonts w:ascii="Times New Roman" w:hAnsi="Times New Roman" w:cs="Times New Roman"/>
          <w:sz w:val="24"/>
          <w:szCs w:val="24"/>
        </w:rPr>
        <w:t>.</w:t>
      </w:r>
      <w:r w:rsidR="00A359BA" w:rsidRPr="000915D0">
        <w:rPr>
          <w:rFonts w:ascii="Times New Roman" w:hAnsi="Times New Roman" w:cs="Times New Roman"/>
          <w:sz w:val="24"/>
          <w:szCs w:val="24"/>
        </w:rPr>
        <w:t xml:space="preserve"> </w:t>
      </w:r>
      <w:r w:rsidR="00833C74" w:rsidRPr="000915D0">
        <w:rPr>
          <w:rFonts w:ascii="Times New Roman" w:hAnsi="Times New Roman" w:cs="Times New Roman"/>
          <w:sz w:val="24"/>
          <w:szCs w:val="24"/>
        </w:rPr>
        <w:t xml:space="preserve">Enfin, la dynamique concrète du processus de mobilisation dépendant des acteurs </w:t>
      </w:r>
      <w:r w:rsidR="00010C43" w:rsidRPr="000915D0">
        <w:rPr>
          <w:rFonts w:ascii="Times New Roman" w:hAnsi="Times New Roman" w:cs="Times New Roman"/>
          <w:sz w:val="24"/>
          <w:szCs w:val="24"/>
        </w:rPr>
        <w:t>qui s’y engagent</w:t>
      </w:r>
      <w:r w:rsidR="00E65075" w:rsidRPr="000915D0">
        <w:rPr>
          <w:rFonts w:ascii="Times New Roman" w:hAnsi="Times New Roman" w:cs="Times New Roman"/>
          <w:sz w:val="24"/>
          <w:szCs w:val="24"/>
        </w:rPr>
        <w:t>,</w:t>
      </w:r>
      <w:r w:rsidR="00010C43" w:rsidRPr="000915D0">
        <w:rPr>
          <w:rFonts w:ascii="Times New Roman" w:hAnsi="Times New Roman" w:cs="Times New Roman"/>
          <w:sz w:val="24"/>
          <w:szCs w:val="24"/>
        </w:rPr>
        <w:t xml:space="preserve"> avec énergie et conviction</w:t>
      </w:r>
      <w:r w:rsidR="007637D8" w:rsidRPr="000915D0">
        <w:rPr>
          <w:rFonts w:ascii="Times New Roman" w:hAnsi="Times New Roman" w:cs="Times New Roman"/>
          <w:sz w:val="24"/>
          <w:szCs w:val="24"/>
        </w:rPr>
        <w:t>,</w:t>
      </w:r>
      <w:r w:rsidR="00010C43" w:rsidRPr="000915D0">
        <w:rPr>
          <w:rFonts w:ascii="Times New Roman" w:hAnsi="Times New Roman" w:cs="Times New Roman"/>
          <w:sz w:val="24"/>
          <w:szCs w:val="24"/>
        </w:rPr>
        <w:t xml:space="preserve"> constitue la </w:t>
      </w:r>
      <w:r w:rsidR="00CF126A" w:rsidRPr="000915D0">
        <w:rPr>
          <w:rFonts w:ascii="Times New Roman" w:hAnsi="Times New Roman" w:cs="Times New Roman"/>
          <w:sz w:val="24"/>
          <w:szCs w:val="24"/>
        </w:rPr>
        <w:t>quatrième dimension</w:t>
      </w:r>
      <w:r w:rsidR="00B84C8A" w:rsidRPr="000915D0">
        <w:rPr>
          <w:rFonts w:ascii="Times New Roman" w:hAnsi="Times New Roman" w:cs="Times New Roman"/>
          <w:sz w:val="24"/>
          <w:szCs w:val="24"/>
        </w:rPr>
        <w:t xml:space="preserve">. </w:t>
      </w:r>
      <w:r w:rsidR="00942628" w:rsidRPr="000915D0">
        <w:rPr>
          <w:rFonts w:ascii="Times New Roman" w:hAnsi="Times New Roman" w:cs="Times New Roman"/>
          <w:sz w:val="24"/>
          <w:szCs w:val="24"/>
        </w:rPr>
        <w:t>La mobilisation est le processus par lequel un groupe acquiert le contrôle collectif des ressources nécessaires à l'action collective</w:t>
      </w:r>
      <w:r w:rsidR="00457DB5" w:rsidRPr="000915D0">
        <w:rPr>
          <w:rFonts w:ascii="Times New Roman" w:hAnsi="Times New Roman" w:cs="Times New Roman"/>
          <w:sz w:val="24"/>
          <w:szCs w:val="24"/>
        </w:rPr>
        <w:t xml:space="preserve">. </w:t>
      </w:r>
      <w:r w:rsidR="0073787D" w:rsidRPr="000915D0">
        <w:rPr>
          <w:rFonts w:ascii="Times New Roman" w:hAnsi="Times New Roman" w:cs="Times New Roman"/>
          <w:sz w:val="24"/>
          <w:szCs w:val="24"/>
        </w:rPr>
        <w:t>Ainsi, les acteurs de « </w:t>
      </w:r>
      <w:r w:rsidR="0073787D" w:rsidRPr="000915D0">
        <w:rPr>
          <w:rFonts w:ascii="Times New Roman" w:hAnsi="Times New Roman" w:cs="Times New Roman"/>
          <w:i/>
          <w:sz w:val="24"/>
          <w:szCs w:val="24"/>
        </w:rPr>
        <w:t>l’industrie</w:t>
      </w:r>
      <w:r w:rsidR="0073787D" w:rsidRPr="000915D0">
        <w:rPr>
          <w:rFonts w:ascii="Times New Roman" w:hAnsi="Times New Roman" w:cs="Times New Roman"/>
          <w:sz w:val="24"/>
          <w:szCs w:val="24"/>
        </w:rPr>
        <w:t xml:space="preserve"> » de la </w:t>
      </w:r>
      <w:r w:rsidR="0073787D" w:rsidRPr="000915D0">
        <w:rPr>
          <w:rFonts w:ascii="Times New Roman" w:hAnsi="Times New Roman" w:cs="Times New Roman"/>
          <w:sz w:val="24"/>
          <w:szCs w:val="24"/>
        </w:rPr>
        <w:lastRenderedPageBreak/>
        <w:t>mobilisation actionnariale se sont engagés dans un effort de lobbying intense</w:t>
      </w:r>
      <w:r w:rsidR="0067596D" w:rsidRPr="000915D0">
        <w:rPr>
          <w:rFonts w:ascii="Times New Roman" w:hAnsi="Times New Roman" w:cs="Times New Roman"/>
          <w:sz w:val="24"/>
          <w:szCs w:val="24"/>
        </w:rPr>
        <w:t xml:space="preserve"> auprès des différents acteurs politiques et économiques</w:t>
      </w:r>
      <w:r w:rsidR="00CA19E8" w:rsidRPr="000915D0">
        <w:rPr>
          <w:rFonts w:ascii="Times New Roman" w:hAnsi="Times New Roman" w:cs="Times New Roman"/>
          <w:sz w:val="24"/>
          <w:szCs w:val="24"/>
        </w:rPr>
        <w:t>.</w:t>
      </w:r>
    </w:p>
    <w:p w14:paraId="1C7FA9A4" w14:textId="1318F51E" w:rsidR="00DE07BA" w:rsidRPr="00211159" w:rsidRDefault="00FF205C" w:rsidP="0000458E">
      <w:pPr>
        <w:spacing w:line="360" w:lineRule="auto"/>
        <w:jc w:val="both"/>
        <w:rPr>
          <w:rFonts w:ascii="Times New Roman" w:hAnsi="Times New Roman" w:cs="Times New Roman"/>
          <w:b/>
          <w:bCs/>
          <w:sz w:val="24"/>
          <w:szCs w:val="24"/>
        </w:rPr>
      </w:pPr>
      <w:r w:rsidRPr="00211159">
        <w:rPr>
          <w:rFonts w:ascii="Times New Roman" w:hAnsi="Times New Roman" w:cs="Times New Roman"/>
          <w:b/>
          <w:bCs/>
          <w:sz w:val="24"/>
          <w:szCs w:val="24"/>
        </w:rPr>
        <w:t>2</w:t>
      </w:r>
      <w:r w:rsidR="005472EA" w:rsidRPr="00211159">
        <w:rPr>
          <w:rFonts w:ascii="Times New Roman" w:hAnsi="Times New Roman" w:cs="Times New Roman"/>
          <w:b/>
          <w:bCs/>
          <w:sz w:val="24"/>
          <w:szCs w:val="24"/>
        </w:rPr>
        <w:t>. Méthodologie</w:t>
      </w:r>
    </w:p>
    <w:p w14:paraId="4A097090" w14:textId="188AE96D" w:rsidR="00F71A0C" w:rsidRPr="000915D0" w:rsidRDefault="00F71A0C" w:rsidP="0000458E">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L’une des contributions d</w:t>
      </w:r>
      <w:r w:rsidR="00AB1FEF" w:rsidRPr="000915D0">
        <w:rPr>
          <w:rFonts w:ascii="Times New Roman" w:hAnsi="Times New Roman" w:cs="Times New Roman"/>
          <w:sz w:val="24"/>
          <w:szCs w:val="24"/>
        </w:rPr>
        <w:t>u</w:t>
      </w:r>
      <w:r w:rsidRPr="000915D0">
        <w:rPr>
          <w:rFonts w:ascii="Times New Roman" w:hAnsi="Times New Roman" w:cs="Times New Roman"/>
          <w:sz w:val="24"/>
          <w:szCs w:val="24"/>
        </w:rPr>
        <w:t xml:space="preserve"> présent travail est </w:t>
      </w:r>
      <w:r w:rsidR="004257F1" w:rsidRPr="000915D0">
        <w:rPr>
          <w:rFonts w:ascii="Times New Roman" w:hAnsi="Times New Roman" w:cs="Times New Roman"/>
          <w:sz w:val="24"/>
          <w:szCs w:val="24"/>
        </w:rPr>
        <w:t xml:space="preserve">l’examen de la plausibilité de la théorie de la mobilisation </w:t>
      </w:r>
      <w:r w:rsidR="00A74638" w:rsidRPr="000915D0">
        <w:rPr>
          <w:rFonts w:ascii="Times New Roman" w:hAnsi="Times New Roman" w:cs="Times New Roman"/>
          <w:sz w:val="24"/>
          <w:szCs w:val="24"/>
        </w:rPr>
        <w:t>sociale dans d’autres contextes que le capitalisme actionnarial américain</w:t>
      </w:r>
      <w:r w:rsidR="00B01438" w:rsidRPr="000915D0">
        <w:rPr>
          <w:rFonts w:ascii="Times New Roman" w:hAnsi="Times New Roman" w:cs="Times New Roman"/>
          <w:sz w:val="24"/>
          <w:szCs w:val="24"/>
        </w:rPr>
        <w:t xml:space="preserve">. Il s’agit de </w:t>
      </w:r>
      <w:r w:rsidR="00740669" w:rsidRPr="000915D0">
        <w:rPr>
          <w:rFonts w:ascii="Times New Roman" w:hAnsi="Times New Roman" w:cs="Times New Roman"/>
          <w:sz w:val="24"/>
          <w:szCs w:val="24"/>
        </w:rPr>
        <w:t>savoir</w:t>
      </w:r>
      <w:r w:rsidR="00B01438" w:rsidRPr="000915D0">
        <w:rPr>
          <w:rFonts w:ascii="Times New Roman" w:hAnsi="Times New Roman" w:cs="Times New Roman"/>
          <w:sz w:val="24"/>
          <w:szCs w:val="24"/>
        </w:rPr>
        <w:t xml:space="preserve"> si cette théorie possède une portée plus générale </w:t>
      </w:r>
      <w:r w:rsidR="00D723AF" w:rsidRPr="000915D0">
        <w:rPr>
          <w:rFonts w:ascii="Times New Roman" w:hAnsi="Times New Roman" w:cs="Times New Roman"/>
          <w:sz w:val="24"/>
          <w:szCs w:val="24"/>
        </w:rPr>
        <w:t>et nous permet de comprendre l’institutionnalisation</w:t>
      </w:r>
      <w:r w:rsidR="00E8624E" w:rsidRPr="000915D0">
        <w:rPr>
          <w:rFonts w:ascii="Times New Roman" w:hAnsi="Times New Roman" w:cs="Times New Roman"/>
          <w:sz w:val="24"/>
          <w:szCs w:val="24"/>
        </w:rPr>
        <w:t xml:space="preserve"> (ou non)</w:t>
      </w:r>
      <w:r w:rsidR="00D723AF" w:rsidRPr="000915D0">
        <w:rPr>
          <w:rFonts w:ascii="Times New Roman" w:hAnsi="Times New Roman" w:cs="Times New Roman"/>
          <w:sz w:val="24"/>
          <w:szCs w:val="24"/>
        </w:rPr>
        <w:t xml:space="preserve"> d’autres types de systèmes de </w:t>
      </w:r>
      <w:r w:rsidR="0022087C" w:rsidRPr="000915D0">
        <w:rPr>
          <w:rFonts w:ascii="Times New Roman" w:hAnsi="Times New Roman" w:cs="Times New Roman"/>
          <w:sz w:val="24"/>
          <w:szCs w:val="24"/>
        </w:rPr>
        <w:t>gouvernance</w:t>
      </w:r>
      <w:r w:rsidR="00740669" w:rsidRPr="000915D0">
        <w:rPr>
          <w:rFonts w:ascii="Times New Roman" w:hAnsi="Times New Roman" w:cs="Times New Roman"/>
          <w:sz w:val="24"/>
          <w:szCs w:val="24"/>
        </w:rPr>
        <w:t>.</w:t>
      </w:r>
    </w:p>
    <w:p w14:paraId="78DB3D15" w14:textId="48CB252D" w:rsidR="00277166" w:rsidRPr="000915D0" w:rsidRDefault="006B77FD" w:rsidP="0000458E">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 xml:space="preserve">A ce titre, le choix d’une comparaison </w:t>
      </w:r>
      <w:r w:rsidR="00636094" w:rsidRPr="000915D0">
        <w:rPr>
          <w:rFonts w:ascii="Times New Roman" w:hAnsi="Times New Roman" w:cs="Times New Roman"/>
          <w:sz w:val="24"/>
          <w:szCs w:val="24"/>
        </w:rPr>
        <w:t xml:space="preserve">des dynamiques de mobilisation de la France et de l’Allemagne </w:t>
      </w:r>
      <w:r w:rsidR="004303C9" w:rsidRPr="000915D0">
        <w:rPr>
          <w:rFonts w:ascii="Times New Roman" w:hAnsi="Times New Roman" w:cs="Times New Roman"/>
          <w:sz w:val="24"/>
          <w:szCs w:val="24"/>
        </w:rPr>
        <w:t xml:space="preserve">est </w:t>
      </w:r>
      <w:r w:rsidR="004303C9" w:rsidRPr="000915D0">
        <w:rPr>
          <w:rFonts w:ascii="Times New Roman" w:hAnsi="Times New Roman" w:cs="Times New Roman"/>
          <w:i/>
          <w:iCs/>
          <w:sz w:val="24"/>
          <w:szCs w:val="24"/>
        </w:rPr>
        <w:t>a priori</w:t>
      </w:r>
      <w:r w:rsidR="004303C9" w:rsidRPr="000915D0">
        <w:rPr>
          <w:rFonts w:ascii="Times New Roman" w:hAnsi="Times New Roman" w:cs="Times New Roman"/>
          <w:sz w:val="24"/>
          <w:szCs w:val="24"/>
        </w:rPr>
        <w:t xml:space="preserve"> très pertinent pour au moins deux raisons. Prem</w:t>
      </w:r>
      <w:r w:rsidR="00954CD1" w:rsidRPr="000915D0">
        <w:rPr>
          <w:rFonts w:ascii="Times New Roman" w:hAnsi="Times New Roman" w:cs="Times New Roman"/>
          <w:sz w:val="24"/>
          <w:szCs w:val="24"/>
        </w:rPr>
        <w:t>ièrement, la co</w:t>
      </w:r>
      <w:r w:rsidR="00CD1C9F" w:rsidRPr="000915D0">
        <w:rPr>
          <w:rFonts w:ascii="Times New Roman" w:hAnsi="Times New Roman" w:cs="Times New Roman"/>
          <w:sz w:val="24"/>
          <w:szCs w:val="24"/>
        </w:rPr>
        <w:t>déterm</w:t>
      </w:r>
      <w:r w:rsidR="00FF216D" w:rsidRPr="000915D0">
        <w:rPr>
          <w:rFonts w:ascii="Times New Roman" w:hAnsi="Times New Roman" w:cs="Times New Roman"/>
          <w:sz w:val="24"/>
          <w:szCs w:val="24"/>
        </w:rPr>
        <w:t>ination</w:t>
      </w:r>
      <w:r w:rsidR="00954CD1" w:rsidRPr="000915D0">
        <w:rPr>
          <w:rFonts w:ascii="Times New Roman" w:hAnsi="Times New Roman" w:cs="Times New Roman"/>
          <w:sz w:val="24"/>
          <w:szCs w:val="24"/>
        </w:rPr>
        <w:t xml:space="preserve"> paritaire au sein des conseils de surveillance allemands est la plus forte observée à ce jour</w:t>
      </w:r>
      <w:r w:rsidR="004E52A3" w:rsidRPr="000915D0">
        <w:rPr>
          <w:rFonts w:ascii="Times New Roman" w:hAnsi="Times New Roman" w:cs="Times New Roman"/>
          <w:sz w:val="24"/>
          <w:szCs w:val="24"/>
        </w:rPr>
        <w:t>. Aucun autre système de gouvernance national</w:t>
      </w:r>
      <w:r w:rsidR="002B7826" w:rsidRPr="000915D0">
        <w:rPr>
          <w:rFonts w:ascii="Times New Roman" w:hAnsi="Times New Roman" w:cs="Times New Roman"/>
          <w:sz w:val="24"/>
          <w:szCs w:val="24"/>
        </w:rPr>
        <w:t xml:space="preserve"> ne</w:t>
      </w:r>
      <w:r w:rsidR="004E52A3" w:rsidRPr="000915D0">
        <w:rPr>
          <w:rFonts w:ascii="Times New Roman" w:hAnsi="Times New Roman" w:cs="Times New Roman"/>
          <w:sz w:val="24"/>
          <w:szCs w:val="24"/>
        </w:rPr>
        <w:t xml:space="preserve"> </w:t>
      </w:r>
      <w:r w:rsidR="009E31CF" w:rsidRPr="000915D0">
        <w:rPr>
          <w:rFonts w:ascii="Times New Roman" w:hAnsi="Times New Roman" w:cs="Times New Roman"/>
          <w:sz w:val="24"/>
          <w:szCs w:val="24"/>
        </w:rPr>
        <w:t>connaît une représentation</w:t>
      </w:r>
      <w:r w:rsidR="0099683D" w:rsidRPr="000915D0">
        <w:rPr>
          <w:rFonts w:ascii="Times New Roman" w:hAnsi="Times New Roman" w:cs="Times New Roman"/>
          <w:sz w:val="24"/>
          <w:szCs w:val="24"/>
        </w:rPr>
        <w:t xml:space="preserve"> </w:t>
      </w:r>
      <w:r w:rsidR="009E31CF" w:rsidRPr="000915D0">
        <w:rPr>
          <w:rFonts w:ascii="Times New Roman" w:hAnsi="Times New Roman" w:cs="Times New Roman"/>
          <w:sz w:val="24"/>
          <w:szCs w:val="24"/>
        </w:rPr>
        <w:t xml:space="preserve">des salariés dans la même proportion que </w:t>
      </w:r>
      <w:r w:rsidR="003422A9" w:rsidRPr="000915D0">
        <w:rPr>
          <w:rFonts w:ascii="Times New Roman" w:hAnsi="Times New Roman" w:cs="Times New Roman"/>
          <w:sz w:val="24"/>
          <w:szCs w:val="24"/>
        </w:rPr>
        <w:t xml:space="preserve">les actionnaires (50%) dans les grandes sociétés </w:t>
      </w:r>
      <w:r w:rsidR="007F47F3" w:rsidRPr="000915D0">
        <w:rPr>
          <w:rFonts w:ascii="Times New Roman" w:hAnsi="Times New Roman" w:cs="Times New Roman"/>
          <w:sz w:val="24"/>
          <w:szCs w:val="24"/>
        </w:rPr>
        <w:t xml:space="preserve">de capitaux (de plus de 2000 salariés). A ce titre, on peut considérer le système de </w:t>
      </w:r>
      <w:r w:rsidR="00E97C56" w:rsidRPr="000915D0">
        <w:rPr>
          <w:rFonts w:ascii="Times New Roman" w:hAnsi="Times New Roman" w:cs="Times New Roman"/>
          <w:sz w:val="24"/>
          <w:szCs w:val="24"/>
        </w:rPr>
        <w:t>gouvernance</w:t>
      </w:r>
      <w:r w:rsidR="007F47F3" w:rsidRPr="000915D0">
        <w:rPr>
          <w:rFonts w:ascii="Times New Roman" w:hAnsi="Times New Roman" w:cs="Times New Roman"/>
          <w:sz w:val="24"/>
          <w:szCs w:val="24"/>
        </w:rPr>
        <w:t xml:space="preserve"> allemand comm</w:t>
      </w:r>
      <w:r w:rsidR="00E97C56" w:rsidRPr="000915D0">
        <w:rPr>
          <w:rFonts w:ascii="Times New Roman" w:hAnsi="Times New Roman" w:cs="Times New Roman"/>
          <w:sz w:val="24"/>
          <w:szCs w:val="24"/>
        </w:rPr>
        <w:t>e le parfait contre-exemple de la gouvernance actionnariale américaine</w:t>
      </w:r>
      <w:r w:rsidR="00A25166" w:rsidRPr="000915D0">
        <w:rPr>
          <w:rFonts w:ascii="Times New Roman" w:hAnsi="Times New Roman" w:cs="Times New Roman"/>
          <w:sz w:val="24"/>
          <w:szCs w:val="24"/>
        </w:rPr>
        <w:t>. Pour étudier la plausibilité de la théorie de Davis et Thompson</w:t>
      </w:r>
      <w:r w:rsidR="005145E8" w:rsidRPr="000915D0">
        <w:rPr>
          <w:rFonts w:ascii="Times New Roman" w:hAnsi="Times New Roman" w:cs="Times New Roman"/>
          <w:sz w:val="24"/>
          <w:szCs w:val="24"/>
        </w:rPr>
        <w:t xml:space="preserve"> et sa robustesse à l’égard d’un environnement institutionnel différent, ce cas est</w:t>
      </w:r>
      <w:r w:rsidR="00717BD0" w:rsidRPr="000915D0">
        <w:rPr>
          <w:rFonts w:ascii="Times New Roman" w:hAnsi="Times New Roman" w:cs="Times New Roman"/>
          <w:sz w:val="24"/>
          <w:szCs w:val="24"/>
        </w:rPr>
        <w:t xml:space="preserve"> donc</w:t>
      </w:r>
      <w:r w:rsidR="005145E8" w:rsidRPr="000915D0">
        <w:rPr>
          <w:rFonts w:ascii="Times New Roman" w:hAnsi="Times New Roman" w:cs="Times New Roman"/>
          <w:sz w:val="24"/>
          <w:szCs w:val="24"/>
        </w:rPr>
        <w:t xml:space="preserve"> particulièrement intéressant.</w:t>
      </w:r>
      <w:r w:rsidR="004303C9" w:rsidRPr="000915D0">
        <w:rPr>
          <w:rFonts w:ascii="Times New Roman" w:hAnsi="Times New Roman" w:cs="Times New Roman"/>
          <w:sz w:val="24"/>
          <w:szCs w:val="24"/>
        </w:rPr>
        <w:t xml:space="preserve"> </w:t>
      </w:r>
      <w:r w:rsidR="00717BD0" w:rsidRPr="000915D0">
        <w:rPr>
          <w:rFonts w:ascii="Times New Roman" w:hAnsi="Times New Roman" w:cs="Times New Roman"/>
          <w:sz w:val="24"/>
          <w:szCs w:val="24"/>
        </w:rPr>
        <w:t>Deuxièmement,</w:t>
      </w:r>
      <w:r w:rsidR="00A03E3A" w:rsidRPr="000915D0">
        <w:rPr>
          <w:rFonts w:ascii="Times New Roman" w:hAnsi="Times New Roman" w:cs="Times New Roman"/>
          <w:sz w:val="24"/>
          <w:szCs w:val="24"/>
        </w:rPr>
        <w:t xml:space="preserve"> </w:t>
      </w:r>
      <w:r w:rsidR="00070815" w:rsidRPr="000915D0">
        <w:rPr>
          <w:rFonts w:ascii="Times New Roman" w:hAnsi="Times New Roman" w:cs="Times New Roman"/>
          <w:sz w:val="24"/>
          <w:szCs w:val="24"/>
        </w:rPr>
        <w:t xml:space="preserve">selon les théories politistes </w:t>
      </w:r>
      <w:r w:rsidR="00E53E0A" w:rsidRPr="000915D0">
        <w:rPr>
          <w:rFonts w:ascii="Times New Roman" w:hAnsi="Times New Roman" w:cs="Times New Roman"/>
          <w:sz w:val="24"/>
          <w:szCs w:val="24"/>
        </w:rPr>
        <w:t>comme celle de Roe ou juridico-financière</w:t>
      </w:r>
      <w:r w:rsidR="00D515ED" w:rsidRPr="000915D0">
        <w:rPr>
          <w:rFonts w:ascii="Times New Roman" w:hAnsi="Times New Roman" w:cs="Times New Roman"/>
          <w:sz w:val="24"/>
          <w:szCs w:val="24"/>
        </w:rPr>
        <w:t>s</w:t>
      </w:r>
      <w:r w:rsidR="00696D77" w:rsidRPr="000915D0">
        <w:rPr>
          <w:rFonts w:ascii="Times New Roman" w:hAnsi="Times New Roman" w:cs="Times New Roman"/>
          <w:sz w:val="24"/>
          <w:szCs w:val="24"/>
        </w:rPr>
        <w:t xml:space="preserve"> comme celle de La Porta et al., </w:t>
      </w:r>
      <w:r w:rsidR="00AA59F8" w:rsidRPr="000915D0">
        <w:rPr>
          <w:rFonts w:ascii="Times New Roman" w:hAnsi="Times New Roman" w:cs="Times New Roman"/>
          <w:sz w:val="24"/>
          <w:szCs w:val="24"/>
        </w:rPr>
        <w:t>l</w:t>
      </w:r>
      <w:r w:rsidR="00696D77" w:rsidRPr="000915D0">
        <w:rPr>
          <w:rFonts w:ascii="Times New Roman" w:hAnsi="Times New Roman" w:cs="Times New Roman"/>
          <w:sz w:val="24"/>
          <w:szCs w:val="24"/>
        </w:rPr>
        <w:t>a France et l’Allemagne s</w:t>
      </w:r>
      <w:r w:rsidR="002D5A26" w:rsidRPr="000915D0">
        <w:rPr>
          <w:rFonts w:ascii="Times New Roman" w:hAnsi="Times New Roman" w:cs="Times New Roman"/>
          <w:sz w:val="24"/>
          <w:szCs w:val="24"/>
        </w:rPr>
        <w:t>eraie</w:t>
      </w:r>
      <w:r w:rsidR="00696D77" w:rsidRPr="000915D0">
        <w:rPr>
          <w:rFonts w:ascii="Times New Roman" w:hAnsi="Times New Roman" w:cs="Times New Roman"/>
          <w:sz w:val="24"/>
          <w:szCs w:val="24"/>
        </w:rPr>
        <w:t xml:space="preserve">nt très proches </w:t>
      </w:r>
      <w:r w:rsidR="003A6647" w:rsidRPr="000915D0">
        <w:rPr>
          <w:rFonts w:ascii="Times New Roman" w:hAnsi="Times New Roman" w:cs="Times New Roman"/>
          <w:sz w:val="24"/>
          <w:szCs w:val="24"/>
        </w:rPr>
        <w:t xml:space="preserve">(traditions légales de droit civil et classement plutôt à gauche sur les échelles politistes </w:t>
      </w:r>
      <w:r w:rsidR="00F2223C" w:rsidRPr="000915D0">
        <w:rPr>
          <w:rFonts w:ascii="Times New Roman" w:hAnsi="Times New Roman" w:cs="Times New Roman"/>
          <w:sz w:val="24"/>
          <w:szCs w:val="24"/>
        </w:rPr>
        <w:t>utilisées</w:t>
      </w:r>
      <w:r w:rsidR="00AA59F8" w:rsidRPr="000915D0">
        <w:rPr>
          <w:rFonts w:ascii="Times New Roman" w:hAnsi="Times New Roman" w:cs="Times New Roman"/>
          <w:sz w:val="24"/>
          <w:szCs w:val="24"/>
        </w:rPr>
        <w:t>)</w:t>
      </w:r>
      <w:r w:rsidR="00F2223C" w:rsidRPr="000915D0">
        <w:rPr>
          <w:rFonts w:ascii="Times New Roman" w:hAnsi="Times New Roman" w:cs="Times New Roman"/>
          <w:sz w:val="24"/>
          <w:szCs w:val="24"/>
        </w:rPr>
        <w:t xml:space="preserve">. Or, la force de la codétermination des salariés au sein des </w:t>
      </w:r>
      <w:r w:rsidR="00681F33" w:rsidRPr="000915D0">
        <w:rPr>
          <w:rFonts w:ascii="Times New Roman" w:hAnsi="Times New Roman" w:cs="Times New Roman"/>
          <w:sz w:val="24"/>
          <w:szCs w:val="24"/>
        </w:rPr>
        <w:t>conseils n’a jamais atteint le même degré en France qu’en Allemagne. I</w:t>
      </w:r>
      <w:r w:rsidR="002D5A26" w:rsidRPr="000915D0">
        <w:rPr>
          <w:rFonts w:ascii="Times New Roman" w:hAnsi="Times New Roman" w:cs="Times New Roman"/>
          <w:sz w:val="24"/>
          <w:szCs w:val="24"/>
        </w:rPr>
        <w:t>l</w:t>
      </w:r>
      <w:r w:rsidR="00681F33" w:rsidRPr="000915D0">
        <w:rPr>
          <w:rFonts w:ascii="Times New Roman" w:hAnsi="Times New Roman" w:cs="Times New Roman"/>
          <w:sz w:val="24"/>
          <w:szCs w:val="24"/>
        </w:rPr>
        <w:t xml:space="preserve"> parait alors </w:t>
      </w:r>
      <w:r w:rsidR="00681F33" w:rsidRPr="000915D0">
        <w:rPr>
          <w:rFonts w:ascii="Times New Roman" w:hAnsi="Times New Roman" w:cs="Times New Roman"/>
          <w:i/>
          <w:iCs/>
          <w:sz w:val="24"/>
          <w:szCs w:val="24"/>
        </w:rPr>
        <w:t>a priori</w:t>
      </w:r>
      <w:r w:rsidR="00681F33" w:rsidRPr="000915D0">
        <w:rPr>
          <w:rFonts w:ascii="Times New Roman" w:hAnsi="Times New Roman" w:cs="Times New Roman"/>
          <w:sz w:val="24"/>
          <w:szCs w:val="24"/>
        </w:rPr>
        <w:t xml:space="preserve"> </w:t>
      </w:r>
      <w:r w:rsidR="00460D0B" w:rsidRPr="000915D0">
        <w:rPr>
          <w:rFonts w:ascii="Times New Roman" w:hAnsi="Times New Roman" w:cs="Times New Roman"/>
          <w:sz w:val="24"/>
          <w:szCs w:val="24"/>
        </w:rPr>
        <w:t xml:space="preserve">raisonnable d’aller chercher la cause de cette </w:t>
      </w:r>
      <w:r w:rsidR="00AA59F8" w:rsidRPr="000915D0">
        <w:rPr>
          <w:rFonts w:ascii="Times New Roman" w:hAnsi="Times New Roman" w:cs="Times New Roman"/>
          <w:sz w:val="24"/>
          <w:szCs w:val="24"/>
        </w:rPr>
        <w:t>différence</w:t>
      </w:r>
      <w:r w:rsidR="00460D0B" w:rsidRPr="000915D0">
        <w:rPr>
          <w:rFonts w:ascii="Times New Roman" w:hAnsi="Times New Roman" w:cs="Times New Roman"/>
          <w:sz w:val="24"/>
          <w:szCs w:val="24"/>
        </w:rPr>
        <w:t xml:space="preserve">, non pas dans </w:t>
      </w:r>
      <w:r w:rsidR="00A70636" w:rsidRPr="000915D0">
        <w:rPr>
          <w:rFonts w:ascii="Times New Roman" w:hAnsi="Times New Roman" w:cs="Times New Roman"/>
          <w:sz w:val="24"/>
          <w:szCs w:val="24"/>
        </w:rPr>
        <w:t xml:space="preserve">les conditions de départ (qui sont </w:t>
      </w:r>
      <w:r w:rsidR="00AA59F8" w:rsidRPr="000915D0">
        <w:rPr>
          <w:rFonts w:ascii="Times New Roman" w:hAnsi="Times New Roman" w:cs="Times New Roman"/>
          <w:sz w:val="24"/>
          <w:szCs w:val="24"/>
        </w:rPr>
        <w:t>similaires</w:t>
      </w:r>
      <w:r w:rsidR="00A70636" w:rsidRPr="000915D0">
        <w:rPr>
          <w:rFonts w:ascii="Times New Roman" w:hAnsi="Times New Roman" w:cs="Times New Roman"/>
          <w:sz w:val="24"/>
          <w:szCs w:val="24"/>
        </w:rPr>
        <w:t>), mais dans des différences des processus de mobilisation concrets</w:t>
      </w:r>
      <w:r w:rsidR="00196BF4" w:rsidRPr="000915D0">
        <w:rPr>
          <w:rFonts w:ascii="Times New Roman" w:hAnsi="Times New Roman" w:cs="Times New Roman"/>
          <w:sz w:val="24"/>
          <w:szCs w:val="24"/>
        </w:rPr>
        <w:t xml:space="preserve"> </w:t>
      </w:r>
      <w:r w:rsidR="004E463B" w:rsidRPr="000915D0">
        <w:rPr>
          <w:rFonts w:ascii="Times New Roman" w:hAnsi="Times New Roman" w:cs="Times New Roman"/>
          <w:sz w:val="24"/>
          <w:szCs w:val="24"/>
        </w:rPr>
        <w:t xml:space="preserve">et des acteurs </w:t>
      </w:r>
      <w:r w:rsidR="00196BF4" w:rsidRPr="000915D0">
        <w:rPr>
          <w:rFonts w:ascii="Times New Roman" w:hAnsi="Times New Roman" w:cs="Times New Roman"/>
          <w:sz w:val="24"/>
          <w:szCs w:val="24"/>
        </w:rPr>
        <w:t>ayant milité pour la codétermination</w:t>
      </w:r>
      <w:r w:rsidR="0067719A" w:rsidRPr="000915D0">
        <w:rPr>
          <w:rFonts w:ascii="Times New Roman" w:hAnsi="Times New Roman" w:cs="Times New Roman"/>
          <w:sz w:val="24"/>
          <w:szCs w:val="24"/>
        </w:rPr>
        <w:t>, en s’appuyant sur des leviers particuliers</w:t>
      </w:r>
      <w:r w:rsidR="00196BF4" w:rsidRPr="000915D0">
        <w:rPr>
          <w:rFonts w:ascii="Times New Roman" w:hAnsi="Times New Roman" w:cs="Times New Roman"/>
          <w:sz w:val="24"/>
          <w:szCs w:val="24"/>
        </w:rPr>
        <w:t xml:space="preserve">. </w:t>
      </w:r>
    </w:p>
    <w:p w14:paraId="5C861FDC" w14:textId="042EB6E1" w:rsidR="00674A3E" w:rsidRPr="000915D0" w:rsidRDefault="0067719A" w:rsidP="0000458E">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 xml:space="preserve">Pour </w:t>
      </w:r>
      <w:r w:rsidR="00491799" w:rsidRPr="000915D0">
        <w:rPr>
          <w:rFonts w:ascii="Times New Roman" w:hAnsi="Times New Roman" w:cs="Times New Roman"/>
          <w:sz w:val="24"/>
          <w:szCs w:val="24"/>
        </w:rPr>
        <w:t>réaliser</w:t>
      </w:r>
      <w:r w:rsidRPr="000915D0">
        <w:rPr>
          <w:rFonts w:ascii="Times New Roman" w:hAnsi="Times New Roman" w:cs="Times New Roman"/>
          <w:sz w:val="24"/>
          <w:szCs w:val="24"/>
        </w:rPr>
        <w:t xml:space="preserve"> </w:t>
      </w:r>
      <w:r w:rsidR="00491799" w:rsidRPr="000915D0">
        <w:rPr>
          <w:rFonts w:ascii="Times New Roman" w:hAnsi="Times New Roman" w:cs="Times New Roman"/>
          <w:sz w:val="24"/>
          <w:szCs w:val="24"/>
        </w:rPr>
        <w:t>c</w:t>
      </w:r>
      <w:r w:rsidRPr="000915D0">
        <w:rPr>
          <w:rFonts w:ascii="Times New Roman" w:hAnsi="Times New Roman" w:cs="Times New Roman"/>
          <w:sz w:val="24"/>
          <w:szCs w:val="24"/>
        </w:rPr>
        <w:t>e travail</w:t>
      </w:r>
      <w:r w:rsidR="00491799" w:rsidRPr="000915D0">
        <w:rPr>
          <w:rFonts w:ascii="Times New Roman" w:hAnsi="Times New Roman" w:cs="Times New Roman"/>
          <w:sz w:val="24"/>
          <w:szCs w:val="24"/>
        </w:rPr>
        <w:t>, nous avons eu recours à des sources historiques</w:t>
      </w:r>
      <w:r w:rsidR="00613CAC" w:rsidRPr="000915D0">
        <w:rPr>
          <w:rFonts w:ascii="Times New Roman" w:hAnsi="Times New Roman" w:cs="Times New Roman"/>
          <w:sz w:val="24"/>
          <w:szCs w:val="24"/>
        </w:rPr>
        <w:t xml:space="preserve"> concernant chacun des deux pays</w:t>
      </w:r>
      <w:r w:rsidR="004C135B" w:rsidRPr="000915D0">
        <w:rPr>
          <w:rFonts w:ascii="Times New Roman" w:hAnsi="Times New Roman" w:cs="Times New Roman"/>
          <w:sz w:val="24"/>
          <w:szCs w:val="24"/>
        </w:rPr>
        <w:t>. Ceux-ci</w:t>
      </w:r>
      <w:r w:rsidR="00A053FA" w:rsidRPr="000915D0">
        <w:rPr>
          <w:rFonts w:ascii="Times New Roman" w:hAnsi="Times New Roman" w:cs="Times New Roman"/>
          <w:sz w:val="24"/>
          <w:szCs w:val="24"/>
        </w:rPr>
        <w:t xml:space="preserve"> nous permettent de retracer l’histoire de la cogestion sur </w:t>
      </w:r>
      <w:r w:rsidR="008F3399" w:rsidRPr="000915D0">
        <w:rPr>
          <w:rFonts w:ascii="Times New Roman" w:hAnsi="Times New Roman" w:cs="Times New Roman"/>
          <w:sz w:val="24"/>
          <w:szCs w:val="24"/>
        </w:rPr>
        <w:t xml:space="preserve">une période totale qui débute à la fin de la seconde guerre mondiale et qui s’étend </w:t>
      </w:r>
      <w:r w:rsidR="00950EB8" w:rsidRPr="000915D0">
        <w:rPr>
          <w:rFonts w:ascii="Times New Roman" w:hAnsi="Times New Roman" w:cs="Times New Roman"/>
          <w:sz w:val="24"/>
          <w:szCs w:val="24"/>
        </w:rPr>
        <w:t xml:space="preserve">jusqu’à la deuxième décennie du présent millénaire. </w:t>
      </w:r>
      <w:r w:rsidR="00BB05A6" w:rsidRPr="000915D0">
        <w:rPr>
          <w:rFonts w:ascii="Times New Roman" w:hAnsi="Times New Roman" w:cs="Times New Roman"/>
          <w:sz w:val="24"/>
          <w:szCs w:val="24"/>
        </w:rPr>
        <w:t>Pour analyser l</w:t>
      </w:r>
      <w:r w:rsidR="00570A1C" w:rsidRPr="000915D0">
        <w:rPr>
          <w:rFonts w:ascii="Times New Roman" w:hAnsi="Times New Roman" w:cs="Times New Roman"/>
          <w:sz w:val="24"/>
          <w:szCs w:val="24"/>
        </w:rPr>
        <w:t>a dynamique institutionnelle des systèmes de gouvernance respectifs, nous avons découpé la période globale en quatre sous-périodes, qui marquent chacune</w:t>
      </w:r>
      <w:r w:rsidR="000369DA" w:rsidRPr="000915D0">
        <w:rPr>
          <w:rFonts w:ascii="Times New Roman" w:hAnsi="Times New Roman" w:cs="Times New Roman"/>
          <w:sz w:val="24"/>
          <w:szCs w:val="24"/>
        </w:rPr>
        <w:t xml:space="preserve"> un contexte d’opportunité politique particulier.</w:t>
      </w:r>
    </w:p>
    <w:p w14:paraId="3D753C12" w14:textId="64AA8EB2" w:rsidR="009C7451" w:rsidRPr="000915D0" w:rsidRDefault="00674A3E" w:rsidP="0000458E">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Les</w:t>
      </w:r>
      <w:r w:rsidR="00491799" w:rsidRPr="000915D0">
        <w:rPr>
          <w:rFonts w:ascii="Times New Roman" w:hAnsi="Times New Roman" w:cs="Times New Roman"/>
          <w:sz w:val="24"/>
          <w:szCs w:val="24"/>
        </w:rPr>
        <w:t xml:space="preserve"> </w:t>
      </w:r>
      <w:r w:rsidRPr="000915D0">
        <w:rPr>
          <w:rFonts w:ascii="Times New Roman" w:hAnsi="Times New Roman" w:cs="Times New Roman"/>
          <w:sz w:val="24"/>
          <w:szCs w:val="24"/>
        </w:rPr>
        <w:t>s</w:t>
      </w:r>
      <w:r w:rsidR="009C7451" w:rsidRPr="000915D0">
        <w:rPr>
          <w:rFonts w:ascii="Times New Roman" w:hAnsi="Times New Roman" w:cs="Times New Roman"/>
          <w:sz w:val="24"/>
          <w:szCs w:val="24"/>
        </w:rPr>
        <w:t>ources allemandes</w:t>
      </w:r>
      <w:r w:rsidRPr="000915D0">
        <w:rPr>
          <w:rFonts w:ascii="Times New Roman" w:hAnsi="Times New Roman" w:cs="Times New Roman"/>
          <w:sz w:val="24"/>
          <w:szCs w:val="24"/>
        </w:rPr>
        <w:t xml:space="preserve"> interrogées sont les suivantes</w:t>
      </w:r>
      <w:r w:rsidR="009C7451" w:rsidRPr="000915D0">
        <w:rPr>
          <w:rFonts w:ascii="Times New Roman" w:hAnsi="Times New Roman" w:cs="Times New Roman"/>
          <w:sz w:val="24"/>
          <w:szCs w:val="24"/>
        </w:rPr>
        <w:t> :</w:t>
      </w:r>
      <w:r w:rsidR="0029190C" w:rsidRPr="000915D0">
        <w:rPr>
          <w:rFonts w:ascii="Times New Roman" w:hAnsi="Times New Roman" w:cs="Times New Roman"/>
          <w:sz w:val="24"/>
          <w:szCs w:val="24"/>
        </w:rPr>
        <w:t xml:space="preserve"> biographies</w:t>
      </w:r>
      <w:r w:rsidR="00F86580" w:rsidRPr="000915D0">
        <w:rPr>
          <w:rFonts w:ascii="Times New Roman" w:hAnsi="Times New Roman" w:cs="Times New Roman"/>
          <w:sz w:val="24"/>
          <w:szCs w:val="24"/>
        </w:rPr>
        <w:t> :</w:t>
      </w:r>
      <w:r w:rsidR="0029190C" w:rsidRPr="000915D0">
        <w:rPr>
          <w:rFonts w:ascii="Times New Roman" w:hAnsi="Times New Roman" w:cs="Times New Roman"/>
          <w:sz w:val="24"/>
          <w:szCs w:val="24"/>
        </w:rPr>
        <w:t xml:space="preserve"> </w:t>
      </w:r>
      <w:r w:rsidR="00A7086D" w:rsidRPr="000915D0">
        <w:rPr>
          <w:rFonts w:ascii="Times New Roman" w:hAnsi="Times New Roman" w:cs="Times New Roman"/>
          <w:sz w:val="24"/>
          <w:szCs w:val="24"/>
        </w:rPr>
        <w:t>Adenauer (1965), Lauschke (2005), Mertsching (2006) ;</w:t>
      </w:r>
      <w:r w:rsidR="0029190C" w:rsidRPr="000915D0">
        <w:rPr>
          <w:rFonts w:ascii="Times New Roman" w:hAnsi="Times New Roman" w:cs="Times New Roman"/>
          <w:sz w:val="24"/>
          <w:szCs w:val="24"/>
        </w:rPr>
        <w:t xml:space="preserve"> prises de position et témoignages des acteurs de l’époque </w:t>
      </w:r>
      <w:r w:rsidR="0029190C" w:rsidRPr="000915D0">
        <w:rPr>
          <w:rFonts w:ascii="Times New Roman" w:hAnsi="Times New Roman" w:cs="Times New Roman"/>
          <w:sz w:val="24"/>
          <w:szCs w:val="24"/>
        </w:rPr>
        <w:lastRenderedPageBreak/>
        <w:t>et de leurs observateurs</w:t>
      </w:r>
      <w:r w:rsidR="00072D3D" w:rsidRPr="000915D0">
        <w:rPr>
          <w:rFonts w:ascii="Times New Roman" w:hAnsi="Times New Roman" w:cs="Times New Roman"/>
          <w:sz w:val="24"/>
          <w:szCs w:val="24"/>
        </w:rPr>
        <w:t> :</w:t>
      </w:r>
      <w:r w:rsidR="0029190C" w:rsidRPr="000915D0">
        <w:rPr>
          <w:rFonts w:ascii="Times New Roman" w:hAnsi="Times New Roman" w:cs="Times New Roman"/>
          <w:sz w:val="24"/>
          <w:szCs w:val="24"/>
        </w:rPr>
        <w:t xml:space="preserve"> </w:t>
      </w:r>
      <w:r w:rsidR="00072D3D" w:rsidRPr="000915D0">
        <w:rPr>
          <w:rFonts w:ascii="Times New Roman" w:hAnsi="Times New Roman" w:cs="Times New Roman"/>
          <w:sz w:val="24"/>
          <w:szCs w:val="24"/>
        </w:rPr>
        <w:t>Deus (1950), Hengsbach et al. (1990), Krämer (2000), Langner (1980), Müller-Armack (1948), Potthoff (1955), Rauscher (1968), Raymond (1954), von Nell-Breuning (1968) ;</w:t>
      </w:r>
      <w:r w:rsidR="0029190C" w:rsidRPr="000915D0">
        <w:rPr>
          <w:rFonts w:ascii="Times New Roman" w:hAnsi="Times New Roman" w:cs="Times New Roman"/>
          <w:sz w:val="24"/>
          <w:szCs w:val="24"/>
        </w:rPr>
        <w:t xml:space="preserve"> </w:t>
      </w:r>
      <w:r w:rsidR="00A6574E" w:rsidRPr="000915D0">
        <w:rPr>
          <w:rFonts w:ascii="Times New Roman" w:hAnsi="Times New Roman" w:cs="Times New Roman"/>
          <w:sz w:val="24"/>
          <w:szCs w:val="24"/>
        </w:rPr>
        <w:t>édition de sources</w:t>
      </w:r>
      <w:r w:rsidR="004C4A86" w:rsidRPr="000915D0">
        <w:rPr>
          <w:rFonts w:ascii="Times New Roman" w:hAnsi="Times New Roman" w:cs="Times New Roman"/>
          <w:sz w:val="24"/>
          <w:szCs w:val="24"/>
        </w:rPr>
        <w:t xml:space="preserve"> : </w:t>
      </w:r>
      <w:r w:rsidR="00E343FD" w:rsidRPr="000915D0">
        <w:rPr>
          <w:rFonts w:ascii="Times New Roman" w:hAnsi="Times New Roman" w:cs="Times New Roman"/>
          <w:sz w:val="24"/>
          <w:szCs w:val="24"/>
        </w:rPr>
        <w:t>Müller-List</w:t>
      </w:r>
      <w:r w:rsidR="00225281" w:rsidRPr="000915D0">
        <w:rPr>
          <w:rFonts w:ascii="Times New Roman" w:hAnsi="Times New Roman" w:cs="Times New Roman"/>
          <w:sz w:val="24"/>
          <w:szCs w:val="24"/>
        </w:rPr>
        <w:t xml:space="preserve"> (</w:t>
      </w:r>
      <w:r w:rsidR="008E387B" w:rsidRPr="000915D0">
        <w:rPr>
          <w:rFonts w:ascii="Times New Roman" w:hAnsi="Times New Roman" w:cs="Times New Roman"/>
          <w:sz w:val="24"/>
          <w:szCs w:val="24"/>
        </w:rPr>
        <w:t xml:space="preserve">1984) ; </w:t>
      </w:r>
      <w:r w:rsidR="0029190C" w:rsidRPr="000915D0">
        <w:rPr>
          <w:rFonts w:ascii="Times New Roman" w:hAnsi="Times New Roman" w:cs="Times New Roman"/>
          <w:sz w:val="24"/>
          <w:szCs w:val="24"/>
        </w:rPr>
        <w:t>encyclique sociale Quadragesimo anno</w:t>
      </w:r>
      <w:r w:rsidR="00EC44A4" w:rsidRPr="000915D0">
        <w:rPr>
          <w:rFonts w:ascii="Times New Roman" w:hAnsi="Times New Roman" w:cs="Times New Roman"/>
          <w:sz w:val="24"/>
          <w:szCs w:val="24"/>
        </w:rPr>
        <w:t> ; rapports Biedenkopf (1970 et 2006</w:t>
      </w:r>
      <w:r w:rsidR="00D95CFF" w:rsidRPr="000915D0">
        <w:rPr>
          <w:rFonts w:ascii="Times New Roman" w:hAnsi="Times New Roman" w:cs="Times New Roman"/>
          <w:sz w:val="24"/>
          <w:szCs w:val="24"/>
        </w:rPr>
        <w:t>)</w:t>
      </w:r>
      <w:r w:rsidR="0029190C" w:rsidRPr="000915D0">
        <w:rPr>
          <w:rFonts w:ascii="Times New Roman" w:hAnsi="Times New Roman" w:cs="Times New Roman"/>
          <w:sz w:val="24"/>
          <w:szCs w:val="24"/>
        </w:rPr>
        <w:t>. Les documents, en allemand pour la plupart, ont fait l’objet d’une analyse thématique systématique selon les quatre dimensions de la mobilisation proposées par Davis et Thompson (1994)</w:t>
      </w:r>
      <w:r w:rsidR="00A02B25" w:rsidRPr="000915D0">
        <w:rPr>
          <w:rFonts w:ascii="Times New Roman" w:hAnsi="Times New Roman" w:cs="Times New Roman"/>
          <w:sz w:val="24"/>
          <w:szCs w:val="24"/>
        </w:rPr>
        <w:t>.</w:t>
      </w:r>
    </w:p>
    <w:p w14:paraId="7C077470" w14:textId="7B649280" w:rsidR="009C7451" w:rsidRPr="000915D0" w:rsidRDefault="001B1690" w:rsidP="0000458E">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Les s</w:t>
      </w:r>
      <w:r w:rsidR="009C7451" w:rsidRPr="000915D0">
        <w:rPr>
          <w:rFonts w:ascii="Times New Roman" w:hAnsi="Times New Roman" w:cs="Times New Roman"/>
          <w:sz w:val="24"/>
          <w:szCs w:val="24"/>
        </w:rPr>
        <w:t>ources françaises : ouvrages (Desbuquois et Bigo, 1946 ; Bacon, 1949 ; Bloch-Lainé, 1963, Rosanvallon, 1976 ; Beffa et Clerc, 2013)</w:t>
      </w:r>
      <w:r w:rsidR="00977E1A" w:rsidRPr="000915D0">
        <w:rPr>
          <w:rFonts w:ascii="Times New Roman" w:hAnsi="Times New Roman" w:cs="Times New Roman"/>
          <w:sz w:val="24"/>
          <w:szCs w:val="24"/>
        </w:rPr>
        <w:t>,</w:t>
      </w:r>
      <w:r w:rsidR="009C7451" w:rsidRPr="000915D0">
        <w:rPr>
          <w:rFonts w:ascii="Times New Roman" w:hAnsi="Times New Roman" w:cs="Times New Roman"/>
          <w:sz w:val="24"/>
          <w:szCs w:val="24"/>
        </w:rPr>
        <w:t xml:space="preserve"> des rapports officiels au gouvernement (Lasserre, 1950 ; Sudreau, 1975 ; Auroux, 1981 ; Balligand et De Foucault, 2000 ; Cornut-Gentille et Godfrain, 2005 ; Gallois, 2012 ; Notat et Sénard, 2018 ; Frerot et Hurstel, 2018) et plus d’une dizaine de lois et règlements.</w:t>
      </w:r>
      <w:r w:rsidR="00977E1A" w:rsidRPr="000915D0">
        <w:rPr>
          <w:rFonts w:ascii="Times New Roman" w:hAnsi="Times New Roman" w:cs="Times New Roman"/>
          <w:sz w:val="24"/>
          <w:szCs w:val="24"/>
        </w:rPr>
        <w:t xml:space="preserve"> Ces sources ont également été codées selon le cadre de Davis et Thompson. Les résultats de ce codage </w:t>
      </w:r>
      <w:r w:rsidR="00472C15" w:rsidRPr="000915D0">
        <w:rPr>
          <w:rFonts w:ascii="Times New Roman" w:hAnsi="Times New Roman" w:cs="Times New Roman"/>
          <w:sz w:val="24"/>
          <w:szCs w:val="24"/>
        </w:rPr>
        <w:t>sont résumés en annexe.</w:t>
      </w:r>
    </w:p>
    <w:p w14:paraId="2E8DE389" w14:textId="422F2030" w:rsidR="005472EA" w:rsidRPr="000915D0" w:rsidRDefault="005472EA" w:rsidP="0000458E">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 xml:space="preserve">Le cadre </w:t>
      </w:r>
      <w:r w:rsidR="00C7219B" w:rsidRPr="000915D0">
        <w:rPr>
          <w:rFonts w:ascii="Times New Roman" w:hAnsi="Times New Roman" w:cs="Times New Roman"/>
          <w:sz w:val="24"/>
          <w:szCs w:val="24"/>
        </w:rPr>
        <w:t>théorique de la mobilisation sociale d’après Davis et Thompson</w:t>
      </w:r>
      <w:r w:rsidR="00574013" w:rsidRPr="000915D0">
        <w:rPr>
          <w:rFonts w:ascii="Times New Roman" w:hAnsi="Times New Roman" w:cs="Times New Roman"/>
          <w:sz w:val="24"/>
          <w:szCs w:val="24"/>
        </w:rPr>
        <w:t xml:space="preserve"> (1994)</w:t>
      </w:r>
      <w:r w:rsidR="00A956A7" w:rsidRPr="000915D0">
        <w:rPr>
          <w:rFonts w:ascii="Times New Roman" w:hAnsi="Times New Roman" w:cs="Times New Roman"/>
          <w:sz w:val="24"/>
          <w:szCs w:val="24"/>
        </w:rPr>
        <w:t xml:space="preserve">, </w:t>
      </w:r>
      <w:r w:rsidR="00574013" w:rsidRPr="000915D0">
        <w:rPr>
          <w:rFonts w:ascii="Times New Roman" w:hAnsi="Times New Roman" w:cs="Times New Roman"/>
          <w:sz w:val="24"/>
          <w:szCs w:val="24"/>
        </w:rPr>
        <w:t>nous sert</w:t>
      </w:r>
      <w:r w:rsidR="00472C15" w:rsidRPr="000915D0">
        <w:rPr>
          <w:rFonts w:ascii="Times New Roman" w:hAnsi="Times New Roman" w:cs="Times New Roman"/>
          <w:sz w:val="24"/>
          <w:szCs w:val="24"/>
        </w:rPr>
        <w:t xml:space="preserve"> alors</w:t>
      </w:r>
      <w:r w:rsidR="007C2B3C" w:rsidRPr="000915D0">
        <w:rPr>
          <w:rFonts w:ascii="Times New Roman" w:hAnsi="Times New Roman" w:cs="Times New Roman"/>
          <w:sz w:val="24"/>
          <w:szCs w:val="24"/>
        </w:rPr>
        <w:t xml:space="preserve"> de grille herméneutique pour l’interprétation structurée </w:t>
      </w:r>
      <w:r w:rsidR="003B2C85" w:rsidRPr="000915D0">
        <w:rPr>
          <w:rFonts w:ascii="Times New Roman" w:hAnsi="Times New Roman" w:cs="Times New Roman"/>
          <w:sz w:val="24"/>
          <w:szCs w:val="24"/>
        </w:rPr>
        <w:t>de</w:t>
      </w:r>
      <w:r w:rsidR="00471DD1" w:rsidRPr="000915D0">
        <w:rPr>
          <w:rFonts w:ascii="Times New Roman" w:hAnsi="Times New Roman" w:cs="Times New Roman"/>
          <w:sz w:val="24"/>
          <w:szCs w:val="24"/>
        </w:rPr>
        <w:t xml:space="preserve"> ce</w:t>
      </w:r>
      <w:r w:rsidR="003B2C85" w:rsidRPr="000915D0">
        <w:rPr>
          <w:rFonts w:ascii="Times New Roman" w:hAnsi="Times New Roman" w:cs="Times New Roman"/>
          <w:sz w:val="24"/>
          <w:szCs w:val="24"/>
        </w:rPr>
        <w:t>s sources</w:t>
      </w:r>
      <w:r w:rsidR="00515947" w:rsidRPr="000915D0">
        <w:rPr>
          <w:rFonts w:ascii="Times New Roman" w:hAnsi="Times New Roman" w:cs="Times New Roman"/>
          <w:sz w:val="24"/>
          <w:szCs w:val="24"/>
        </w:rPr>
        <w:t>.</w:t>
      </w:r>
      <w:r w:rsidR="007128A5" w:rsidRPr="000915D0">
        <w:rPr>
          <w:rFonts w:ascii="Times New Roman" w:hAnsi="Times New Roman" w:cs="Times New Roman"/>
          <w:sz w:val="24"/>
          <w:szCs w:val="24"/>
        </w:rPr>
        <w:t xml:space="preserve"> </w:t>
      </w:r>
      <w:r w:rsidR="0061415D" w:rsidRPr="000915D0">
        <w:rPr>
          <w:rFonts w:ascii="Times New Roman" w:hAnsi="Times New Roman" w:cs="Times New Roman"/>
          <w:sz w:val="24"/>
          <w:szCs w:val="24"/>
        </w:rPr>
        <w:t>Pour rappel, i</w:t>
      </w:r>
      <w:r w:rsidR="00D84110" w:rsidRPr="000915D0">
        <w:rPr>
          <w:rFonts w:ascii="Times New Roman" w:hAnsi="Times New Roman" w:cs="Times New Roman"/>
          <w:sz w:val="24"/>
          <w:szCs w:val="24"/>
        </w:rPr>
        <w:t xml:space="preserve">l comporte quatre dimensions de la mobilisation, </w:t>
      </w:r>
      <w:r w:rsidR="00DA24D9" w:rsidRPr="000915D0">
        <w:rPr>
          <w:rFonts w:ascii="Times New Roman" w:hAnsi="Times New Roman" w:cs="Times New Roman"/>
          <w:sz w:val="24"/>
          <w:szCs w:val="24"/>
        </w:rPr>
        <w:t>dont la présence ou l’absence a été systématiquement repéré</w:t>
      </w:r>
      <w:r w:rsidR="0061415D" w:rsidRPr="000915D0">
        <w:rPr>
          <w:rFonts w:ascii="Times New Roman" w:hAnsi="Times New Roman" w:cs="Times New Roman"/>
          <w:sz w:val="24"/>
          <w:szCs w:val="24"/>
        </w:rPr>
        <w:t>e</w:t>
      </w:r>
      <w:r w:rsidR="00DA24D9" w:rsidRPr="000915D0">
        <w:rPr>
          <w:rFonts w:ascii="Times New Roman" w:hAnsi="Times New Roman" w:cs="Times New Roman"/>
          <w:sz w:val="24"/>
          <w:szCs w:val="24"/>
        </w:rPr>
        <w:t xml:space="preserve"> dans l’ensemble des sources traité</w:t>
      </w:r>
      <w:r w:rsidR="0061415D" w:rsidRPr="000915D0">
        <w:rPr>
          <w:rFonts w:ascii="Times New Roman" w:hAnsi="Times New Roman" w:cs="Times New Roman"/>
          <w:sz w:val="24"/>
          <w:szCs w:val="24"/>
        </w:rPr>
        <w:t>e</w:t>
      </w:r>
      <w:r w:rsidR="00DA24D9" w:rsidRPr="000915D0">
        <w:rPr>
          <w:rFonts w:ascii="Times New Roman" w:hAnsi="Times New Roman" w:cs="Times New Roman"/>
          <w:sz w:val="24"/>
          <w:szCs w:val="24"/>
        </w:rPr>
        <w:t>s</w:t>
      </w:r>
      <w:r w:rsidR="00C26976" w:rsidRPr="000915D0">
        <w:rPr>
          <w:rFonts w:ascii="Times New Roman" w:hAnsi="Times New Roman" w:cs="Times New Roman"/>
          <w:sz w:val="24"/>
          <w:szCs w:val="24"/>
        </w:rPr>
        <w:t xml:space="preserve">, à la façon d’un codage thématique de données qualitatives </w:t>
      </w:r>
      <w:r w:rsidR="000512B9" w:rsidRPr="000915D0">
        <w:rPr>
          <w:rFonts w:ascii="Times New Roman" w:hAnsi="Times New Roman" w:cs="Times New Roman"/>
          <w:sz w:val="24"/>
          <w:szCs w:val="24"/>
        </w:rPr>
        <w:t>(Miles et Huberman, </w:t>
      </w:r>
      <w:r w:rsidR="00241B1A" w:rsidRPr="000915D0">
        <w:rPr>
          <w:rFonts w:ascii="Times New Roman" w:hAnsi="Times New Roman" w:cs="Times New Roman"/>
          <w:sz w:val="24"/>
          <w:szCs w:val="24"/>
        </w:rPr>
        <w:t>1994</w:t>
      </w:r>
      <w:r w:rsidR="000512B9" w:rsidRPr="000915D0">
        <w:rPr>
          <w:rFonts w:ascii="Times New Roman" w:hAnsi="Times New Roman" w:cs="Times New Roman"/>
          <w:sz w:val="24"/>
          <w:szCs w:val="24"/>
        </w:rPr>
        <w:t xml:space="preserve">). </w:t>
      </w:r>
      <w:r w:rsidR="000221CC" w:rsidRPr="000915D0">
        <w:rPr>
          <w:rFonts w:ascii="Times New Roman" w:hAnsi="Times New Roman" w:cs="Times New Roman"/>
          <w:sz w:val="24"/>
          <w:szCs w:val="24"/>
        </w:rPr>
        <w:t>L’essentiel du codage des sources allemandes</w:t>
      </w:r>
      <w:r w:rsidR="00F45269" w:rsidRPr="000915D0">
        <w:rPr>
          <w:rFonts w:ascii="Times New Roman" w:hAnsi="Times New Roman" w:cs="Times New Roman"/>
          <w:sz w:val="24"/>
          <w:szCs w:val="24"/>
        </w:rPr>
        <w:t>,</w:t>
      </w:r>
      <w:r w:rsidR="00AE55C4" w:rsidRPr="000915D0">
        <w:rPr>
          <w:rFonts w:ascii="Times New Roman" w:hAnsi="Times New Roman" w:cs="Times New Roman"/>
          <w:sz w:val="24"/>
          <w:szCs w:val="24"/>
        </w:rPr>
        <w:t xml:space="preserve"> à l’exception de</w:t>
      </w:r>
      <w:r w:rsidR="00AA6101" w:rsidRPr="000915D0">
        <w:rPr>
          <w:rFonts w:ascii="Times New Roman" w:hAnsi="Times New Roman" w:cs="Times New Roman"/>
          <w:sz w:val="24"/>
          <w:szCs w:val="24"/>
        </w:rPr>
        <w:t>s rapports Biedenkopf,</w:t>
      </w:r>
      <w:r w:rsidR="00F45269" w:rsidRPr="000915D0">
        <w:rPr>
          <w:rFonts w:ascii="Times New Roman" w:hAnsi="Times New Roman" w:cs="Times New Roman"/>
          <w:sz w:val="24"/>
          <w:szCs w:val="24"/>
        </w:rPr>
        <w:t xml:space="preserve"> c’</w:t>
      </w:r>
      <w:r w:rsidR="00740669" w:rsidRPr="000915D0">
        <w:rPr>
          <w:rFonts w:ascii="Times New Roman" w:hAnsi="Times New Roman" w:cs="Times New Roman"/>
          <w:sz w:val="24"/>
          <w:szCs w:val="24"/>
        </w:rPr>
        <w:t>est-à-dire</w:t>
      </w:r>
      <w:r w:rsidR="003E1B87" w:rsidRPr="000915D0">
        <w:rPr>
          <w:rFonts w:ascii="Times New Roman" w:hAnsi="Times New Roman" w:cs="Times New Roman"/>
          <w:sz w:val="24"/>
          <w:szCs w:val="24"/>
        </w:rPr>
        <w:t xml:space="preserve"> celles qui concernent l’institutionnalisation initiale de la codétermination par la loi de 1951, </w:t>
      </w:r>
      <w:r w:rsidR="0046623C" w:rsidRPr="000915D0">
        <w:rPr>
          <w:rFonts w:ascii="Times New Roman" w:hAnsi="Times New Roman" w:cs="Times New Roman"/>
          <w:sz w:val="24"/>
          <w:szCs w:val="24"/>
        </w:rPr>
        <w:t>a</w:t>
      </w:r>
      <w:r w:rsidR="00890E57" w:rsidRPr="000915D0">
        <w:rPr>
          <w:rFonts w:ascii="Times New Roman" w:hAnsi="Times New Roman" w:cs="Times New Roman"/>
          <w:sz w:val="24"/>
          <w:szCs w:val="24"/>
        </w:rPr>
        <w:t>vait</w:t>
      </w:r>
      <w:r w:rsidR="0046623C" w:rsidRPr="000915D0">
        <w:rPr>
          <w:rFonts w:ascii="Times New Roman" w:hAnsi="Times New Roman" w:cs="Times New Roman"/>
          <w:sz w:val="24"/>
          <w:szCs w:val="24"/>
        </w:rPr>
        <w:t xml:space="preserve"> été co</w:t>
      </w:r>
      <w:r w:rsidR="000A1CBC" w:rsidRPr="000915D0">
        <w:rPr>
          <w:rFonts w:ascii="Times New Roman" w:hAnsi="Times New Roman" w:cs="Times New Roman"/>
          <w:sz w:val="24"/>
          <w:szCs w:val="24"/>
        </w:rPr>
        <w:t xml:space="preserve">dé </w:t>
      </w:r>
      <w:r w:rsidR="0046623C" w:rsidRPr="000915D0">
        <w:rPr>
          <w:rFonts w:ascii="Times New Roman" w:hAnsi="Times New Roman" w:cs="Times New Roman"/>
          <w:sz w:val="24"/>
          <w:szCs w:val="24"/>
        </w:rPr>
        <w:t>préalablement par Gomez et Wirtz (2018)</w:t>
      </w:r>
      <w:r w:rsidR="006D354A" w:rsidRPr="000915D0">
        <w:rPr>
          <w:rFonts w:ascii="Times New Roman" w:hAnsi="Times New Roman" w:cs="Times New Roman"/>
          <w:sz w:val="24"/>
          <w:szCs w:val="24"/>
        </w:rPr>
        <w:t>. Par conséquent, les tableaux de codage concernant l’</w:t>
      </w:r>
      <w:r w:rsidR="000A1CBC" w:rsidRPr="000915D0">
        <w:rPr>
          <w:rFonts w:ascii="Times New Roman" w:hAnsi="Times New Roman" w:cs="Times New Roman"/>
          <w:sz w:val="24"/>
          <w:szCs w:val="24"/>
        </w:rPr>
        <w:t>Allemagne n’</w:t>
      </w:r>
      <w:r w:rsidR="0070385B" w:rsidRPr="000915D0">
        <w:rPr>
          <w:rFonts w:ascii="Times New Roman" w:hAnsi="Times New Roman" w:cs="Times New Roman"/>
          <w:sz w:val="24"/>
          <w:szCs w:val="24"/>
        </w:rPr>
        <w:t>ont</w:t>
      </w:r>
      <w:r w:rsidR="000A1CBC" w:rsidRPr="000915D0">
        <w:rPr>
          <w:rFonts w:ascii="Times New Roman" w:hAnsi="Times New Roman" w:cs="Times New Roman"/>
          <w:sz w:val="24"/>
          <w:szCs w:val="24"/>
        </w:rPr>
        <w:t xml:space="preserve"> pas été reproduit</w:t>
      </w:r>
      <w:r w:rsidR="0070385B" w:rsidRPr="000915D0">
        <w:rPr>
          <w:rFonts w:ascii="Times New Roman" w:hAnsi="Times New Roman" w:cs="Times New Roman"/>
          <w:sz w:val="24"/>
          <w:szCs w:val="24"/>
        </w:rPr>
        <w:t>s</w:t>
      </w:r>
      <w:r w:rsidR="000A1CBC" w:rsidRPr="000915D0">
        <w:rPr>
          <w:rFonts w:ascii="Times New Roman" w:hAnsi="Times New Roman" w:cs="Times New Roman"/>
          <w:sz w:val="24"/>
          <w:szCs w:val="24"/>
        </w:rPr>
        <w:t xml:space="preserve"> dans le présent article, contrairement </w:t>
      </w:r>
      <w:r w:rsidR="00DB71D2" w:rsidRPr="000915D0">
        <w:rPr>
          <w:rFonts w:ascii="Times New Roman" w:hAnsi="Times New Roman" w:cs="Times New Roman"/>
          <w:sz w:val="24"/>
          <w:szCs w:val="24"/>
        </w:rPr>
        <w:t>au codage des sources françaises, dont la grille figure en annexe du présent article (cf. annexe).</w:t>
      </w:r>
    </w:p>
    <w:p w14:paraId="14FB3B90" w14:textId="33891C95" w:rsidR="001F1FDE" w:rsidRPr="000915D0" w:rsidRDefault="001F1FDE" w:rsidP="0000458E">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Sur le plan méthodologique</w:t>
      </w:r>
      <w:r w:rsidR="00124C67" w:rsidRPr="000915D0">
        <w:rPr>
          <w:rFonts w:ascii="Times New Roman" w:hAnsi="Times New Roman" w:cs="Times New Roman"/>
          <w:sz w:val="24"/>
          <w:szCs w:val="24"/>
        </w:rPr>
        <w:t>, le présent article comporte, par ailleurs</w:t>
      </w:r>
      <w:r w:rsidR="00024DEE" w:rsidRPr="000915D0">
        <w:rPr>
          <w:rFonts w:ascii="Times New Roman" w:hAnsi="Times New Roman" w:cs="Times New Roman"/>
          <w:sz w:val="24"/>
          <w:szCs w:val="24"/>
        </w:rPr>
        <w:t xml:space="preserve">, un double apport par rapport à Gomez et Wirtz (2018). </w:t>
      </w:r>
      <w:r w:rsidR="004068DB" w:rsidRPr="000915D0">
        <w:rPr>
          <w:rFonts w:ascii="Times New Roman" w:hAnsi="Times New Roman" w:cs="Times New Roman"/>
          <w:sz w:val="24"/>
          <w:szCs w:val="24"/>
        </w:rPr>
        <w:t xml:space="preserve">En effet, ce dernier travail </w:t>
      </w:r>
      <w:r w:rsidR="00E02838" w:rsidRPr="000915D0">
        <w:rPr>
          <w:rFonts w:ascii="Times New Roman" w:hAnsi="Times New Roman" w:cs="Times New Roman"/>
          <w:sz w:val="24"/>
          <w:szCs w:val="24"/>
        </w:rPr>
        <w:t>est focalisé sur un seul système national de gouvernance, à savoir celui de</w:t>
      </w:r>
      <w:r w:rsidR="00885A82" w:rsidRPr="000915D0">
        <w:rPr>
          <w:rFonts w:ascii="Times New Roman" w:hAnsi="Times New Roman" w:cs="Times New Roman"/>
          <w:sz w:val="24"/>
          <w:szCs w:val="24"/>
        </w:rPr>
        <w:t xml:space="preserve"> l’Allemagne, alors que la présente recherche</w:t>
      </w:r>
      <w:r w:rsidR="00D92409" w:rsidRPr="000915D0">
        <w:rPr>
          <w:rFonts w:ascii="Times New Roman" w:hAnsi="Times New Roman" w:cs="Times New Roman"/>
          <w:sz w:val="24"/>
          <w:szCs w:val="24"/>
        </w:rPr>
        <w:t xml:space="preserve"> est comparative.</w:t>
      </w:r>
      <w:r w:rsidR="000762CE" w:rsidRPr="000915D0">
        <w:rPr>
          <w:rFonts w:ascii="Times New Roman" w:hAnsi="Times New Roman" w:cs="Times New Roman"/>
          <w:sz w:val="24"/>
          <w:szCs w:val="24"/>
        </w:rPr>
        <w:t xml:space="preserve"> Cela augmente potentiellement la validité externe des résultats</w:t>
      </w:r>
      <w:r w:rsidR="00AE7E1C" w:rsidRPr="000915D0">
        <w:rPr>
          <w:rFonts w:ascii="Times New Roman" w:hAnsi="Times New Roman" w:cs="Times New Roman"/>
          <w:sz w:val="24"/>
          <w:szCs w:val="24"/>
        </w:rPr>
        <w:t xml:space="preserve">. En effet, que ce soit </w:t>
      </w:r>
      <w:r w:rsidR="000D4841" w:rsidRPr="000915D0">
        <w:rPr>
          <w:rFonts w:ascii="Times New Roman" w:hAnsi="Times New Roman" w:cs="Times New Roman"/>
          <w:sz w:val="24"/>
          <w:szCs w:val="24"/>
        </w:rPr>
        <w:t>le travail de Davis et Thompson (1994)</w:t>
      </w:r>
      <w:r w:rsidR="009E0121" w:rsidRPr="000915D0">
        <w:rPr>
          <w:rFonts w:ascii="Times New Roman" w:hAnsi="Times New Roman" w:cs="Times New Roman"/>
          <w:sz w:val="24"/>
          <w:szCs w:val="24"/>
        </w:rPr>
        <w:t xml:space="preserve"> o</w:t>
      </w:r>
      <w:r w:rsidR="00EF440D" w:rsidRPr="000915D0">
        <w:rPr>
          <w:rFonts w:ascii="Times New Roman" w:hAnsi="Times New Roman" w:cs="Times New Roman"/>
          <w:sz w:val="24"/>
          <w:szCs w:val="24"/>
        </w:rPr>
        <w:t>u celui de</w:t>
      </w:r>
      <w:r w:rsidR="009E0121" w:rsidRPr="000915D0">
        <w:rPr>
          <w:rFonts w:ascii="Times New Roman" w:hAnsi="Times New Roman" w:cs="Times New Roman"/>
          <w:sz w:val="24"/>
          <w:szCs w:val="24"/>
        </w:rPr>
        <w:t xml:space="preserve"> </w:t>
      </w:r>
      <w:r w:rsidR="00EF440D" w:rsidRPr="000915D0">
        <w:rPr>
          <w:rFonts w:ascii="Times New Roman" w:hAnsi="Times New Roman" w:cs="Times New Roman"/>
          <w:sz w:val="24"/>
          <w:szCs w:val="24"/>
        </w:rPr>
        <w:t>Gomez et Wirtz (2018)</w:t>
      </w:r>
      <w:r w:rsidR="008101AE" w:rsidRPr="000915D0">
        <w:rPr>
          <w:rFonts w:ascii="Times New Roman" w:hAnsi="Times New Roman" w:cs="Times New Roman"/>
          <w:sz w:val="24"/>
          <w:szCs w:val="24"/>
        </w:rPr>
        <w:t xml:space="preserve">, </w:t>
      </w:r>
      <w:r w:rsidR="002D4670" w:rsidRPr="000915D0">
        <w:rPr>
          <w:rFonts w:ascii="Times New Roman" w:hAnsi="Times New Roman" w:cs="Times New Roman"/>
          <w:sz w:val="24"/>
          <w:szCs w:val="24"/>
        </w:rPr>
        <w:t xml:space="preserve">les cas uniques sont </w:t>
      </w:r>
      <w:r w:rsidR="00B94AC4" w:rsidRPr="000915D0">
        <w:rPr>
          <w:rFonts w:ascii="Times New Roman" w:hAnsi="Times New Roman" w:cs="Times New Roman"/>
          <w:sz w:val="24"/>
          <w:szCs w:val="24"/>
        </w:rPr>
        <w:t>seulement</w:t>
      </w:r>
      <w:r w:rsidR="002D4670" w:rsidRPr="000915D0">
        <w:rPr>
          <w:rFonts w:ascii="Times New Roman" w:hAnsi="Times New Roman" w:cs="Times New Roman"/>
          <w:sz w:val="24"/>
          <w:szCs w:val="24"/>
        </w:rPr>
        <w:t xml:space="preserve"> des cas de mobilisation</w:t>
      </w:r>
      <w:r w:rsidR="007D7A03" w:rsidRPr="000915D0">
        <w:rPr>
          <w:rFonts w:ascii="Times New Roman" w:hAnsi="Times New Roman" w:cs="Times New Roman"/>
          <w:sz w:val="24"/>
          <w:szCs w:val="24"/>
        </w:rPr>
        <w:t>s</w:t>
      </w:r>
      <w:r w:rsidR="002D4670" w:rsidRPr="000915D0">
        <w:rPr>
          <w:rFonts w:ascii="Times New Roman" w:hAnsi="Times New Roman" w:cs="Times New Roman"/>
          <w:sz w:val="24"/>
          <w:szCs w:val="24"/>
        </w:rPr>
        <w:t xml:space="preserve"> réussies, aboutissant à l’institutionnalisation</w:t>
      </w:r>
      <w:r w:rsidR="003131CB" w:rsidRPr="000915D0">
        <w:rPr>
          <w:rFonts w:ascii="Times New Roman" w:hAnsi="Times New Roman" w:cs="Times New Roman"/>
          <w:sz w:val="24"/>
          <w:szCs w:val="24"/>
        </w:rPr>
        <w:t xml:space="preserve"> d’une gouvernance nouvelle (actionnariale dans un cas, </w:t>
      </w:r>
      <w:r w:rsidR="001F6FC5" w:rsidRPr="000915D0">
        <w:rPr>
          <w:rFonts w:ascii="Times New Roman" w:hAnsi="Times New Roman" w:cs="Times New Roman"/>
          <w:sz w:val="24"/>
          <w:szCs w:val="24"/>
        </w:rPr>
        <w:t>codéterminée dans l’autre). Or</w:t>
      </w:r>
      <w:r w:rsidR="00C4315F" w:rsidRPr="000915D0">
        <w:rPr>
          <w:rFonts w:ascii="Times New Roman" w:hAnsi="Times New Roman" w:cs="Times New Roman"/>
          <w:sz w:val="24"/>
          <w:szCs w:val="24"/>
        </w:rPr>
        <w:t xml:space="preserve">, l’étude de la plausibilité de la théorie de la mobilisation </w:t>
      </w:r>
      <w:r w:rsidR="00BD5B98" w:rsidRPr="000915D0">
        <w:rPr>
          <w:rFonts w:ascii="Times New Roman" w:hAnsi="Times New Roman" w:cs="Times New Roman"/>
          <w:sz w:val="24"/>
          <w:szCs w:val="24"/>
        </w:rPr>
        <w:t xml:space="preserve">gagnerait en force en étudiant </w:t>
      </w:r>
      <w:r w:rsidR="006F1B8B" w:rsidRPr="000915D0">
        <w:rPr>
          <w:rFonts w:ascii="Times New Roman" w:hAnsi="Times New Roman" w:cs="Times New Roman"/>
          <w:sz w:val="24"/>
          <w:szCs w:val="24"/>
        </w:rPr>
        <w:t xml:space="preserve">au moins </w:t>
      </w:r>
      <w:r w:rsidR="00BD5B98" w:rsidRPr="000915D0">
        <w:rPr>
          <w:rFonts w:ascii="Times New Roman" w:hAnsi="Times New Roman" w:cs="Times New Roman"/>
          <w:sz w:val="24"/>
          <w:szCs w:val="24"/>
        </w:rPr>
        <w:t xml:space="preserve">un cas </w:t>
      </w:r>
      <w:r w:rsidR="00357C59" w:rsidRPr="000915D0">
        <w:rPr>
          <w:rFonts w:ascii="Times New Roman" w:hAnsi="Times New Roman" w:cs="Times New Roman"/>
          <w:sz w:val="24"/>
          <w:szCs w:val="24"/>
        </w:rPr>
        <w:t xml:space="preserve">où une ou plusieurs des dimensions pointées par </w:t>
      </w:r>
      <w:r w:rsidR="007E24AA" w:rsidRPr="000915D0">
        <w:rPr>
          <w:rFonts w:ascii="Times New Roman" w:hAnsi="Times New Roman" w:cs="Times New Roman"/>
          <w:sz w:val="24"/>
          <w:szCs w:val="24"/>
        </w:rPr>
        <w:t>Davis et Thompson sont absentes</w:t>
      </w:r>
      <w:r w:rsidR="00A71A2C" w:rsidRPr="000915D0">
        <w:rPr>
          <w:rFonts w:ascii="Times New Roman" w:hAnsi="Times New Roman" w:cs="Times New Roman"/>
          <w:sz w:val="24"/>
          <w:szCs w:val="24"/>
        </w:rPr>
        <w:t>, pour voir si cela change le résultat en termes d’institutionnalisation.</w:t>
      </w:r>
    </w:p>
    <w:p w14:paraId="76DD77BE" w14:textId="13C91B23" w:rsidR="00A71A2C" w:rsidRDefault="00A71A2C" w:rsidP="0000458E">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lastRenderedPageBreak/>
        <w:t xml:space="preserve">Notre deuxième apport </w:t>
      </w:r>
      <w:r w:rsidR="00EF3FA9" w:rsidRPr="000915D0">
        <w:rPr>
          <w:rFonts w:ascii="Times New Roman" w:hAnsi="Times New Roman" w:cs="Times New Roman"/>
          <w:sz w:val="24"/>
          <w:szCs w:val="24"/>
        </w:rPr>
        <w:t>est d’élargir l’horizon temporel</w:t>
      </w:r>
      <w:r w:rsidR="0010479F" w:rsidRPr="000915D0">
        <w:rPr>
          <w:rFonts w:ascii="Times New Roman" w:hAnsi="Times New Roman" w:cs="Times New Roman"/>
          <w:sz w:val="24"/>
          <w:szCs w:val="24"/>
        </w:rPr>
        <w:t>, pour étudier</w:t>
      </w:r>
      <w:r w:rsidR="00E12FDE" w:rsidRPr="000915D0">
        <w:rPr>
          <w:rFonts w:ascii="Times New Roman" w:hAnsi="Times New Roman" w:cs="Times New Roman"/>
          <w:sz w:val="24"/>
          <w:szCs w:val="24"/>
        </w:rPr>
        <w:t xml:space="preserve"> la présence </w:t>
      </w:r>
      <w:r w:rsidR="00E6426A" w:rsidRPr="000915D0">
        <w:rPr>
          <w:rFonts w:ascii="Times New Roman" w:hAnsi="Times New Roman" w:cs="Times New Roman"/>
          <w:sz w:val="24"/>
          <w:szCs w:val="24"/>
        </w:rPr>
        <w:t xml:space="preserve">(ou pas) </w:t>
      </w:r>
      <w:r w:rsidR="00E12FDE" w:rsidRPr="000915D0">
        <w:rPr>
          <w:rFonts w:ascii="Times New Roman" w:hAnsi="Times New Roman" w:cs="Times New Roman"/>
          <w:sz w:val="24"/>
          <w:szCs w:val="24"/>
        </w:rPr>
        <w:t>et</w:t>
      </w:r>
      <w:r w:rsidR="0010479F" w:rsidRPr="000915D0">
        <w:rPr>
          <w:rFonts w:ascii="Times New Roman" w:hAnsi="Times New Roman" w:cs="Times New Roman"/>
          <w:sz w:val="24"/>
          <w:szCs w:val="24"/>
        </w:rPr>
        <w:t xml:space="preserve"> l’importance de la mobilisation sociale dans des dynamiques institutionnelles </w:t>
      </w:r>
      <w:r w:rsidR="00E24424" w:rsidRPr="000915D0">
        <w:rPr>
          <w:rFonts w:ascii="Times New Roman" w:hAnsi="Times New Roman" w:cs="Times New Roman"/>
          <w:sz w:val="24"/>
          <w:szCs w:val="24"/>
        </w:rPr>
        <w:t>plus longues</w:t>
      </w:r>
      <w:r w:rsidR="00941221" w:rsidRPr="000915D0">
        <w:rPr>
          <w:rFonts w:ascii="Times New Roman" w:hAnsi="Times New Roman" w:cs="Times New Roman"/>
          <w:sz w:val="24"/>
          <w:szCs w:val="24"/>
        </w:rPr>
        <w:t>.</w:t>
      </w:r>
    </w:p>
    <w:p w14:paraId="19CD0BF6" w14:textId="77777777" w:rsidR="00E755C9" w:rsidRPr="000915D0" w:rsidRDefault="00E755C9" w:rsidP="0000458E">
      <w:pPr>
        <w:spacing w:line="360" w:lineRule="auto"/>
        <w:jc w:val="both"/>
        <w:rPr>
          <w:rFonts w:ascii="Times New Roman" w:hAnsi="Times New Roman" w:cs="Times New Roman"/>
          <w:sz w:val="24"/>
          <w:szCs w:val="24"/>
        </w:rPr>
      </w:pPr>
    </w:p>
    <w:p w14:paraId="60F17683" w14:textId="329267D8" w:rsidR="0000458E" w:rsidRPr="00211159" w:rsidRDefault="007B22AF" w:rsidP="00211159">
      <w:pPr>
        <w:pStyle w:val="Paragraphedeliste"/>
        <w:numPr>
          <w:ilvl w:val="0"/>
          <w:numId w:val="6"/>
        </w:numPr>
        <w:spacing w:line="360" w:lineRule="auto"/>
        <w:jc w:val="both"/>
        <w:rPr>
          <w:rFonts w:ascii="Times New Roman" w:hAnsi="Times New Roman" w:cs="Times New Roman"/>
          <w:b/>
          <w:sz w:val="24"/>
          <w:szCs w:val="24"/>
        </w:rPr>
      </w:pPr>
      <w:r w:rsidRPr="00211159">
        <w:rPr>
          <w:rFonts w:ascii="Times New Roman" w:hAnsi="Times New Roman" w:cs="Times New Roman"/>
          <w:b/>
          <w:sz w:val="24"/>
          <w:szCs w:val="24"/>
        </w:rPr>
        <w:t>L’i</w:t>
      </w:r>
      <w:r w:rsidR="002F3439" w:rsidRPr="00211159">
        <w:rPr>
          <w:rFonts w:ascii="Times New Roman" w:hAnsi="Times New Roman" w:cs="Times New Roman"/>
          <w:b/>
          <w:sz w:val="24"/>
          <w:szCs w:val="24"/>
        </w:rPr>
        <w:t xml:space="preserve">nstitutionnalisation </w:t>
      </w:r>
      <w:r w:rsidR="0000458E" w:rsidRPr="00211159">
        <w:rPr>
          <w:rFonts w:ascii="Times New Roman" w:hAnsi="Times New Roman" w:cs="Times New Roman"/>
          <w:b/>
          <w:sz w:val="24"/>
          <w:szCs w:val="24"/>
        </w:rPr>
        <w:t xml:space="preserve">de la codétermination </w:t>
      </w:r>
      <w:r w:rsidR="002F3439" w:rsidRPr="00211159">
        <w:rPr>
          <w:rFonts w:ascii="Times New Roman" w:hAnsi="Times New Roman" w:cs="Times New Roman"/>
          <w:b/>
          <w:sz w:val="24"/>
          <w:szCs w:val="24"/>
        </w:rPr>
        <w:t>en Allemagne et en France</w:t>
      </w:r>
    </w:p>
    <w:p w14:paraId="1E70A7FF" w14:textId="6C4BDEC3" w:rsidR="002905A1" w:rsidRPr="000915D0" w:rsidRDefault="00B00EFC" w:rsidP="002905A1">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 xml:space="preserve">Le tableau 1 résume l’essentiel </w:t>
      </w:r>
      <w:r w:rsidR="00F917EB" w:rsidRPr="000915D0">
        <w:rPr>
          <w:rFonts w:ascii="Times New Roman" w:hAnsi="Times New Roman" w:cs="Times New Roman"/>
          <w:sz w:val="24"/>
          <w:szCs w:val="24"/>
        </w:rPr>
        <w:t xml:space="preserve">des résultats comparatifs pour les deux pays. </w:t>
      </w:r>
      <w:r w:rsidR="00213B0C" w:rsidRPr="000915D0">
        <w:rPr>
          <w:rFonts w:ascii="Times New Roman" w:hAnsi="Times New Roman" w:cs="Times New Roman"/>
          <w:sz w:val="24"/>
          <w:szCs w:val="24"/>
        </w:rPr>
        <w:t>Il montre</w:t>
      </w:r>
      <w:r w:rsidR="008C50E1" w:rsidRPr="000915D0">
        <w:rPr>
          <w:rFonts w:ascii="Times New Roman" w:hAnsi="Times New Roman" w:cs="Times New Roman"/>
          <w:sz w:val="24"/>
          <w:szCs w:val="24"/>
        </w:rPr>
        <w:t>, dans le cas allemand,</w:t>
      </w:r>
      <w:r w:rsidR="00213B0C" w:rsidRPr="000915D0">
        <w:rPr>
          <w:rFonts w:ascii="Times New Roman" w:hAnsi="Times New Roman" w:cs="Times New Roman"/>
          <w:sz w:val="24"/>
          <w:szCs w:val="24"/>
        </w:rPr>
        <w:t xml:space="preserve"> deux moments de mobilisation particuli</w:t>
      </w:r>
      <w:r w:rsidR="00E0251C" w:rsidRPr="000915D0">
        <w:rPr>
          <w:rFonts w:ascii="Times New Roman" w:hAnsi="Times New Roman" w:cs="Times New Roman"/>
          <w:sz w:val="24"/>
          <w:szCs w:val="24"/>
        </w:rPr>
        <w:t>èrement importants</w:t>
      </w:r>
      <w:r w:rsidR="00F375F0" w:rsidRPr="000915D0">
        <w:rPr>
          <w:rFonts w:ascii="Times New Roman" w:hAnsi="Times New Roman" w:cs="Times New Roman"/>
          <w:sz w:val="24"/>
          <w:szCs w:val="24"/>
        </w:rPr>
        <w:t>, (1)</w:t>
      </w:r>
      <w:r w:rsidR="00E0251C" w:rsidRPr="000915D0">
        <w:rPr>
          <w:rFonts w:ascii="Times New Roman" w:hAnsi="Times New Roman" w:cs="Times New Roman"/>
          <w:sz w:val="24"/>
          <w:szCs w:val="24"/>
        </w:rPr>
        <w:t xml:space="preserve"> pour l’institutionnalisation</w:t>
      </w:r>
      <w:r w:rsidR="008C50E1" w:rsidRPr="000915D0">
        <w:rPr>
          <w:rFonts w:ascii="Times New Roman" w:hAnsi="Times New Roman" w:cs="Times New Roman"/>
          <w:sz w:val="24"/>
          <w:szCs w:val="24"/>
        </w:rPr>
        <w:t xml:space="preserve"> dans un secteur économique particulier</w:t>
      </w:r>
      <w:r w:rsidR="00333081" w:rsidRPr="000915D0">
        <w:rPr>
          <w:rFonts w:ascii="Times New Roman" w:hAnsi="Times New Roman" w:cs="Times New Roman"/>
          <w:sz w:val="24"/>
          <w:szCs w:val="24"/>
        </w:rPr>
        <w:t xml:space="preserve"> </w:t>
      </w:r>
      <w:r w:rsidR="00CA50E9" w:rsidRPr="000915D0">
        <w:rPr>
          <w:rFonts w:ascii="Times New Roman" w:hAnsi="Times New Roman" w:cs="Times New Roman"/>
          <w:sz w:val="24"/>
          <w:szCs w:val="24"/>
        </w:rPr>
        <w:t>(charbon-acier)</w:t>
      </w:r>
      <w:r w:rsidR="00E0251C" w:rsidRPr="000915D0">
        <w:rPr>
          <w:rFonts w:ascii="Times New Roman" w:hAnsi="Times New Roman" w:cs="Times New Roman"/>
          <w:sz w:val="24"/>
          <w:szCs w:val="24"/>
        </w:rPr>
        <w:t>, d’abord</w:t>
      </w:r>
      <w:r w:rsidR="00F375F0" w:rsidRPr="000915D0">
        <w:rPr>
          <w:rFonts w:ascii="Times New Roman" w:hAnsi="Times New Roman" w:cs="Times New Roman"/>
          <w:sz w:val="24"/>
          <w:szCs w:val="24"/>
        </w:rPr>
        <w:t xml:space="preserve"> (à la fin des années 1940</w:t>
      </w:r>
      <w:r w:rsidR="002F474E" w:rsidRPr="000915D0">
        <w:rPr>
          <w:rFonts w:ascii="Times New Roman" w:hAnsi="Times New Roman" w:cs="Times New Roman"/>
          <w:sz w:val="24"/>
          <w:szCs w:val="24"/>
        </w:rPr>
        <w:t>), (2) pour l’extension</w:t>
      </w:r>
      <w:r w:rsidR="00502D65" w:rsidRPr="000915D0">
        <w:rPr>
          <w:rFonts w:ascii="Times New Roman" w:hAnsi="Times New Roman" w:cs="Times New Roman"/>
          <w:sz w:val="24"/>
          <w:szCs w:val="24"/>
        </w:rPr>
        <w:t xml:space="preserve"> générale</w:t>
      </w:r>
      <w:r w:rsidR="002F474E" w:rsidRPr="000915D0">
        <w:rPr>
          <w:rFonts w:ascii="Times New Roman" w:hAnsi="Times New Roman" w:cs="Times New Roman"/>
          <w:sz w:val="24"/>
          <w:szCs w:val="24"/>
        </w:rPr>
        <w:t xml:space="preserve"> du système</w:t>
      </w:r>
      <w:r w:rsidR="00E0251C" w:rsidRPr="000915D0">
        <w:rPr>
          <w:rFonts w:ascii="Times New Roman" w:hAnsi="Times New Roman" w:cs="Times New Roman"/>
          <w:sz w:val="24"/>
          <w:szCs w:val="24"/>
        </w:rPr>
        <w:t>,</w:t>
      </w:r>
      <w:r w:rsidR="002F474E" w:rsidRPr="000915D0">
        <w:rPr>
          <w:rFonts w:ascii="Times New Roman" w:hAnsi="Times New Roman" w:cs="Times New Roman"/>
          <w:sz w:val="24"/>
          <w:szCs w:val="24"/>
        </w:rPr>
        <w:t xml:space="preserve"> ensuite (au milieu des années 1970</w:t>
      </w:r>
      <w:r w:rsidR="008C50E1" w:rsidRPr="000915D0">
        <w:rPr>
          <w:rFonts w:ascii="Times New Roman" w:hAnsi="Times New Roman" w:cs="Times New Roman"/>
          <w:sz w:val="24"/>
          <w:szCs w:val="24"/>
        </w:rPr>
        <w:t>).</w:t>
      </w:r>
      <w:r w:rsidR="00E0251C" w:rsidRPr="000915D0">
        <w:rPr>
          <w:rFonts w:ascii="Times New Roman" w:hAnsi="Times New Roman" w:cs="Times New Roman"/>
          <w:sz w:val="24"/>
          <w:szCs w:val="24"/>
        </w:rPr>
        <w:t xml:space="preserve"> </w:t>
      </w:r>
      <w:r w:rsidR="00F941C4" w:rsidRPr="000915D0">
        <w:rPr>
          <w:rFonts w:ascii="Times New Roman" w:hAnsi="Times New Roman" w:cs="Times New Roman"/>
          <w:sz w:val="24"/>
          <w:szCs w:val="24"/>
        </w:rPr>
        <w:t xml:space="preserve">A l’inverse de l’Allemagne, la France n’a pas connu </w:t>
      </w:r>
      <w:r w:rsidR="00456F5F" w:rsidRPr="000915D0">
        <w:rPr>
          <w:rFonts w:ascii="Times New Roman" w:hAnsi="Times New Roman" w:cs="Times New Roman"/>
          <w:sz w:val="24"/>
          <w:szCs w:val="24"/>
        </w:rPr>
        <w:t>de mobilisation</w:t>
      </w:r>
      <w:r w:rsidR="00502D65" w:rsidRPr="000915D0">
        <w:rPr>
          <w:rFonts w:ascii="Times New Roman" w:hAnsi="Times New Roman" w:cs="Times New Roman"/>
          <w:sz w:val="24"/>
          <w:szCs w:val="24"/>
        </w:rPr>
        <w:t xml:space="preserve"> intense</w:t>
      </w:r>
      <w:r w:rsidR="00456F5F" w:rsidRPr="000915D0">
        <w:rPr>
          <w:rFonts w:ascii="Times New Roman" w:hAnsi="Times New Roman" w:cs="Times New Roman"/>
          <w:sz w:val="24"/>
          <w:szCs w:val="24"/>
        </w:rPr>
        <w:t xml:space="preserve"> comparable en faveur de la codétermination</w:t>
      </w:r>
      <w:r w:rsidR="00E80216" w:rsidRPr="000915D0">
        <w:rPr>
          <w:rFonts w:ascii="Times New Roman" w:hAnsi="Times New Roman" w:cs="Times New Roman"/>
          <w:sz w:val="24"/>
          <w:szCs w:val="24"/>
        </w:rPr>
        <w:t xml:space="preserve"> au sein des conseils d’administration</w:t>
      </w:r>
      <w:r w:rsidR="00456F5F" w:rsidRPr="000915D0">
        <w:rPr>
          <w:rFonts w:ascii="Times New Roman" w:hAnsi="Times New Roman" w:cs="Times New Roman"/>
          <w:sz w:val="24"/>
          <w:szCs w:val="24"/>
        </w:rPr>
        <w:t>.</w:t>
      </w:r>
      <w:r w:rsidR="00C568E7" w:rsidRPr="000915D0">
        <w:rPr>
          <w:rFonts w:ascii="Times New Roman" w:hAnsi="Times New Roman" w:cs="Times New Roman"/>
          <w:sz w:val="24"/>
          <w:szCs w:val="24"/>
        </w:rPr>
        <w:t xml:space="preserve"> Des éléments de codétermination</w:t>
      </w:r>
      <w:r w:rsidR="00E43081" w:rsidRPr="000915D0">
        <w:rPr>
          <w:rFonts w:ascii="Times New Roman" w:hAnsi="Times New Roman" w:cs="Times New Roman"/>
          <w:sz w:val="24"/>
          <w:szCs w:val="24"/>
        </w:rPr>
        <w:t xml:space="preserve">, qui n’ont jusqu’à présent jamais atteint le même degré qu’en </w:t>
      </w:r>
      <w:r w:rsidR="00F85A86" w:rsidRPr="000915D0">
        <w:rPr>
          <w:rFonts w:ascii="Times New Roman" w:hAnsi="Times New Roman" w:cs="Times New Roman"/>
          <w:sz w:val="24"/>
          <w:szCs w:val="24"/>
        </w:rPr>
        <w:t>Allemagne, y ont été introduits au cours du temps</w:t>
      </w:r>
      <w:r w:rsidR="004F7555" w:rsidRPr="000915D0">
        <w:rPr>
          <w:rFonts w:ascii="Times New Roman" w:hAnsi="Times New Roman" w:cs="Times New Roman"/>
          <w:sz w:val="24"/>
          <w:szCs w:val="24"/>
        </w:rPr>
        <w:t>. Mais</w:t>
      </w:r>
      <w:r w:rsidR="00DE024B" w:rsidRPr="000915D0">
        <w:rPr>
          <w:rFonts w:ascii="Times New Roman" w:hAnsi="Times New Roman" w:cs="Times New Roman"/>
          <w:sz w:val="24"/>
          <w:szCs w:val="24"/>
        </w:rPr>
        <w:t xml:space="preserve"> </w:t>
      </w:r>
      <w:r w:rsidR="004F7555" w:rsidRPr="000915D0">
        <w:rPr>
          <w:rFonts w:ascii="Times New Roman" w:hAnsi="Times New Roman" w:cs="Times New Roman"/>
          <w:sz w:val="24"/>
          <w:szCs w:val="24"/>
        </w:rPr>
        <w:t>l’</w:t>
      </w:r>
      <w:r w:rsidR="00DE024B" w:rsidRPr="000915D0">
        <w:rPr>
          <w:rFonts w:ascii="Times New Roman" w:hAnsi="Times New Roman" w:cs="Times New Roman"/>
          <w:sz w:val="24"/>
          <w:szCs w:val="24"/>
        </w:rPr>
        <w:t>évolution institutionnelle semble</w:t>
      </w:r>
      <w:r w:rsidR="0021306B" w:rsidRPr="000915D0">
        <w:rPr>
          <w:rFonts w:ascii="Times New Roman" w:hAnsi="Times New Roman" w:cs="Times New Roman"/>
          <w:sz w:val="24"/>
          <w:szCs w:val="24"/>
        </w:rPr>
        <w:t xml:space="preserve"> ici</w:t>
      </w:r>
      <w:r w:rsidR="00DE024B" w:rsidRPr="000915D0">
        <w:rPr>
          <w:rFonts w:ascii="Times New Roman" w:hAnsi="Times New Roman" w:cs="Times New Roman"/>
          <w:sz w:val="24"/>
          <w:szCs w:val="24"/>
        </w:rPr>
        <w:t xml:space="preserve"> davantage incrémentale</w:t>
      </w:r>
      <w:r w:rsidR="00DD536D" w:rsidRPr="000915D0">
        <w:rPr>
          <w:rFonts w:ascii="Times New Roman" w:hAnsi="Times New Roman" w:cs="Times New Roman"/>
          <w:sz w:val="24"/>
          <w:szCs w:val="24"/>
        </w:rPr>
        <w:t xml:space="preserve">, et </w:t>
      </w:r>
      <w:r w:rsidR="0021306B" w:rsidRPr="000915D0">
        <w:rPr>
          <w:rFonts w:ascii="Times New Roman" w:hAnsi="Times New Roman" w:cs="Times New Roman"/>
          <w:sz w:val="24"/>
          <w:szCs w:val="24"/>
        </w:rPr>
        <w:t>ses</w:t>
      </w:r>
      <w:r w:rsidR="00DD536D" w:rsidRPr="000915D0">
        <w:rPr>
          <w:rFonts w:ascii="Times New Roman" w:hAnsi="Times New Roman" w:cs="Times New Roman"/>
          <w:sz w:val="24"/>
          <w:szCs w:val="24"/>
        </w:rPr>
        <w:t xml:space="preserve"> résultats en terme</w:t>
      </w:r>
      <w:r w:rsidR="008033C4" w:rsidRPr="000915D0">
        <w:rPr>
          <w:rFonts w:ascii="Times New Roman" w:hAnsi="Times New Roman" w:cs="Times New Roman"/>
          <w:sz w:val="24"/>
          <w:szCs w:val="24"/>
        </w:rPr>
        <w:t>s</w:t>
      </w:r>
      <w:r w:rsidR="00DD536D" w:rsidRPr="000915D0">
        <w:rPr>
          <w:rFonts w:ascii="Times New Roman" w:hAnsi="Times New Roman" w:cs="Times New Roman"/>
          <w:sz w:val="24"/>
          <w:szCs w:val="24"/>
        </w:rPr>
        <w:t xml:space="preserve"> de présence des salariés au sein des conseils</w:t>
      </w:r>
      <w:r w:rsidR="008D4E41" w:rsidRPr="000915D0">
        <w:rPr>
          <w:rFonts w:ascii="Times New Roman" w:hAnsi="Times New Roman" w:cs="Times New Roman"/>
          <w:sz w:val="24"/>
          <w:szCs w:val="24"/>
        </w:rPr>
        <w:t xml:space="preserve"> restent relativement modestes</w:t>
      </w:r>
      <w:r w:rsidR="0021306B" w:rsidRPr="000915D0">
        <w:rPr>
          <w:rFonts w:ascii="Times New Roman" w:hAnsi="Times New Roman" w:cs="Times New Roman"/>
          <w:sz w:val="24"/>
          <w:szCs w:val="24"/>
        </w:rPr>
        <w:t xml:space="preserve"> (e.g. loi PACTE)</w:t>
      </w:r>
      <w:r w:rsidR="00E45151" w:rsidRPr="000915D0">
        <w:rPr>
          <w:rFonts w:ascii="Times New Roman" w:hAnsi="Times New Roman" w:cs="Times New Roman"/>
          <w:sz w:val="24"/>
          <w:szCs w:val="24"/>
        </w:rPr>
        <w:t>.</w:t>
      </w:r>
      <w:r w:rsidR="002905A1" w:rsidRPr="000915D0">
        <w:rPr>
          <w:rFonts w:ascii="Times New Roman" w:hAnsi="Times New Roman" w:cs="Times New Roman"/>
          <w:sz w:val="24"/>
          <w:szCs w:val="24"/>
        </w:rPr>
        <w:t xml:space="preserve"> </w:t>
      </w:r>
    </w:p>
    <w:p w14:paraId="2A5C7574" w14:textId="62E9A85F" w:rsidR="0000458E" w:rsidRPr="000915D0" w:rsidRDefault="0000458E" w:rsidP="005A2601">
      <w:pPr>
        <w:spacing w:line="360" w:lineRule="auto"/>
        <w:jc w:val="both"/>
        <w:rPr>
          <w:rFonts w:ascii="Times New Roman" w:hAnsi="Times New Roman" w:cs="Times New Roman"/>
          <w:sz w:val="24"/>
          <w:szCs w:val="24"/>
        </w:rPr>
      </w:pPr>
    </w:p>
    <w:p w14:paraId="17AC4250" w14:textId="77777777" w:rsidR="002905A1" w:rsidRPr="000915D0" w:rsidRDefault="002905A1">
      <w:pPr>
        <w:spacing w:line="360" w:lineRule="auto"/>
        <w:jc w:val="both"/>
        <w:rPr>
          <w:rFonts w:ascii="Times New Roman" w:hAnsi="Times New Roman" w:cs="Times New Roman"/>
          <w:sz w:val="24"/>
          <w:szCs w:val="24"/>
        </w:rPr>
        <w:sectPr w:rsidR="002905A1" w:rsidRPr="000915D0" w:rsidSect="0022270D">
          <w:footerReference w:type="default" r:id="rId8"/>
          <w:pgSz w:w="11906" w:h="16838"/>
          <w:pgMar w:top="1417" w:right="1417" w:bottom="1417" w:left="1417" w:header="708" w:footer="708" w:gutter="0"/>
          <w:cols w:space="708"/>
          <w:docGrid w:linePitch="360"/>
        </w:sectPr>
      </w:pPr>
    </w:p>
    <w:tbl>
      <w:tblPr>
        <w:tblStyle w:val="Grilledutableau"/>
        <w:tblpPr w:leftFromText="141" w:rightFromText="141" w:horzAnchor="margin" w:tblpXSpec="center" w:tblpY="468"/>
        <w:tblW w:w="14865" w:type="dxa"/>
        <w:tblLook w:val="04A0" w:firstRow="1" w:lastRow="0" w:firstColumn="1" w:lastColumn="0" w:noHBand="0" w:noVBand="1"/>
      </w:tblPr>
      <w:tblGrid>
        <w:gridCol w:w="1253"/>
        <w:gridCol w:w="3403"/>
        <w:gridCol w:w="3403"/>
        <w:gridCol w:w="3403"/>
        <w:gridCol w:w="3403"/>
      </w:tblGrid>
      <w:tr w:rsidR="002905A1" w:rsidRPr="000915D0" w14:paraId="01364D38" w14:textId="77777777" w:rsidTr="001A2C13">
        <w:trPr>
          <w:trHeight w:val="509"/>
        </w:trPr>
        <w:tc>
          <w:tcPr>
            <w:tcW w:w="1253" w:type="dxa"/>
            <w:tcBorders>
              <w:top w:val="single" w:sz="18" w:space="0" w:color="auto"/>
              <w:left w:val="single" w:sz="18" w:space="0" w:color="auto"/>
            </w:tcBorders>
            <w:vAlign w:val="center"/>
          </w:tcPr>
          <w:p w14:paraId="7CB04A71" w14:textId="77777777" w:rsidR="002905A1" w:rsidRPr="000915D0" w:rsidRDefault="002905A1" w:rsidP="001A2C13">
            <w:pPr>
              <w:jc w:val="both"/>
              <w:rPr>
                <w:rFonts w:ascii="Times New Roman" w:hAnsi="Times New Roman" w:cs="Times New Roman"/>
                <w:b/>
                <w:sz w:val="20"/>
                <w:szCs w:val="20"/>
              </w:rPr>
            </w:pPr>
          </w:p>
        </w:tc>
        <w:tc>
          <w:tcPr>
            <w:tcW w:w="3403" w:type="dxa"/>
            <w:tcBorders>
              <w:top w:val="single" w:sz="18" w:space="0" w:color="auto"/>
            </w:tcBorders>
            <w:vAlign w:val="center"/>
          </w:tcPr>
          <w:p w14:paraId="1224C6B1" w14:textId="77777777" w:rsidR="002905A1" w:rsidRPr="000915D0" w:rsidRDefault="002905A1" w:rsidP="001A2C13">
            <w:pPr>
              <w:jc w:val="center"/>
              <w:rPr>
                <w:rFonts w:ascii="Times New Roman" w:hAnsi="Times New Roman" w:cs="Times New Roman"/>
                <w:b/>
                <w:sz w:val="20"/>
                <w:szCs w:val="20"/>
              </w:rPr>
            </w:pPr>
            <w:r w:rsidRPr="000915D0">
              <w:rPr>
                <w:rFonts w:ascii="Times New Roman" w:hAnsi="Times New Roman" w:cs="Times New Roman"/>
                <w:b/>
                <w:sz w:val="20"/>
                <w:szCs w:val="20"/>
              </w:rPr>
              <w:t>1945-1960</w:t>
            </w:r>
          </w:p>
        </w:tc>
        <w:tc>
          <w:tcPr>
            <w:tcW w:w="3403" w:type="dxa"/>
            <w:tcBorders>
              <w:top w:val="single" w:sz="18" w:space="0" w:color="auto"/>
            </w:tcBorders>
            <w:vAlign w:val="center"/>
          </w:tcPr>
          <w:p w14:paraId="27E72EAC" w14:textId="77777777" w:rsidR="002905A1" w:rsidRPr="000915D0" w:rsidRDefault="002905A1" w:rsidP="001A2C13">
            <w:pPr>
              <w:jc w:val="center"/>
              <w:rPr>
                <w:rFonts w:ascii="Times New Roman" w:hAnsi="Times New Roman" w:cs="Times New Roman"/>
                <w:b/>
                <w:sz w:val="20"/>
                <w:szCs w:val="20"/>
              </w:rPr>
            </w:pPr>
            <w:r w:rsidRPr="000915D0">
              <w:rPr>
                <w:rFonts w:ascii="Times New Roman" w:hAnsi="Times New Roman" w:cs="Times New Roman"/>
                <w:b/>
                <w:sz w:val="20"/>
                <w:szCs w:val="20"/>
              </w:rPr>
              <w:t>1960-1970</w:t>
            </w:r>
          </w:p>
        </w:tc>
        <w:tc>
          <w:tcPr>
            <w:tcW w:w="3403" w:type="dxa"/>
            <w:tcBorders>
              <w:top w:val="single" w:sz="18" w:space="0" w:color="auto"/>
            </w:tcBorders>
            <w:vAlign w:val="center"/>
          </w:tcPr>
          <w:p w14:paraId="6AF64311" w14:textId="77777777" w:rsidR="002905A1" w:rsidRPr="000915D0" w:rsidRDefault="002905A1" w:rsidP="001A2C13">
            <w:pPr>
              <w:jc w:val="center"/>
              <w:rPr>
                <w:rFonts w:ascii="Times New Roman" w:hAnsi="Times New Roman" w:cs="Times New Roman"/>
                <w:b/>
                <w:sz w:val="20"/>
                <w:szCs w:val="20"/>
              </w:rPr>
            </w:pPr>
            <w:r w:rsidRPr="000915D0">
              <w:rPr>
                <w:rFonts w:ascii="Times New Roman" w:hAnsi="Times New Roman" w:cs="Times New Roman"/>
                <w:b/>
                <w:sz w:val="20"/>
                <w:szCs w:val="20"/>
              </w:rPr>
              <w:t>1970-1980</w:t>
            </w:r>
          </w:p>
        </w:tc>
        <w:tc>
          <w:tcPr>
            <w:tcW w:w="3403" w:type="dxa"/>
            <w:tcBorders>
              <w:top w:val="single" w:sz="18" w:space="0" w:color="auto"/>
              <w:right w:val="single" w:sz="18" w:space="0" w:color="auto"/>
            </w:tcBorders>
            <w:vAlign w:val="center"/>
          </w:tcPr>
          <w:p w14:paraId="0477C111" w14:textId="77777777" w:rsidR="002905A1" w:rsidRPr="000915D0" w:rsidRDefault="002905A1" w:rsidP="001A2C13">
            <w:pPr>
              <w:jc w:val="center"/>
              <w:rPr>
                <w:rFonts w:ascii="Times New Roman" w:hAnsi="Times New Roman" w:cs="Times New Roman"/>
                <w:b/>
                <w:sz w:val="20"/>
                <w:szCs w:val="20"/>
              </w:rPr>
            </w:pPr>
            <w:r w:rsidRPr="000915D0">
              <w:rPr>
                <w:rFonts w:ascii="Times New Roman" w:hAnsi="Times New Roman" w:cs="Times New Roman"/>
                <w:b/>
                <w:sz w:val="20"/>
                <w:szCs w:val="20"/>
              </w:rPr>
              <w:t>2000-2020</w:t>
            </w:r>
          </w:p>
        </w:tc>
      </w:tr>
      <w:tr w:rsidR="002905A1" w:rsidRPr="000915D0" w14:paraId="66C72350" w14:textId="77777777" w:rsidTr="001A2C13">
        <w:trPr>
          <w:trHeight w:val="2229"/>
        </w:trPr>
        <w:tc>
          <w:tcPr>
            <w:tcW w:w="1253" w:type="dxa"/>
            <w:tcBorders>
              <w:left w:val="single" w:sz="18" w:space="0" w:color="auto"/>
            </w:tcBorders>
            <w:vAlign w:val="center"/>
          </w:tcPr>
          <w:p w14:paraId="1B3D1EFC" w14:textId="77777777" w:rsidR="002905A1" w:rsidRPr="000915D0" w:rsidRDefault="002905A1" w:rsidP="001A2C13">
            <w:pPr>
              <w:jc w:val="both"/>
              <w:rPr>
                <w:rFonts w:ascii="Times New Roman" w:hAnsi="Times New Roman" w:cs="Times New Roman"/>
                <w:sz w:val="20"/>
                <w:szCs w:val="20"/>
              </w:rPr>
            </w:pPr>
            <w:r w:rsidRPr="000915D0">
              <w:rPr>
                <w:rFonts w:ascii="Times New Roman" w:hAnsi="Times New Roman" w:cs="Times New Roman"/>
                <w:b/>
                <w:sz w:val="20"/>
                <w:szCs w:val="20"/>
              </w:rPr>
              <w:t>Allemagne</w:t>
            </w:r>
          </w:p>
        </w:tc>
        <w:tc>
          <w:tcPr>
            <w:tcW w:w="3403" w:type="dxa"/>
            <w:vAlign w:val="center"/>
          </w:tcPr>
          <w:p w14:paraId="46763646" w14:textId="77777777" w:rsidR="003D3D5E" w:rsidRPr="000915D0" w:rsidRDefault="002905A1" w:rsidP="003D3D5E">
            <w:pPr>
              <w:rPr>
                <w:rStyle w:val="cf01"/>
                <w:rFonts w:ascii="Times New Roman" w:hAnsi="Times New Roman" w:cs="Times New Roman"/>
                <w:sz w:val="20"/>
                <w:szCs w:val="20"/>
              </w:rPr>
            </w:pPr>
            <w:r w:rsidRPr="000915D0">
              <w:rPr>
                <w:rStyle w:val="cf01"/>
                <w:rFonts w:ascii="Times New Roman" w:hAnsi="Times New Roman" w:cs="Times New Roman"/>
                <w:sz w:val="20"/>
                <w:szCs w:val="20"/>
              </w:rPr>
              <w:t xml:space="preserve">Opportunité politique : Règles provisoires imposées par les </w:t>
            </w:r>
            <w:proofErr w:type="gramStart"/>
            <w:r w:rsidRPr="000915D0">
              <w:rPr>
                <w:rStyle w:val="cf01"/>
                <w:rFonts w:ascii="Times New Roman" w:hAnsi="Times New Roman" w:cs="Times New Roman"/>
                <w:sz w:val="20"/>
                <w:szCs w:val="20"/>
              </w:rPr>
              <w:t>britanniques</w:t>
            </w:r>
            <w:proofErr w:type="gramEnd"/>
            <w:r w:rsidR="003D3D5E" w:rsidRPr="000915D0">
              <w:rPr>
                <w:rStyle w:val="cf01"/>
                <w:rFonts w:ascii="Times New Roman" w:hAnsi="Times New Roman" w:cs="Times New Roman"/>
                <w:sz w:val="20"/>
                <w:szCs w:val="20"/>
              </w:rPr>
              <w:t xml:space="preserve"> </w:t>
            </w:r>
          </w:p>
          <w:p w14:paraId="382F376D" w14:textId="77926694" w:rsidR="003D3D5E" w:rsidRPr="000915D0" w:rsidRDefault="003D3D5E" w:rsidP="003D3D5E">
            <w:pPr>
              <w:rPr>
                <w:rStyle w:val="cf01"/>
                <w:rFonts w:ascii="Times New Roman" w:hAnsi="Times New Roman" w:cs="Times New Roman"/>
                <w:sz w:val="20"/>
                <w:szCs w:val="20"/>
              </w:rPr>
            </w:pPr>
            <w:r w:rsidRPr="000915D0">
              <w:rPr>
                <w:rStyle w:val="cf01"/>
                <w:rFonts w:ascii="Times New Roman" w:hAnsi="Times New Roman" w:cs="Times New Roman"/>
                <w:sz w:val="20"/>
                <w:szCs w:val="20"/>
              </w:rPr>
              <w:t>Nécessité pour le gouvernement de maintien de paix sociale</w:t>
            </w:r>
          </w:p>
          <w:p w14:paraId="12DA6186" w14:textId="77777777" w:rsidR="002905A1" w:rsidRPr="000915D0" w:rsidRDefault="002905A1" w:rsidP="001A2C13">
            <w:pPr>
              <w:rPr>
                <w:rStyle w:val="cf01"/>
                <w:rFonts w:ascii="Times New Roman" w:hAnsi="Times New Roman" w:cs="Times New Roman"/>
                <w:sz w:val="14"/>
                <w:szCs w:val="20"/>
              </w:rPr>
            </w:pPr>
          </w:p>
          <w:p w14:paraId="39A9122C" w14:textId="77777777" w:rsidR="002905A1" w:rsidRPr="000915D0" w:rsidRDefault="002905A1" w:rsidP="001A2C13">
            <w:pPr>
              <w:rPr>
                <w:rStyle w:val="cf01"/>
                <w:rFonts w:ascii="Times New Roman" w:hAnsi="Times New Roman" w:cs="Times New Roman"/>
                <w:color w:val="00B050"/>
                <w:sz w:val="20"/>
                <w:szCs w:val="20"/>
              </w:rPr>
            </w:pPr>
            <w:r w:rsidRPr="000915D0">
              <w:rPr>
                <w:rStyle w:val="cf01"/>
                <w:rFonts w:ascii="Times New Roman" w:hAnsi="Times New Roman" w:cs="Times New Roman"/>
                <w:color w:val="00B050"/>
                <w:sz w:val="20"/>
                <w:szCs w:val="20"/>
              </w:rPr>
              <w:t>Katholikentag 1948</w:t>
            </w:r>
          </w:p>
          <w:p w14:paraId="262B0724" w14:textId="77777777" w:rsidR="002905A1" w:rsidRPr="000915D0" w:rsidRDefault="002905A1" w:rsidP="001A2C13">
            <w:pPr>
              <w:rPr>
                <w:rStyle w:val="cf01"/>
                <w:rFonts w:ascii="Times New Roman" w:hAnsi="Times New Roman" w:cs="Times New Roman"/>
                <w:color w:val="00B050"/>
                <w:sz w:val="20"/>
                <w:szCs w:val="20"/>
              </w:rPr>
            </w:pPr>
            <w:r w:rsidRPr="000915D0">
              <w:rPr>
                <w:rStyle w:val="cf01"/>
                <w:rFonts w:ascii="Times New Roman" w:hAnsi="Times New Roman" w:cs="Times New Roman"/>
                <w:color w:val="00B050"/>
                <w:sz w:val="20"/>
                <w:szCs w:val="20"/>
              </w:rPr>
              <w:t>Mobilisation des ouvriers</w:t>
            </w:r>
          </w:p>
          <w:p w14:paraId="2E056360" w14:textId="77777777" w:rsidR="003D3D5E" w:rsidRPr="000915D0" w:rsidRDefault="003D3D5E" w:rsidP="003D3D5E">
            <w:pPr>
              <w:rPr>
                <w:rStyle w:val="cf01"/>
                <w:rFonts w:ascii="Times New Roman" w:hAnsi="Times New Roman" w:cs="Times New Roman"/>
                <w:color w:val="0070C0"/>
                <w:sz w:val="14"/>
                <w:szCs w:val="20"/>
              </w:rPr>
            </w:pPr>
          </w:p>
          <w:p w14:paraId="34D18238" w14:textId="04899AD4" w:rsidR="002905A1" w:rsidRPr="000915D0" w:rsidRDefault="002905A1" w:rsidP="003D3D5E">
            <w:pPr>
              <w:rPr>
                <w:color w:val="0070C0"/>
                <w:sz w:val="20"/>
                <w:szCs w:val="20"/>
              </w:rPr>
            </w:pPr>
            <w:r w:rsidRPr="000915D0">
              <w:rPr>
                <w:rStyle w:val="cf01"/>
                <w:rFonts w:ascii="Times New Roman" w:hAnsi="Times New Roman" w:cs="Times New Roman"/>
                <w:color w:val="0070C0"/>
                <w:sz w:val="20"/>
                <w:szCs w:val="20"/>
              </w:rPr>
              <w:t>Livre “Mitbestimmung” de Nell-Breuning</w:t>
            </w:r>
            <w:r w:rsidRPr="000915D0">
              <w:rPr>
                <w:rStyle w:val="Appelnotedebasdep"/>
                <w:color w:val="0070C0"/>
                <w:sz w:val="20"/>
                <w:szCs w:val="20"/>
              </w:rPr>
              <w:footnoteReference w:id="1"/>
            </w:r>
            <w:r w:rsidRPr="000915D0">
              <w:rPr>
                <w:rStyle w:val="cf01"/>
                <w:rFonts w:ascii="Times New Roman" w:hAnsi="Times New Roman" w:cs="Times New Roman"/>
                <w:color w:val="0070C0"/>
                <w:sz w:val="20"/>
                <w:szCs w:val="20"/>
              </w:rPr>
              <w:t xml:space="preserve"> 1950 </w:t>
            </w:r>
          </w:p>
          <w:p w14:paraId="7B046F7B" w14:textId="77777777" w:rsidR="003D3D5E" w:rsidRPr="000915D0" w:rsidRDefault="003D3D5E" w:rsidP="001A2C13">
            <w:pPr>
              <w:rPr>
                <w:rFonts w:ascii="Times New Roman" w:hAnsi="Times New Roman" w:cs="Times New Roman"/>
                <w:color w:val="FF0000"/>
                <w:sz w:val="14"/>
                <w:szCs w:val="20"/>
              </w:rPr>
            </w:pPr>
          </w:p>
          <w:p w14:paraId="647D672C" w14:textId="1D665CD7" w:rsidR="002905A1" w:rsidRPr="000915D0" w:rsidRDefault="002905A1" w:rsidP="001A2C13">
            <w:pPr>
              <w:rPr>
                <w:rFonts w:ascii="Times New Roman" w:hAnsi="Times New Roman" w:cs="Times New Roman"/>
                <w:sz w:val="20"/>
                <w:szCs w:val="20"/>
              </w:rPr>
            </w:pPr>
            <w:r w:rsidRPr="000915D0">
              <w:rPr>
                <w:rFonts w:ascii="Times New Roman" w:hAnsi="Times New Roman" w:cs="Times New Roman"/>
                <w:color w:val="FF0000"/>
                <w:sz w:val="20"/>
                <w:szCs w:val="20"/>
              </w:rPr>
              <w:t>Loi de 1951</w:t>
            </w:r>
          </w:p>
        </w:tc>
        <w:tc>
          <w:tcPr>
            <w:tcW w:w="3403" w:type="dxa"/>
            <w:vAlign w:val="center"/>
          </w:tcPr>
          <w:p w14:paraId="39EBF21B" w14:textId="77777777" w:rsidR="002905A1" w:rsidRPr="000915D0" w:rsidRDefault="002905A1" w:rsidP="001A2C13">
            <w:pPr>
              <w:rPr>
                <w:rStyle w:val="cf01"/>
                <w:rFonts w:ascii="Times New Roman" w:hAnsi="Times New Roman" w:cs="Times New Roman"/>
                <w:sz w:val="20"/>
                <w:szCs w:val="20"/>
              </w:rPr>
            </w:pPr>
            <w:r w:rsidRPr="000915D0">
              <w:rPr>
                <w:rStyle w:val="cf01"/>
                <w:rFonts w:ascii="Times New Roman" w:hAnsi="Times New Roman" w:cs="Times New Roman"/>
                <w:sz w:val="20"/>
                <w:szCs w:val="20"/>
              </w:rPr>
              <w:t>Contexte politique peu favorable : gouvernement conservateur-libéral ; puis grande coalition</w:t>
            </w:r>
          </w:p>
          <w:p w14:paraId="2DEB10AE" w14:textId="77777777" w:rsidR="003D3D5E" w:rsidRPr="000915D0" w:rsidRDefault="003D3D5E" w:rsidP="001A2C13">
            <w:pPr>
              <w:rPr>
                <w:rStyle w:val="cf01"/>
                <w:rFonts w:ascii="Times New Roman" w:hAnsi="Times New Roman" w:cs="Times New Roman"/>
                <w:color w:val="00B050"/>
                <w:sz w:val="14"/>
                <w:szCs w:val="20"/>
              </w:rPr>
            </w:pPr>
          </w:p>
          <w:p w14:paraId="28972E7E" w14:textId="4EF52722" w:rsidR="002905A1" w:rsidRPr="000915D0" w:rsidRDefault="002905A1" w:rsidP="001A2C13">
            <w:pPr>
              <w:rPr>
                <w:rStyle w:val="cf01"/>
                <w:rFonts w:ascii="Times New Roman" w:hAnsi="Times New Roman" w:cs="Times New Roman"/>
                <w:sz w:val="20"/>
                <w:szCs w:val="20"/>
              </w:rPr>
            </w:pPr>
            <w:r w:rsidRPr="000915D0">
              <w:rPr>
                <w:rStyle w:val="cf01"/>
                <w:rFonts w:ascii="Times New Roman" w:hAnsi="Times New Roman" w:cs="Times New Roman"/>
                <w:color w:val="00B050"/>
                <w:sz w:val="20"/>
                <w:szCs w:val="20"/>
              </w:rPr>
              <w:t>1962 : DGB propose d’élargir l’application de la loi de 1951 à tous les secteurs d’activité, sans relais politique fort</w:t>
            </w:r>
          </w:p>
          <w:p w14:paraId="760B68C0" w14:textId="77777777" w:rsidR="002905A1" w:rsidRPr="000915D0" w:rsidRDefault="002905A1" w:rsidP="001A2C13">
            <w:pPr>
              <w:rPr>
                <w:rStyle w:val="cf01"/>
                <w:rFonts w:ascii="Times New Roman" w:hAnsi="Times New Roman" w:cs="Times New Roman"/>
                <w:sz w:val="20"/>
                <w:szCs w:val="20"/>
              </w:rPr>
            </w:pPr>
            <w:r w:rsidRPr="000915D0">
              <w:rPr>
                <w:rStyle w:val="cf01"/>
                <w:rFonts w:ascii="Times New Roman" w:hAnsi="Times New Roman" w:cs="Times New Roman"/>
                <w:color w:val="00B050"/>
                <w:sz w:val="20"/>
                <w:szCs w:val="20"/>
              </w:rPr>
              <w:t>Tentative de contre-mobilisation du patronat, avec création du « Arbeitskreis Mitbestimmung » en 1964 comme groupe de pression du patronat</w:t>
            </w:r>
          </w:p>
          <w:p w14:paraId="3D1DC777" w14:textId="71322DF7" w:rsidR="003D3D5E" w:rsidRPr="000915D0" w:rsidRDefault="003D3D5E" w:rsidP="001A2C13">
            <w:pPr>
              <w:rPr>
                <w:rStyle w:val="cf01"/>
                <w:rFonts w:ascii="Times New Roman" w:hAnsi="Times New Roman" w:cs="Times New Roman"/>
                <w:color w:val="0070C0"/>
                <w:sz w:val="14"/>
                <w:szCs w:val="20"/>
              </w:rPr>
            </w:pPr>
          </w:p>
          <w:p w14:paraId="5FEB34DD" w14:textId="35ADDD8B" w:rsidR="002905A1" w:rsidRPr="000915D0" w:rsidRDefault="001328A3" w:rsidP="001A2C13">
            <w:pPr>
              <w:rPr>
                <w:rStyle w:val="cf01"/>
                <w:rFonts w:ascii="Times New Roman" w:hAnsi="Times New Roman" w:cs="Times New Roman"/>
                <w:color w:val="0070C0"/>
                <w:sz w:val="20"/>
                <w:szCs w:val="20"/>
              </w:rPr>
            </w:pPr>
            <w:r w:rsidRPr="000915D0">
              <w:rPr>
                <w:rStyle w:val="cf01"/>
                <w:rFonts w:ascii="Times New Roman" w:hAnsi="Times New Roman" w:cs="Times New Roman"/>
                <w:color w:val="0070C0"/>
                <w:sz w:val="20"/>
                <w:szCs w:val="20"/>
              </w:rPr>
              <w:t>1</w:t>
            </w:r>
            <w:r w:rsidR="002905A1" w:rsidRPr="000915D0">
              <w:rPr>
                <w:rStyle w:val="cf01"/>
                <w:rFonts w:ascii="Times New Roman" w:hAnsi="Times New Roman" w:cs="Times New Roman"/>
                <w:color w:val="0070C0"/>
                <w:sz w:val="20"/>
                <w:szCs w:val="20"/>
              </w:rPr>
              <w:t xml:space="preserve">968 Première </w:t>
            </w:r>
            <w:r w:rsidR="00F75DCD" w:rsidRPr="000915D0">
              <w:rPr>
                <w:rStyle w:val="cf01"/>
                <w:rFonts w:ascii="Times New Roman" w:hAnsi="Times New Roman" w:cs="Times New Roman"/>
                <w:color w:val="0070C0"/>
                <w:sz w:val="20"/>
                <w:szCs w:val="20"/>
              </w:rPr>
              <w:t>commission</w:t>
            </w:r>
            <w:r w:rsidR="002905A1" w:rsidRPr="000915D0">
              <w:rPr>
                <w:rStyle w:val="cf01"/>
                <w:rFonts w:ascii="Times New Roman" w:hAnsi="Times New Roman" w:cs="Times New Roman"/>
                <w:color w:val="0070C0"/>
                <w:sz w:val="20"/>
                <w:szCs w:val="20"/>
              </w:rPr>
              <w:t xml:space="preserve"> Biedenkopf ;</w:t>
            </w:r>
          </w:p>
          <w:p w14:paraId="5D57FD9E" w14:textId="77777777" w:rsidR="002905A1" w:rsidRPr="000915D0" w:rsidRDefault="002905A1" w:rsidP="001A2C13">
            <w:pPr>
              <w:rPr>
                <w:rFonts w:ascii="Times New Roman" w:hAnsi="Times New Roman" w:cs="Times New Roman"/>
                <w:sz w:val="20"/>
                <w:szCs w:val="20"/>
              </w:rPr>
            </w:pPr>
            <w:r w:rsidRPr="000915D0">
              <w:rPr>
                <w:rStyle w:val="cf01"/>
                <w:rFonts w:ascii="Times New Roman" w:hAnsi="Times New Roman" w:cs="Times New Roman"/>
                <w:color w:val="0070C0"/>
                <w:sz w:val="20"/>
                <w:szCs w:val="20"/>
              </w:rPr>
              <w:t>2</w:t>
            </w:r>
            <w:r w:rsidRPr="000915D0">
              <w:rPr>
                <w:rStyle w:val="cf01"/>
                <w:rFonts w:ascii="Times New Roman" w:hAnsi="Times New Roman" w:cs="Times New Roman"/>
                <w:color w:val="0070C0"/>
                <w:sz w:val="20"/>
                <w:szCs w:val="20"/>
                <w:vertAlign w:val="superscript"/>
              </w:rPr>
              <w:t>nd</w:t>
            </w:r>
            <w:r w:rsidRPr="000915D0">
              <w:rPr>
                <w:rStyle w:val="cf01"/>
                <w:rFonts w:ascii="Times New Roman" w:hAnsi="Times New Roman" w:cs="Times New Roman"/>
                <w:color w:val="0070C0"/>
                <w:sz w:val="20"/>
                <w:szCs w:val="20"/>
              </w:rPr>
              <w:t xml:space="preserve"> livre sur la « Mitbestimmung » de Nell-Breuning (1968)</w:t>
            </w:r>
          </w:p>
        </w:tc>
        <w:tc>
          <w:tcPr>
            <w:tcW w:w="3403" w:type="dxa"/>
            <w:vAlign w:val="center"/>
          </w:tcPr>
          <w:p w14:paraId="7D7D92DC" w14:textId="5E7D75D6" w:rsidR="002905A1" w:rsidRPr="000915D0" w:rsidRDefault="002905A1" w:rsidP="001A2C13">
            <w:pPr>
              <w:rPr>
                <w:rFonts w:ascii="Times New Roman" w:hAnsi="Times New Roman" w:cs="Times New Roman"/>
                <w:sz w:val="20"/>
                <w:szCs w:val="20"/>
              </w:rPr>
            </w:pPr>
            <w:r w:rsidRPr="000915D0">
              <w:rPr>
                <w:rFonts w:ascii="Times New Roman" w:hAnsi="Times New Roman" w:cs="Times New Roman"/>
                <w:sz w:val="20"/>
                <w:szCs w:val="20"/>
              </w:rPr>
              <w:t xml:space="preserve">Contexte politique devient favorable : Elections de nov. 1972 : </w:t>
            </w:r>
            <w:r w:rsidR="00990C55" w:rsidRPr="000915D0">
              <w:t xml:space="preserve"> </w:t>
            </w:r>
            <w:r w:rsidR="00990C55" w:rsidRPr="000915D0">
              <w:rPr>
                <w:rFonts w:ascii="Times New Roman" w:hAnsi="Times New Roman" w:cs="Times New Roman"/>
                <w:i/>
                <w:iCs/>
                <w:sz w:val="20"/>
                <w:szCs w:val="20"/>
              </w:rPr>
              <w:t>Sozialdemokratische Partei Deutschlands</w:t>
            </w:r>
            <w:r w:rsidR="00990C55" w:rsidRPr="000915D0">
              <w:rPr>
                <w:rFonts w:ascii="Times New Roman" w:hAnsi="Times New Roman" w:cs="Times New Roman"/>
                <w:sz w:val="20"/>
                <w:szCs w:val="20"/>
              </w:rPr>
              <w:t xml:space="preserve"> (</w:t>
            </w:r>
            <w:r w:rsidRPr="000915D0">
              <w:rPr>
                <w:rFonts w:ascii="Times New Roman" w:hAnsi="Times New Roman" w:cs="Times New Roman"/>
                <w:sz w:val="20"/>
                <w:szCs w:val="20"/>
              </w:rPr>
              <w:t>SPD</w:t>
            </w:r>
            <w:r w:rsidR="00990C55" w:rsidRPr="000915D0">
              <w:rPr>
                <w:rFonts w:ascii="Times New Roman" w:hAnsi="Times New Roman" w:cs="Times New Roman"/>
                <w:sz w:val="20"/>
                <w:szCs w:val="20"/>
              </w:rPr>
              <w:t>)</w:t>
            </w:r>
            <w:r w:rsidRPr="000915D0">
              <w:rPr>
                <w:rFonts w:ascii="Times New Roman" w:hAnsi="Times New Roman" w:cs="Times New Roman"/>
                <w:sz w:val="20"/>
                <w:szCs w:val="20"/>
              </w:rPr>
              <w:t xml:space="preserve"> ressort renforcé</w:t>
            </w:r>
          </w:p>
          <w:p w14:paraId="523B9144" w14:textId="77777777" w:rsidR="003D3D5E" w:rsidRPr="000915D0" w:rsidRDefault="003D3D5E" w:rsidP="001A2C13">
            <w:pPr>
              <w:rPr>
                <w:rFonts w:ascii="Times New Roman" w:hAnsi="Times New Roman" w:cs="Times New Roman"/>
                <w:color w:val="00B050"/>
                <w:sz w:val="14"/>
                <w:szCs w:val="20"/>
              </w:rPr>
            </w:pPr>
          </w:p>
          <w:p w14:paraId="5577F2C3" w14:textId="01AC8373" w:rsidR="002905A1" w:rsidRPr="000915D0" w:rsidRDefault="002905A1" w:rsidP="001A2C13">
            <w:pPr>
              <w:rPr>
                <w:rFonts w:ascii="Times New Roman" w:hAnsi="Times New Roman" w:cs="Times New Roman"/>
                <w:color w:val="00B050"/>
                <w:sz w:val="20"/>
                <w:szCs w:val="20"/>
              </w:rPr>
            </w:pPr>
            <w:r w:rsidRPr="000915D0">
              <w:rPr>
                <w:rFonts w:ascii="Times New Roman" w:hAnsi="Times New Roman" w:cs="Times New Roman"/>
                <w:color w:val="00B050"/>
                <w:sz w:val="20"/>
                <w:szCs w:val="20"/>
              </w:rPr>
              <w:t>Mobilisation politique : Obtention d’un compromis politique entre SPD et FDP, soutenu par l’aile sociale-catholique de la CDU</w:t>
            </w:r>
          </w:p>
          <w:p w14:paraId="48FC3176" w14:textId="77777777" w:rsidR="003D3D5E" w:rsidRPr="000915D0" w:rsidRDefault="003D3D5E" w:rsidP="001A2C13">
            <w:pPr>
              <w:rPr>
                <w:rFonts w:ascii="Times New Roman" w:hAnsi="Times New Roman" w:cs="Times New Roman"/>
                <w:color w:val="FF0000"/>
                <w:sz w:val="14"/>
                <w:szCs w:val="20"/>
              </w:rPr>
            </w:pPr>
          </w:p>
          <w:p w14:paraId="009A400C" w14:textId="41BB496A" w:rsidR="002905A1" w:rsidRPr="000915D0" w:rsidRDefault="002905A1" w:rsidP="001A2C13">
            <w:pPr>
              <w:rPr>
                <w:rFonts w:ascii="Times New Roman" w:hAnsi="Times New Roman" w:cs="Times New Roman"/>
                <w:color w:val="FF0000"/>
                <w:sz w:val="20"/>
                <w:szCs w:val="20"/>
              </w:rPr>
            </w:pPr>
            <w:r w:rsidRPr="000915D0">
              <w:rPr>
                <w:rFonts w:ascii="Times New Roman" w:hAnsi="Times New Roman" w:cs="Times New Roman"/>
                <w:color w:val="FF0000"/>
                <w:sz w:val="20"/>
                <w:szCs w:val="20"/>
              </w:rPr>
              <w:t>Loi de 1976</w:t>
            </w:r>
          </w:p>
          <w:p w14:paraId="32A12FA8" w14:textId="77777777" w:rsidR="002905A1" w:rsidRPr="000915D0" w:rsidRDefault="002905A1" w:rsidP="001A2C13">
            <w:pPr>
              <w:rPr>
                <w:rFonts w:ascii="Times New Roman" w:hAnsi="Times New Roman" w:cs="Times New Roman"/>
                <w:sz w:val="20"/>
                <w:szCs w:val="20"/>
              </w:rPr>
            </w:pPr>
            <w:r w:rsidRPr="000915D0">
              <w:rPr>
                <w:rFonts w:ascii="Times New Roman" w:hAnsi="Times New Roman" w:cs="Times New Roman"/>
                <w:color w:val="FF0000"/>
                <w:sz w:val="20"/>
                <w:szCs w:val="20"/>
              </w:rPr>
              <w:t>Jugement de la Cour constitutionnelle de mars 1979 : loi de 76 n’est pas contraire à la Constitution</w:t>
            </w:r>
          </w:p>
        </w:tc>
        <w:tc>
          <w:tcPr>
            <w:tcW w:w="3403" w:type="dxa"/>
            <w:tcBorders>
              <w:right w:val="single" w:sz="18" w:space="0" w:color="auto"/>
            </w:tcBorders>
            <w:vAlign w:val="center"/>
          </w:tcPr>
          <w:p w14:paraId="6CAE021E" w14:textId="3952398F" w:rsidR="002905A1" w:rsidRPr="000915D0" w:rsidRDefault="002905A1" w:rsidP="001A2C13">
            <w:pPr>
              <w:rPr>
                <w:rFonts w:ascii="Times New Roman" w:hAnsi="Times New Roman" w:cs="Times New Roman"/>
                <w:color w:val="00B050"/>
                <w:sz w:val="20"/>
                <w:szCs w:val="20"/>
              </w:rPr>
            </w:pPr>
            <w:r w:rsidRPr="000915D0">
              <w:rPr>
                <w:rFonts w:ascii="Times New Roman" w:hAnsi="Times New Roman" w:cs="Times New Roman"/>
                <w:color w:val="00B050"/>
                <w:sz w:val="20"/>
                <w:szCs w:val="20"/>
              </w:rPr>
              <w:t>Le patronat conteste la codétermination, mais ne parvient pas à mobiliser largement pour son abolition</w:t>
            </w:r>
            <w:r w:rsidR="00C92A7A" w:rsidRPr="000915D0">
              <w:rPr>
                <w:rFonts w:ascii="Times New Roman" w:hAnsi="Times New Roman" w:cs="Times New Roman"/>
                <w:color w:val="00B050"/>
                <w:sz w:val="20"/>
                <w:szCs w:val="20"/>
              </w:rPr>
              <w:t xml:space="preserve">. On relève quelques tentatives pour « échapper » au régime de codétermination (siège social à l’étranger ou adoption du statut de société européenne. </w:t>
            </w:r>
          </w:p>
          <w:p w14:paraId="40652094" w14:textId="77777777" w:rsidR="003D3D5E" w:rsidRPr="000915D0" w:rsidRDefault="003D3D5E" w:rsidP="001A2C13">
            <w:pPr>
              <w:rPr>
                <w:rFonts w:ascii="Times New Roman" w:hAnsi="Times New Roman" w:cs="Times New Roman"/>
                <w:color w:val="0070C0"/>
                <w:sz w:val="14"/>
                <w:szCs w:val="20"/>
              </w:rPr>
            </w:pPr>
          </w:p>
          <w:p w14:paraId="4ED060B3" w14:textId="57BE7396" w:rsidR="002905A1" w:rsidRPr="000915D0" w:rsidRDefault="002905A1" w:rsidP="001A2C13">
            <w:pPr>
              <w:rPr>
                <w:rFonts w:ascii="Times New Roman" w:hAnsi="Times New Roman" w:cs="Times New Roman"/>
                <w:sz w:val="20"/>
                <w:szCs w:val="20"/>
              </w:rPr>
            </w:pPr>
            <w:r w:rsidRPr="000915D0">
              <w:rPr>
                <w:rFonts w:ascii="Times New Roman" w:hAnsi="Times New Roman" w:cs="Times New Roman"/>
                <w:color w:val="0070C0"/>
                <w:sz w:val="20"/>
                <w:szCs w:val="20"/>
              </w:rPr>
              <w:t>Rapport 2</w:t>
            </w:r>
            <w:r w:rsidRPr="000915D0">
              <w:rPr>
                <w:rFonts w:ascii="Times New Roman" w:hAnsi="Times New Roman" w:cs="Times New Roman"/>
                <w:color w:val="0070C0"/>
                <w:sz w:val="20"/>
                <w:szCs w:val="20"/>
                <w:vertAlign w:val="superscript"/>
              </w:rPr>
              <w:t>ème</w:t>
            </w:r>
            <w:r w:rsidRPr="000915D0">
              <w:rPr>
                <w:rFonts w:ascii="Times New Roman" w:hAnsi="Times New Roman" w:cs="Times New Roman"/>
                <w:color w:val="0070C0"/>
                <w:sz w:val="20"/>
                <w:szCs w:val="20"/>
              </w:rPr>
              <w:t xml:space="preserve"> commission Biedenkopf (2006) :</w:t>
            </w:r>
            <w:r w:rsidRPr="000915D0">
              <w:rPr>
                <w:rFonts w:ascii="Times New Roman" w:hAnsi="Times New Roman" w:cs="Times New Roman"/>
                <w:color w:val="0070C0"/>
              </w:rPr>
              <w:t xml:space="preserve"> </w:t>
            </w:r>
            <w:r w:rsidRPr="000915D0">
              <w:rPr>
                <w:rFonts w:ascii="Times New Roman" w:hAnsi="Times New Roman" w:cs="Times New Roman"/>
                <w:color w:val="0070C0"/>
                <w:sz w:val="20"/>
                <w:szCs w:val="20"/>
              </w:rPr>
              <w:t xml:space="preserve">globalement favorable, mais position divergente hostile </w:t>
            </w:r>
            <w:proofErr w:type="gramStart"/>
            <w:r w:rsidRPr="000915D0">
              <w:rPr>
                <w:rFonts w:ascii="Times New Roman" w:hAnsi="Times New Roman" w:cs="Times New Roman"/>
                <w:color w:val="0070C0"/>
                <w:sz w:val="20"/>
                <w:szCs w:val="20"/>
              </w:rPr>
              <w:t>du patronat annexée</w:t>
            </w:r>
            <w:proofErr w:type="gramEnd"/>
          </w:p>
          <w:p w14:paraId="396F51A7" w14:textId="77777777" w:rsidR="003D3D5E" w:rsidRPr="000915D0" w:rsidRDefault="003D3D5E" w:rsidP="001A2C13">
            <w:pPr>
              <w:rPr>
                <w:rFonts w:ascii="Times New Roman" w:hAnsi="Times New Roman" w:cs="Times New Roman"/>
                <w:color w:val="FF0000"/>
                <w:sz w:val="14"/>
                <w:szCs w:val="20"/>
              </w:rPr>
            </w:pPr>
          </w:p>
          <w:p w14:paraId="335BE0AD" w14:textId="5BFAA3EB" w:rsidR="002905A1" w:rsidRPr="000915D0" w:rsidRDefault="002905A1" w:rsidP="001A2C13">
            <w:pPr>
              <w:rPr>
                <w:rFonts w:ascii="Times New Roman" w:hAnsi="Times New Roman" w:cs="Times New Roman"/>
                <w:sz w:val="20"/>
                <w:szCs w:val="20"/>
              </w:rPr>
            </w:pPr>
            <w:r w:rsidRPr="000915D0">
              <w:rPr>
                <w:rFonts w:ascii="Times New Roman" w:hAnsi="Times New Roman" w:cs="Times New Roman"/>
                <w:color w:val="FF0000"/>
                <w:sz w:val="20"/>
                <w:szCs w:val="20"/>
              </w:rPr>
              <w:t>Décision de la chancelière de ne pas toucher à la codétermination.</w:t>
            </w:r>
          </w:p>
        </w:tc>
      </w:tr>
      <w:tr w:rsidR="002905A1" w:rsidRPr="000915D0" w14:paraId="7292A80E" w14:textId="77777777" w:rsidTr="001A2C13">
        <w:trPr>
          <w:trHeight w:val="1466"/>
        </w:trPr>
        <w:tc>
          <w:tcPr>
            <w:tcW w:w="1253" w:type="dxa"/>
            <w:tcBorders>
              <w:left w:val="single" w:sz="18" w:space="0" w:color="auto"/>
            </w:tcBorders>
            <w:vAlign w:val="center"/>
          </w:tcPr>
          <w:p w14:paraId="00A2A56F" w14:textId="77777777" w:rsidR="002905A1" w:rsidRPr="000915D0" w:rsidRDefault="002905A1" w:rsidP="001A2C13">
            <w:pPr>
              <w:jc w:val="both"/>
              <w:rPr>
                <w:rFonts w:ascii="Times New Roman" w:hAnsi="Times New Roman" w:cs="Times New Roman"/>
                <w:sz w:val="20"/>
                <w:szCs w:val="20"/>
              </w:rPr>
            </w:pPr>
            <w:r w:rsidRPr="000915D0">
              <w:rPr>
                <w:rFonts w:ascii="Times New Roman" w:hAnsi="Times New Roman" w:cs="Times New Roman"/>
                <w:b/>
                <w:sz w:val="20"/>
                <w:szCs w:val="20"/>
              </w:rPr>
              <w:t>France</w:t>
            </w:r>
          </w:p>
        </w:tc>
        <w:tc>
          <w:tcPr>
            <w:tcW w:w="3403" w:type="dxa"/>
            <w:vAlign w:val="center"/>
          </w:tcPr>
          <w:p w14:paraId="5A68DE01" w14:textId="48BAD9A0" w:rsidR="00633CB3" w:rsidRPr="000915D0" w:rsidRDefault="00633CB3" w:rsidP="001A2C13">
            <w:pPr>
              <w:rPr>
                <w:rStyle w:val="cf01"/>
                <w:rFonts w:ascii="Times New Roman" w:hAnsi="Times New Roman" w:cs="Times New Roman"/>
                <w:sz w:val="20"/>
                <w:szCs w:val="20"/>
              </w:rPr>
            </w:pPr>
            <w:r w:rsidRPr="000915D0">
              <w:rPr>
                <w:rStyle w:val="cf01"/>
                <w:rFonts w:ascii="Times New Roman" w:hAnsi="Times New Roman" w:cs="Times New Roman"/>
                <w:sz w:val="20"/>
                <w:szCs w:val="20"/>
              </w:rPr>
              <w:t>Contexte favorable à l’émergence des idées et des propositions de réforme dans le cadre de la reconstruction du pays</w:t>
            </w:r>
            <w:r w:rsidR="002503EE" w:rsidRPr="000915D0">
              <w:rPr>
                <w:rStyle w:val="cf01"/>
                <w:rFonts w:ascii="Times New Roman" w:hAnsi="Times New Roman" w:cs="Times New Roman"/>
                <w:sz w:val="20"/>
                <w:szCs w:val="20"/>
              </w:rPr>
              <w:t xml:space="preserve"> (notamment programme du CNR – 1944)</w:t>
            </w:r>
          </w:p>
          <w:p w14:paraId="433BB82D" w14:textId="77777777" w:rsidR="003D3D5E" w:rsidRPr="000915D0" w:rsidRDefault="003D3D5E" w:rsidP="001A2C13">
            <w:pPr>
              <w:rPr>
                <w:rStyle w:val="cf01"/>
                <w:rFonts w:ascii="Times New Roman" w:hAnsi="Times New Roman" w:cs="Times New Roman"/>
                <w:sz w:val="20"/>
                <w:szCs w:val="20"/>
              </w:rPr>
            </w:pPr>
          </w:p>
          <w:p w14:paraId="7AB13FFA" w14:textId="4157A52F" w:rsidR="002905A1" w:rsidRPr="000915D0" w:rsidRDefault="002905A1" w:rsidP="001A2C13">
            <w:pPr>
              <w:rPr>
                <w:rFonts w:ascii="Times New Roman" w:hAnsi="Times New Roman" w:cs="Times New Roman"/>
                <w:color w:val="0070C0"/>
                <w:sz w:val="20"/>
                <w:szCs w:val="20"/>
              </w:rPr>
            </w:pPr>
            <w:r w:rsidRPr="000915D0">
              <w:rPr>
                <w:rFonts w:ascii="Times New Roman" w:hAnsi="Times New Roman" w:cs="Times New Roman"/>
                <w:color w:val="0070C0"/>
                <w:sz w:val="20"/>
                <w:szCs w:val="20"/>
              </w:rPr>
              <w:t>Proposition de loi Bacon 1946</w:t>
            </w:r>
          </w:p>
          <w:p w14:paraId="7CF063E9" w14:textId="77777777" w:rsidR="002905A1" w:rsidRPr="000915D0" w:rsidRDefault="002905A1" w:rsidP="001A2C13">
            <w:pPr>
              <w:rPr>
                <w:rFonts w:ascii="Times New Roman" w:hAnsi="Times New Roman" w:cs="Times New Roman"/>
                <w:sz w:val="20"/>
                <w:szCs w:val="20"/>
              </w:rPr>
            </w:pPr>
            <w:r w:rsidRPr="000915D0">
              <w:rPr>
                <w:rStyle w:val="cf01"/>
                <w:rFonts w:ascii="Times New Roman" w:hAnsi="Times New Roman" w:cs="Times New Roman"/>
                <w:color w:val="0070C0"/>
                <w:sz w:val="20"/>
                <w:szCs w:val="20"/>
              </w:rPr>
              <w:t xml:space="preserve">Rapport Lassere 1950 </w:t>
            </w:r>
          </w:p>
        </w:tc>
        <w:tc>
          <w:tcPr>
            <w:tcW w:w="3403" w:type="dxa"/>
            <w:vAlign w:val="center"/>
          </w:tcPr>
          <w:p w14:paraId="1B10CAF7" w14:textId="5BBB6591" w:rsidR="00633CB3" w:rsidRPr="000915D0" w:rsidRDefault="00633CB3" w:rsidP="001A2C13">
            <w:pPr>
              <w:rPr>
                <w:rStyle w:val="cf01"/>
                <w:rFonts w:ascii="Times New Roman" w:hAnsi="Times New Roman" w:cs="Times New Roman"/>
                <w:sz w:val="20"/>
                <w:szCs w:val="20"/>
              </w:rPr>
            </w:pPr>
            <w:r w:rsidRPr="000915D0">
              <w:rPr>
                <w:rStyle w:val="cf01"/>
                <w:rFonts w:ascii="Times New Roman" w:hAnsi="Times New Roman" w:cs="Times New Roman"/>
                <w:sz w:val="20"/>
                <w:szCs w:val="20"/>
              </w:rPr>
              <w:t>La 4</w:t>
            </w:r>
            <w:r w:rsidR="00A76AD3" w:rsidRPr="000915D0">
              <w:rPr>
                <w:rStyle w:val="cf01"/>
                <w:rFonts w:ascii="Times New Roman" w:hAnsi="Times New Roman" w:cs="Times New Roman"/>
                <w:sz w:val="20"/>
                <w:szCs w:val="20"/>
                <w:vertAlign w:val="superscript"/>
              </w:rPr>
              <w:t>è</w:t>
            </w:r>
            <w:r w:rsidR="00A76AD3" w:rsidRPr="000915D0">
              <w:rPr>
                <w:rStyle w:val="cf01"/>
                <w:sz w:val="20"/>
                <w:szCs w:val="20"/>
                <w:vertAlign w:val="superscript"/>
              </w:rPr>
              <w:t>me</w:t>
            </w:r>
            <w:r w:rsidR="00A76AD3" w:rsidRPr="000915D0">
              <w:rPr>
                <w:rStyle w:val="cf01"/>
                <w:sz w:val="20"/>
                <w:szCs w:val="20"/>
              </w:rPr>
              <w:t xml:space="preserve"> </w:t>
            </w:r>
            <w:r w:rsidR="00A76AD3" w:rsidRPr="000915D0">
              <w:rPr>
                <w:rStyle w:val="cf01"/>
                <w:rFonts w:ascii="Times New Roman" w:hAnsi="Times New Roman" w:cs="Times New Roman"/>
                <w:sz w:val="20"/>
                <w:szCs w:val="20"/>
              </w:rPr>
              <w:t>R</w:t>
            </w:r>
            <w:r w:rsidRPr="000915D0">
              <w:rPr>
                <w:rStyle w:val="cf01"/>
                <w:rFonts w:ascii="Times New Roman" w:hAnsi="Times New Roman" w:cs="Times New Roman"/>
                <w:sz w:val="20"/>
                <w:szCs w:val="20"/>
              </w:rPr>
              <w:t xml:space="preserve">épublique ne favorise pas l’émergence de majorités solides à l’Assemblée </w:t>
            </w:r>
            <w:proofErr w:type="gramStart"/>
            <w:r w:rsidRPr="000915D0">
              <w:rPr>
                <w:rStyle w:val="cf01"/>
                <w:rFonts w:ascii="Times New Roman" w:hAnsi="Times New Roman" w:cs="Times New Roman"/>
                <w:sz w:val="20"/>
                <w:szCs w:val="20"/>
              </w:rPr>
              <w:t>Nationale</w:t>
            </w:r>
            <w:proofErr w:type="gramEnd"/>
            <w:r w:rsidRPr="000915D0">
              <w:rPr>
                <w:rStyle w:val="cf01"/>
                <w:rFonts w:ascii="Times New Roman" w:hAnsi="Times New Roman" w:cs="Times New Roman"/>
                <w:sz w:val="20"/>
                <w:szCs w:val="20"/>
              </w:rPr>
              <w:t>. Les idées de réforme sont surtout portées par l’aile gauche du gaullisme, qui sera toujours minoritaire dans son propre camp.</w:t>
            </w:r>
          </w:p>
          <w:p w14:paraId="69C46408" w14:textId="77777777" w:rsidR="003D3D5E" w:rsidRPr="000915D0" w:rsidRDefault="003D3D5E" w:rsidP="001A2C13">
            <w:pPr>
              <w:rPr>
                <w:rStyle w:val="cf01"/>
                <w:rFonts w:ascii="Times New Roman" w:hAnsi="Times New Roman" w:cs="Times New Roman"/>
                <w:color w:val="0070C0"/>
                <w:sz w:val="14"/>
                <w:szCs w:val="20"/>
              </w:rPr>
            </w:pPr>
          </w:p>
          <w:p w14:paraId="2D35E465" w14:textId="5C093F0B" w:rsidR="002905A1" w:rsidRPr="000915D0" w:rsidRDefault="002905A1" w:rsidP="001A2C13">
            <w:pPr>
              <w:rPr>
                <w:rStyle w:val="cf01"/>
                <w:rFonts w:ascii="Times New Roman" w:hAnsi="Times New Roman" w:cs="Times New Roman"/>
                <w:color w:val="0070C0"/>
                <w:sz w:val="20"/>
                <w:szCs w:val="20"/>
              </w:rPr>
            </w:pPr>
            <w:r w:rsidRPr="000915D0">
              <w:rPr>
                <w:rStyle w:val="cf01"/>
                <w:rFonts w:ascii="Times New Roman" w:hAnsi="Times New Roman" w:cs="Times New Roman"/>
                <w:color w:val="0070C0"/>
                <w:sz w:val="20"/>
                <w:szCs w:val="20"/>
              </w:rPr>
              <w:t>Bloch-Lainé (1963)</w:t>
            </w:r>
          </w:p>
          <w:p w14:paraId="0787CF2F" w14:textId="77777777" w:rsidR="002905A1" w:rsidRPr="000915D0" w:rsidRDefault="002905A1" w:rsidP="001A2C13">
            <w:pPr>
              <w:rPr>
                <w:rStyle w:val="cf01"/>
                <w:rFonts w:ascii="Times New Roman" w:hAnsi="Times New Roman" w:cs="Times New Roman"/>
                <w:color w:val="0070C0"/>
                <w:sz w:val="20"/>
                <w:szCs w:val="20"/>
              </w:rPr>
            </w:pPr>
            <w:r w:rsidRPr="000915D0">
              <w:rPr>
                <w:rStyle w:val="cf01"/>
                <w:rFonts w:ascii="Times New Roman" w:hAnsi="Times New Roman" w:cs="Times New Roman"/>
                <w:color w:val="0070C0"/>
                <w:sz w:val="20"/>
                <w:szCs w:val="20"/>
              </w:rPr>
              <w:t>Loichot (1966)</w:t>
            </w:r>
          </w:p>
          <w:p w14:paraId="68DD5AAE" w14:textId="77777777" w:rsidR="003D3D5E" w:rsidRPr="000915D0" w:rsidRDefault="003D3D5E" w:rsidP="001A2C13">
            <w:pPr>
              <w:rPr>
                <w:rStyle w:val="cf01"/>
                <w:rFonts w:ascii="Times New Roman" w:hAnsi="Times New Roman" w:cs="Times New Roman"/>
                <w:color w:val="FF0000"/>
                <w:sz w:val="14"/>
                <w:szCs w:val="20"/>
              </w:rPr>
            </w:pPr>
          </w:p>
          <w:p w14:paraId="00240569" w14:textId="0E297E42" w:rsidR="002905A1" w:rsidRPr="000915D0" w:rsidRDefault="002905A1" w:rsidP="001A2C13">
            <w:pPr>
              <w:rPr>
                <w:rFonts w:ascii="Times New Roman" w:hAnsi="Times New Roman" w:cs="Times New Roman"/>
                <w:sz w:val="20"/>
                <w:szCs w:val="20"/>
              </w:rPr>
            </w:pPr>
            <w:r w:rsidRPr="000915D0">
              <w:rPr>
                <w:rStyle w:val="cf01"/>
                <w:rFonts w:ascii="Times New Roman" w:hAnsi="Times New Roman" w:cs="Times New Roman"/>
                <w:color w:val="FF0000"/>
                <w:sz w:val="20"/>
                <w:szCs w:val="20"/>
              </w:rPr>
              <w:t xml:space="preserve">Lois sur </w:t>
            </w:r>
            <w:r w:rsidR="001A2C13" w:rsidRPr="000915D0">
              <w:rPr>
                <w:rStyle w:val="cf01"/>
                <w:rFonts w:ascii="Times New Roman" w:hAnsi="Times New Roman" w:cs="Times New Roman"/>
                <w:color w:val="FF0000"/>
                <w:sz w:val="20"/>
                <w:szCs w:val="20"/>
              </w:rPr>
              <w:t>intéressement</w:t>
            </w:r>
            <w:r w:rsidRPr="000915D0">
              <w:rPr>
                <w:rStyle w:val="cf01"/>
                <w:rFonts w:ascii="Times New Roman" w:hAnsi="Times New Roman" w:cs="Times New Roman"/>
                <w:color w:val="FF0000"/>
                <w:sz w:val="20"/>
                <w:szCs w:val="20"/>
              </w:rPr>
              <w:t xml:space="preserve"> (1959) et participation (1966)</w:t>
            </w:r>
          </w:p>
        </w:tc>
        <w:tc>
          <w:tcPr>
            <w:tcW w:w="3403" w:type="dxa"/>
            <w:vAlign w:val="center"/>
          </w:tcPr>
          <w:p w14:paraId="69E48E2C" w14:textId="3F3454A7" w:rsidR="00633CB3" w:rsidRPr="000915D0" w:rsidRDefault="00633CB3" w:rsidP="001A2C13">
            <w:pPr>
              <w:rPr>
                <w:rStyle w:val="cf01"/>
                <w:rFonts w:ascii="Times New Roman" w:hAnsi="Times New Roman" w:cs="Times New Roman"/>
                <w:sz w:val="20"/>
                <w:szCs w:val="20"/>
              </w:rPr>
            </w:pPr>
            <w:r w:rsidRPr="000915D0">
              <w:rPr>
                <w:rStyle w:val="cf01"/>
                <w:rFonts w:ascii="Times New Roman" w:hAnsi="Times New Roman" w:cs="Times New Roman"/>
                <w:sz w:val="20"/>
                <w:szCs w:val="20"/>
              </w:rPr>
              <w:t>Contexte politique plus favorable avec l’</w:t>
            </w:r>
            <w:r w:rsidR="006E178A" w:rsidRPr="000915D0">
              <w:rPr>
                <w:rStyle w:val="cf01"/>
                <w:rFonts w:ascii="Times New Roman" w:hAnsi="Times New Roman" w:cs="Times New Roman"/>
                <w:sz w:val="20"/>
                <w:szCs w:val="20"/>
              </w:rPr>
              <w:t>é</w:t>
            </w:r>
            <w:r w:rsidRPr="000915D0">
              <w:rPr>
                <w:rStyle w:val="cf01"/>
                <w:rFonts w:ascii="Times New Roman" w:hAnsi="Times New Roman" w:cs="Times New Roman"/>
                <w:sz w:val="20"/>
                <w:szCs w:val="20"/>
              </w:rPr>
              <w:t>lection de Giscard d’Estaing : volonté de réforme</w:t>
            </w:r>
          </w:p>
          <w:p w14:paraId="6A3F7B48" w14:textId="59656673" w:rsidR="00633CB3" w:rsidRPr="000915D0" w:rsidRDefault="00633CB3" w:rsidP="001A2C13">
            <w:pPr>
              <w:rPr>
                <w:rStyle w:val="cf01"/>
                <w:rFonts w:ascii="Times New Roman" w:hAnsi="Times New Roman" w:cs="Times New Roman"/>
                <w:sz w:val="20"/>
                <w:szCs w:val="20"/>
              </w:rPr>
            </w:pPr>
            <w:r w:rsidRPr="000915D0">
              <w:rPr>
                <w:rStyle w:val="cf01"/>
                <w:rFonts w:ascii="Times New Roman" w:hAnsi="Times New Roman" w:cs="Times New Roman"/>
                <w:sz w:val="20"/>
                <w:szCs w:val="20"/>
              </w:rPr>
              <w:t>Discours d</w:t>
            </w:r>
            <w:r w:rsidR="006E178A" w:rsidRPr="000915D0">
              <w:rPr>
                <w:rStyle w:val="cf01"/>
                <w:rFonts w:ascii="Times New Roman" w:hAnsi="Times New Roman" w:cs="Times New Roman"/>
                <w:sz w:val="20"/>
                <w:szCs w:val="20"/>
              </w:rPr>
              <w:t>’</w:t>
            </w:r>
            <w:r w:rsidRPr="000915D0">
              <w:rPr>
                <w:rStyle w:val="cf01"/>
                <w:rFonts w:ascii="Times New Roman" w:hAnsi="Times New Roman" w:cs="Times New Roman"/>
                <w:sz w:val="20"/>
                <w:szCs w:val="20"/>
              </w:rPr>
              <w:t>A. Riboud au CNPF (1972)</w:t>
            </w:r>
          </w:p>
          <w:p w14:paraId="35665212" w14:textId="77777777" w:rsidR="003D3D5E" w:rsidRPr="000915D0" w:rsidRDefault="003D3D5E" w:rsidP="001A2C13">
            <w:pPr>
              <w:rPr>
                <w:rFonts w:ascii="Times New Roman" w:hAnsi="Times New Roman" w:cs="Times New Roman"/>
                <w:color w:val="0070C0"/>
                <w:sz w:val="14"/>
                <w:szCs w:val="20"/>
              </w:rPr>
            </w:pPr>
          </w:p>
          <w:p w14:paraId="00F03DA1" w14:textId="40025AE8" w:rsidR="002905A1" w:rsidRPr="000915D0" w:rsidRDefault="002905A1" w:rsidP="001A2C13">
            <w:pPr>
              <w:rPr>
                <w:rFonts w:ascii="Times New Roman" w:hAnsi="Times New Roman" w:cs="Times New Roman"/>
                <w:color w:val="0070C0"/>
                <w:sz w:val="20"/>
                <w:szCs w:val="20"/>
              </w:rPr>
            </w:pPr>
            <w:r w:rsidRPr="000915D0">
              <w:rPr>
                <w:rFonts w:ascii="Times New Roman" w:hAnsi="Times New Roman" w:cs="Times New Roman"/>
                <w:color w:val="0070C0"/>
                <w:sz w:val="20"/>
                <w:szCs w:val="20"/>
              </w:rPr>
              <w:t>Rapport Sudreau (1975)</w:t>
            </w:r>
          </w:p>
          <w:p w14:paraId="36C81C85" w14:textId="77777777" w:rsidR="002905A1" w:rsidRPr="000915D0" w:rsidRDefault="002905A1" w:rsidP="001A2C13">
            <w:pPr>
              <w:rPr>
                <w:rFonts w:ascii="Times New Roman" w:hAnsi="Times New Roman" w:cs="Times New Roman"/>
                <w:color w:val="0070C0"/>
                <w:sz w:val="20"/>
                <w:szCs w:val="20"/>
              </w:rPr>
            </w:pPr>
            <w:r w:rsidRPr="000915D0">
              <w:rPr>
                <w:rFonts w:ascii="Times New Roman" w:hAnsi="Times New Roman" w:cs="Times New Roman"/>
                <w:color w:val="0070C0"/>
                <w:sz w:val="20"/>
                <w:szCs w:val="20"/>
              </w:rPr>
              <w:t>15 thèses sur l’autogestion</w:t>
            </w:r>
          </w:p>
          <w:p w14:paraId="2E18B68B" w14:textId="77777777" w:rsidR="003D3D5E" w:rsidRPr="000915D0" w:rsidRDefault="003D3D5E" w:rsidP="001A2C13">
            <w:pPr>
              <w:rPr>
                <w:rFonts w:ascii="Times New Roman" w:hAnsi="Times New Roman" w:cs="Times New Roman"/>
                <w:color w:val="FF0000"/>
                <w:sz w:val="14"/>
                <w:szCs w:val="20"/>
              </w:rPr>
            </w:pPr>
          </w:p>
          <w:p w14:paraId="7562298E" w14:textId="5F2BCB07" w:rsidR="001A2C13" w:rsidRPr="000915D0" w:rsidRDefault="001A2C13" w:rsidP="001A2C13">
            <w:pPr>
              <w:rPr>
                <w:rFonts w:ascii="Times New Roman" w:hAnsi="Times New Roman" w:cs="Times New Roman"/>
                <w:color w:val="FF0000"/>
                <w:sz w:val="20"/>
                <w:szCs w:val="20"/>
              </w:rPr>
            </w:pPr>
            <w:r w:rsidRPr="000915D0">
              <w:rPr>
                <w:rFonts w:ascii="Times New Roman" w:hAnsi="Times New Roman" w:cs="Times New Roman"/>
                <w:color w:val="FF0000"/>
                <w:sz w:val="20"/>
                <w:szCs w:val="20"/>
              </w:rPr>
              <w:t>Loi Beullac (1977)</w:t>
            </w:r>
          </w:p>
          <w:p w14:paraId="7F67B521" w14:textId="77777777" w:rsidR="001A2C13" w:rsidRPr="000915D0" w:rsidRDefault="001A2C13" w:rsidP="001A2C13">
            <w:pPr>
              <w:rPr>
                <w:rFonts w:ascii="Times New Roman" w:hAnsi="Times New Roman" w:cs="Times New Roman"/>
                <w:color w:val="FF0000"/>
                <w:sz w:val="20"/>
                <w:szCs w:val="20"/>
              </w:rPr>
            </w:pPr>
            <w:r w:rsidRPr="000915D0">
              <w:rPr>
                <w:rFonts w:ascii="Times New Roman" w:hAnsi="Times New Roman" w:cs="Times New Roman"/>
                <w:color w:val="FF0000"/>
                <w:sz w:val="20"/>
                <w:szCs w:val="20"/>
              </w:rPr>
              <w:t>Lois Auroux (1982-83)</w:t>
            </w:r>
          </w:p>
          <w:p w14:paraId="1B78EA9C" w14:textId="75BD6F67" w:rsidR="00633CB3" w:rsidRPr="000915D0" w:rsidRDefault="00633CB3" w:rsidP="001A2C13">
            <w:pPr>
              <w:rPr>
                <w:rFonts w:ascii="Times New Roman" w:hAnsi="Times New Roman" w:cs="Times New Roman"/>
                <w:sz w:val="20"/>
                <w:szCs w:val="20"/>
              </w:rPr>
            </w:pPr>
          </w:p>
        </w:tc>
        <w:tc>
          <w:tcPr>
            <w:tcW w:w="3403" w:type="dxa"/>
            <w:tcBorders>
              <w:right w:val="single" w:sz="18" w:space="0" w:color="auto"/>
            </w:tcBorders>
            <w:vAlign w:val="center"/>
          </w:tcPr>
          <w:p w14:paraId="715599EB" w14:textId="7C1A8226" w:rsidR="00633CB3" w:rsidRPr="000915D0" w:rsidRDefault="00633CB3" w:rsidP="001A2C13">
            <w:pPr>
              <w:rPr>
                <w:rFonts w:ascii="Times New Roman" w:hAnsi="Times New Roman" w:cs="Times New Roman"/>
                <w:sz w:val="20"/>
                <w:szCs w:val="20"/>
              </w:rPr>
            </w:pPr>
            <w:r w:rsidRPr="000915D0">
              <w:rPr>
                <w:rFonts w:ascii="Times New Roman" w:hAnsi="Times New Roman" w:cs="Times New Roman"/>
                <w:sz w:val="20"/>
                <w:szCs w:val="20"/>
              </w:rPr>
              <w:t xml:space="preserve">Contexte politique peu favorable dans les années 2000 (financiarisation) et succession de crises. Alternance politique entre la gauche et la droite. </w:t>
            </w:r>
          </w:p>
          <w:p w14:paraId="1A2D6F22" w14:textId="77777777" w:rsidR="003D3D5E" w:rsidRPr="000915D0" w:rsidRDefault="003D3D5E" w:rsidP="001A2C13">
            <w:pPr>
              <w:rPr>
                <w:rFonts w:ascii="Times New Roman" w:hAnsi="Times New Roman" w:cs="Times New Roman"/>
                <w:color w:val="0070C0"/>
                <w:sz w:val="14"/>
                <w:szCs w:val="20"/>
              </w:rPr>
            </w:pPr>
          </w:p>
          <w:p w14:paraId="08CD2F77" w14:textId="2D4A65BB" w:rsidR="002905A1" w:rsidRPr="000915D0" w:rsidRDefault="002905A1" w:rsidP="001A2C13">
            <w:pPr>
              <w:rPr>
                <w:rFonts w:ascii="Times New Roman" w:hAnsi="Times New Roman" w:cs="Times New Roman"/>
                <w:color w:val="0070C0"/>
                <w:sz w:val="20"/>
                <w:szCs w:val="20"/>
              </w:rPr>
            </w:pPr>
            <w:proofErr w:type="gramStart"/>
            <w:r w:rsidRPr="000915D0">
              <w:rPr>
                <w:rFonts w:ascii="Times New Roman" w:hAnsi="Times New Roman" w:cs="Times New Roman"/>
                <w:color w:val="0070C0"/>
                <w:sz w:val="20"/>
                <w:szCs w:val="20"/>
              </w:rPr>
              <w:t xml:space="preserve">Rapports </w:t>
            </w:r>
            <w:r w:rsidR="001A2C13" w:rsidRPr="000915D0">
              <w:t xml:space="preserve"> </w:t>
            </w:r>
            <w:r w:rsidR="001A2C13" w:rsidRPr="000915D0">
              <w:rPr>
                <w:rFonts w:ascii="Times New Roman" w:hAnsi="Times New Roman" w:cs="Times New Roman"/>
                <w:color w:val="0070C0"/>
                <w:sz w:val="20"/>
                <w:szCs w:val="20"/>
              </w:rPr>
              <w:t>Balligand</w:t>
            </w:r>
            <w:proofErr w:type="gramEnd"/>
            <w:r w:rsidR="001A2C13" w:rsidRPr="000915D0">
              <w:rPr>
                <w:rFonts w:ascii="Times New Roman" w:hAnsi="Times New Roman" w:cs="Times New Roman"/>
                <w:color w:val="0070C0"/>
                <w:sz w:val="20"/>
                <w:szCs w:val="20"/>
              </w:rPr>
              <w:t xml:space="preserve">-De Foucault (2000), Rapport Cornut-Gentille et Godfrain (2005) </w:t>
            </w:r>
            <w:r w:rsidRPr="000915D0">
              <w:rPr>
                <w:rFonts w:ascii="Times New Roman" w:hAnsi="Times New Roman" w:cs="Times New Roman"/>
                <w:color w:val="0070C0"/>
                <w:sz w:val="20"/>
                <w:szCs w:val="20"/>
              </w:rPr>
              <w:t>Gallois</w:t>
            </w:r>
            <w:r w:rsidR="001A2C13" w:rsidRPr="000915D0">
              <w:rPr>
                <w:rFonts w:ascii="Times New Roman" w:hAnsi="Times New Roman" w:cs="Times New Roman"/>
                <w:color w:val="0070C0"/>
                <w:sz w:val="20"/>
                <w:szCs w:val="20"/>
              </w:rPr>
              <w:t xml:space="preserve"> (2012)</w:t>
            </w:r>
            <w:r w:rsidRPr="000915D0">
              <w:rPr>
                <w:rFonts w:ascii="Times New Roman" w:hAnsi="Times New Roman" w:cs="Times New Roman"/>
                <w:color w:val="0070C0"/>
                <w:sz w:val="20"/>
                <w:szCs w:val="20"/>
              </w:rPr>
              <w:t xml:space="preserve"> et Notat Sénard</w:t>
            </w:r>
            <w:r w:rsidR="001A2C13" w:rsidRPr="000915D0">
              <w:rPr>
                <w:rFonts w:ascii="Times New Roman" w:hAnsi="Times New Roman" w:cs="Times New Roman"/>
                <w:color w:val="0070C0"/>
                <w:sz w:val="20"/>
                <w:szCs w:val="20"/>
              </w:rPr>
              <w:t xml:space="preserve"> (2018)</w:t>
            </w:r>
          </w:p>
          <w:p w14:paraId="4700A3F1" w14:textId="77777777" w:rsidR="003D3D5E" w:rsidRPr="000915D0" w:rsidRDefault="003D3D5E" w:rsidP="001A2C13">
            <w:pPr>
              <w:rPr>
                <w:rFonts w:ascii="Times New Roman" w:hAnsi="Times New Roman" w:cs="Times New Roman"/>
                <w:color w:val="FF0000"/>
                <w:sz w:val="14"/>
                <w:szCs w:val="20"/>
              </w:rPr>
            </w:pPr>
          </w:p>
          <w:p w14:paraId="42A29749" w14:textId="772AFB89" w:rsidR="002905A1" w:rsidRPr="000915D0" w:rsidRDefault="002905A1" w:rsidP="001A2C13">
            <w:pPr>
              <w:rPr>
                <w:rFonts w:ascii="Times New Roman" w:hAnsi="Times New Roman" w:cs="Times New Roman"/>
                <w:sz w:val="20"/>
                <w:szCs w:val="20"/>
              </w:rPr>
            </w:pPr>
            <w:r w:rsidRPr="000915D0">
              <w:rPr>
                <w:rFonts w:ascii="Times New Roman" w:hAnsi="Times New Roman" w:cs="Times New Roman"/>
                <w:color w:val="FF0000"/>
                <w:sz w:val="20"/>
                <w:szCs w:val="20"/>
              </w:rPr>
              <w:t xml:space="preserve">Lois </w:t>
            </w:r>
            <w:r w:rsidR="001A2C13" w:rsidRPr="000915D0">
              <w:rPr>
                <w:rFonts w:ascii="Times New Roman" w:hAnsi="Times New Roman" w:cs="Times New Roman"/>
                <w:color w:val="FF0000"/>
                <w:sz w:val="20"/>
                <w:szCs w:val="20"/>
              </w:rPr>
              <w:t xml:space="preserve">Fabius (2001), </w:t>
            </w:r>
            <w:r w:rsidRPr="000915D0">
              <w:rPr>
                <w:rFonts w:ascii="Times New Roman" w:hAnsi="Times New Roman" w:cs="Times New Roman"/>
                <w:color w:val="FF0000"/>
                <w:sz w:val="20"/>
                <w:szCs w:val="20"/>
              </w:rPr>
              <w:t xml:space="preserve">2013, 2015 et 2019 </w:t>
            </w:r>
          </w:p>
        </w:tc>
      </w:tr>
    </w:tbl>
    <w:p w14:paraId="7F46076F" w14:textId="77777777" w:rsidR="002905A1" w:rsidRPr="000915D0" w:rsidRDefault="002905A1" w:rsidP="002905A1">
      <w:pPr>
        <w:spacing w:line="360" w:lineRule="auto"/>
        <w:jc w:val="center"/>
        <w:rPr>
          <w:rFonts w:ascii="Times New Roman" w:hAnsi="Times New Roman" w:cs="Times New Roman"/>
          <w:b/>
          <w:sz w:val="24"/>
          <w:szCs w:val="24"/>
        </w:rPr>
      </w:pPr>
      <w:r w:rsidRPr="000915D0">
        <w:rPr>
          <w:rFonts w:ascii="Times New Roman" w:hAnsi="Times New Roman" w:cs="Times New Roman"/>
          <w:b/>
          <w:sz w:val="24"/>
          <w:szCs w:val="24"/>
        </w:rPr>
        <w:t>Tableau 1 : Jalons historiques de l’institutionnalisation de la codétermination en France et en Allemagne</w:t>
      </w:r>
      <w:r w:rsidRPr="000915D0">
        <w:rPr>
          <w:rStyle w:val="Appelnotedebasdep"/>
          <w:rFonts w:ascii="Times New Roman" w:hAnsi="Times New Roman" w:cs="Times New Roman"/>
          <w:b/>
          <w:sz w:val="24"/>
          <w:szCs w:val="24"/>
        </w:rPr>
        <w:footnoteReference w:id="2"/>
      </w:r>
    </w:p>
    <w:p w14:paraId="2EBD9BBE" w14:textId="77777777" w:rsidR="002905A1" w:rsidRPr="000915D0" w:rsidRDefault="002905A1">
      <w:pPr>
        <w:spacing w:line="360" w:lineRule="auto"/>
        <w:jc w:val="both"/>
        <w:rPr>
          <w:rFonts w:ascii="Times New Roman" w:hAnsi="Times New Roman" w:cs="Times New Roman"/>
          <w:sz w:val="24"/>
          <w:szCs w:val="24"/>
        </w:rPr>
        <w:sectPr w:rsidR="002905A1" w:rsidRPr="000915D0" w:rsidSect="0022270D">
          <w:pgSz w:w="16838" w:h="11906" w:orient="landscape"/>
          <w:pgMar w:top="1417" w:right="1417" w:bottom="1417" w:left="1417" w:header="708" w:footer="708" w:gutter="0"/>
          <w:cols w:space="708"/>
          <w:docGrid w:linePitch="360"/>
        </w:sectPr>
      </w:pPr>
    </w:p>
    <w:p w14:paraId="7DA9737D" w14:textId="31D06DAE" w:rsidR="000303FF" w:rsidRPr="00F634F9" w:rsidRDefault="000303FF" w:rsidP="00F634F9">
      <w:pPr>
        <w:pStyle w:val="Paragraphedeliste"/>
        <w:numPr>
          <w:ilvl w:val="1"/>
          <w:numId w:val="7"/>
        </w:numPr>
        <w:spacing w:line="360" w:lineRule="auto"/>
        <w:rPr>
          <w:rFonts w:ascii="Times New Roman" w:hAnsi="Times New Roman" w:cs="Times New Roman"/>
          <w:b/>
          <w:sz w:val="24"/>
          <w:szCs w:val="24"/>
        </w:rPr>
      </w:pPr>
      <w:r w:rsidRPr="00F634F9">
        <w:rPr>
          <w:rFonts w:ascii="Times New Roman" w:hAnsi="Times New Roman" w:cs="Times New Roman"/>
          <w:b/>
          <w:sz w:val="24"/>
          <w:szCs w:val="24"/>
        </w:rPr>
        <w:lastRenderedPageBreak/>
        <w:t>Institutionnalisation de la codétermination en Allemagne en 1951 et 1976</w:t>
      </w:r>
    </w:p>
    <w:p w14:paraId="3812B244" w14:textId="3FCF29A2" w:rsidR="00B409CD" w:rsidRPr="000915D0" w:rsidRDefault="000303FF" w:rsidP="0000458E">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Dans l’Allemagne d’après-guerre, l</w:t>
      </w:r>
      <w:r w:rsidR="00501C5E" w:rsidRPr="000915D0">
        <w:rPr>
          <w:rFonts w:ascii="Times New Roman" w:hAnsi="Times New Roman" w:cs="Times New Roman"/>
          <w:sz w:val="24"/>
          <w:szCs w:val="24"/>
        </w:rPr>
        <w:t xml:space="preserve">e contexte </w:t>
      </w:r>
      <w:r w:rsidR="00623CAB" w:rsidRPr="000915D0">
        <w:rPr>
          <w:rFonts w:ascii="Times New Roman" w:hAnsi="Times New Roman" w:cs="Times New Roman"/>
          <w:sz w:val="24"/>
          <w:szCs w:val="24"/>
        </w:rPr>
        <w:t xml:space="preserve">d’opportunité politique était particulièrement favorable. En effet, après la défaite </w:t>
      </w:r>
      <w:r w:rsidR="003A5809" w:rsidRPr="000915D0">
        <w:rPr>
          <w:rFonts w:ascii="Times New Roman" w:hAnsi="Times New Roman" w:cs="Times New Roman"/>
          <w:sz w:val="24"/>
          <w:szCs w:val="24"/>
        </w:rPr>
        <w:t xml:space="preserve">du troisième Reich, l’Allemagne était en ruines. </w:t>
      </w:r>
      <w:r w:rsidR="008E1D5E" w:rsidRPr="000915D0">
        <w:rPr>
          <w:rFonts w:ascii="Times New Roman" w:hAnsi="Times New Roman" w:cs="Times New Roman"/>
          <w:sz w:val="24"/>
          <w:szCs w:val="24"/>
        </w:rPr>
        <w:t xml:space="preserve">Cela ne concernait pas seulement les villes, mais beaucoup des institutions </w:t>
      </w:r>
      <w:r w:rsidR="00E971CA" w:rsidRPr="000915D0">
        <w:rPr>
          <w:rFonts w:ascii="Times New Roman" w:hAnsi="Times New Roman" w:cs="Times New Roman"/>
          <w:sz w:val="24"/>
          <w:szCs w:val="24"/>
        </w:rPr>
        <w:t>majeures de la société</w:t>
      </w:r>
      <w:r w:rsidR="00396AD0" w:rsidRPr="000915D0">
        <w:rPr>
          <w:rFonts w:ascii="Times New Roman" w:hAnsi="Times New Roman" w:cs="Times New Roman"/>
          <w:sz w:val="24"/>
          <w:szCs w:val="24"/>
        </w:rPr>
        <w:t xml:space="preserve"> et de la vie publique</w:t>
      </w:r>
      <w:r w:rsidR="000D389B" w:rsidRPr="000915D0">
        <w:rPr>
          <w:rFonts w:ascii="Times New Roman" w:hAnsi="Times New Roman" w:cs="Times New Roman"/>
          <w:sz w:val="24"/>
          <w:szCs w:val="24"/>
        </w:rPr>
        <w:t>, t</w:t>
      </w:r>
      <w:r w:rsidR="00396AD0" w:rsidRPr="000915D0">
        <w:rPr>
          <w:rFonts w:ascii="Times New Roman" w:hAnsi="Times New Roman" w:cs="Times New Roman"/>
          <w:sz w:val="24"/>
          <w:szCs w:val="24"/>
        </w:rPr>
        <w:t>elles que les partis politiques</w:t>
      </w:r>
      <w:r w:rsidR="00E971CA" w:rsidRPr="000915D0">
        <w:rPr>
          <w:rFonts w:ascii="Times New Roman" w:hAnsi="Times New Roman" w:cs="Times New Roman"/>
          <w:sz w:val="24"/>
          <w:szCs w:val="24"/>
        </w:rPr>
        <w:t xml:space="preserve">. </w:t>
      </w:r>
      <w:r w:rsidR="00307956" w:rsidRPr="000915D0">
        <w:rPr>
          <w:rFonts w:ascii="Times New Roman" w:hAnsi="Times New Roman" w:cs="Times New Roman"/>
          <w:sz w:val="24"/>
          <w:szCs w:val="24"/>
        </w:rPr>
        <w:t>L’Allemagne était</w:t>
      </w:r>
      <w:r w:rsidR="00396AD0" w:rsidRPr="000915D0">
        <w:rPr>
          <w:rFonts w:ascii="Times New Roman" w:hAnsi="Times New Roman" w:cs="Times New Roman"/>
          <w:sz w:val="24"/>
          <w:szCs w:val="24"/>
        </w:rPr>
        <w:t xml:space="preserve"> alors</w:t>
      </w:r>
      <w:r w:rsidR="00307956" w:rsidRPr="000915D0">
        <w:rPr>
          <w:rFonts w:ascii="Times New Roman" w:hAnsi="Times New Roman" w:cs="Times New Roman"/>
          <w:sz w:val="24"/>
          <w:szCs w:val="24"/>
        </w:rPr>
        <w:t xml:space="preserve"> occupée</w:t>
      </w:r>
      <w:r w:rsidR="00497A25" w:rsidRPr="000915D0">
        <w:rPr>
          <w:rFonts w:ascii="Times New Roman" w:hAnsi="Times New Roman" w:cs="Times New Roman"/>
          <w:sz w:val="24"/>
          <w:szCs w:val="24"/>
        </w:rPr>
        <w:t xml:space="preserve">, et la partie </w:t>
      </w:r>
      <w:r w:rsidR="003B2D99" w:rsidRPr="000915D0">
        <w:rPr>
          <w:rFonts w:ascii="Times New Roman" w:hAnsi="Times New Roman" w:cs="Times New Roman"/>
          <w:sz w:val="24"/>
          <w:szCs w:val="24"/>
        </w:rPr>
        <w:t>O</w:t>
      </w:r>
      <w:r w:rsidR="00497A25" w:rsidRPr="000915D0">
        <w:rPr>
          <w:rFonts w:ascii="Times New Roman" w:hAnsi="Times New Roman" w:cs="Times New Roman"/>
          <w:sz w:val="24"/>
          <w:szCs w:val="24"/>
        </w:rPr>
        <w:t>uest a vu émerger l’</w:t>
      </w:r>
      <w:r w:rsidR="00B74B56" w:rsidRPr="000915D0">
        <w:rPr>
          <w:rFonts w:ascii="Times New Roman" w:hAnsi="Times New Roman" w:cs="Times New Roman"/>
          <w:sz w:val="24"/>
          <w:szCs w:val="24"/>
        </w:rPr>
        <w:t>Allemagne fédérale en quelques années, sous surveillance des alliés soucieu</w:t>
      </w:r>
      <w:r w:rsidR="00037EE1" w:rsidRPr="000915D0">
        <w:rPr>
          <w:rFonts w:ascii="Times New Roman" w:hAnsi="Times New Roman" w:cs="Times New Roman"/>
          <w:sz w:val="24"/>
          <w:szCs w:val="24"/>
        </w:rPr>
        <w:t>x</w:t>
      </w:r>
      <w:r w:rsidR="00B74B56" w:rsidRPr="000915D0">
        <w:rPr>
          <w:rFonts w:ascii="Times New Roman" w:hAnsi="Times New Roman" w:cs="Times New Roman"/>
          <w:sz w:val="24"/>
          <w:szCs w:val="24"/>
        </w:rPr>
        <w:t xml:space="preserve"> d’empêcher </w:t>
      </w:r>
      <w:r w:rsidR="004D35C4" w:rsidRPr="000915D0">
        <w:rPr>
          <w:rFonts w:ascii="Times New Roman" w:hAnsi="Times New Roman" w:cs="Times New Roman"/>
          <w:sz w:val="24"/>
          <w:szCs w:val="24"/>
        </w:rPr>
        <w:t>toute résurgence du nazisme.</w:t>
      </w:r>
      <w:r w:rsidR="00FC481C" w:rsidRPr="000915D0">
        <w:rPr>
          <w:rFonts w:ascii="Times New Roman" w:hAnsi="Times New Roman" w:cs="Times New Roman"/>
          <w:sz w:val="24"/>
          <w:szCs w:val="24"/>
        </w:rPr>
        <w:t xml:space="preserve"> Ce contexte </w:t>
      </w:r>
      <w:r w:rsidR="00531CAB" w:rsidRPr="000915D0">
        <w:rPr>
          <w:rFonts w:ascii="Times New Roman" w:hAnsi="Times New Roman" w:cs="Times New Roman"/>
          <w:sz w:val="24"/>
          <w:szCs w:val="24"/>
        </w:rPr>
        <w:t xml:space="preserve">de grands bouleversements et de </w:t>
      </w:r>
      <w:r w:rsidR="008612AB" w:rsidRPr="000915D0">
        <w:rPr>
          <w:rFonts w:ascii="Times New Roman" w:hAnsi="Times New Roman" w:cs="Times New Roman"/>
          <w:sz w:val="24"/>
          <w:szCs w:val="24"/>
        </w:rPr>
        <w:t>relatif vide institutionnel f</w:t>
      </w:r>
      <w:r w:rsidR="003B2D99" w:rsidRPr="000915D0">
        <w:rPr>
          <w:rFonts w:ascii="Times New Roman" w:hAnsi="Times New Roman" w:cs="Times New Roman"/>
          <w:sz w:val="24"/>
          <w:szCs w:val="24"/>
        </w:rPr>
        <w:t>û</w:t>
      </w:r>
      <w:r w:rsidR="008612AB" w:rsidRPr="000915D0">
        <w:rPr>
          <w:rFonts w:ascii="Times New Roman" w:hAnsi="Times New Roman" w:cs="Times New Roman"/>
          <w:sz w:val="24"/>
          <w:szCs w:val="24"/>
        </w:rPr>
        <w:t xml:space="preserve">t donc particulièrement propice </w:t>
      </w:r>
      <w:r w:rsidR="00171DCF" w:rsidRPr="000915D0">
        <w:rPr>
          <w:rFonts w:ascii="Times New Roman" w:hAnsi="Times New Roman" w:cs="Times New Roman"/>
          <w:sz w:val="24"/>
          <w:szCs w:val="24"/>
        </w:rPr>
        <w:t>à des expériences soci</w:t>
      </w:r>
      <w:r w:rsidR="004F0522" w:rsidRPr="000915D0">
        <w:rPr>
          <w:rFonts w:ascii="Times New Roman" w:hAnsi="Times New Roman" w:cs="Times New Roman"/>
          <w:sz w:val="24"/>
          <w:szCs w:val="24"/>
        </w:rPr>
        <w:t>ales</w:t>
      </w:r>
      <w:r w:rsidR="00171DCF" w:rsidRPr="000915D0">
        <w:rPr>
          <w:rFonts w:ascii="Times New Roman" w:hAnsi="Times New Roman" w:cs="Times New Roman"/>
          <w:sz w:val="24"/>
          <w:szCs w:val="24"/>
        </w:rPr>
        <w:t xml:space="preserve"> et à la mobilisation en leur faveur.</w:t>
      </w:r>
      <w:r w:rsidR="004D35C4" w:rsidRPr="000915D0">
        <w:rPr>
          <w:rFonts w:ascii="Times New Roman" w:hAnsi="Times New Roman" w:cs="Times New Roman"/>
          <w:sz w:val="24"/>
          <w:szCs w:val="24"/>
        </w:rPr>
        <w:t xml:space="preserve"> Le cœur industriel de l’Allemagne </w:t>
      </w:r>
      <w:r w:rsidR="00DB2C5B" w:rsidRPr="000915D0">
        <w:rPr>
          <w:rFonts w:ascii="Times New Roman" w:hAnsi="Times New Roman" w:cs="Times New Roman"/>
          <w:sz w:val="24"/>
          <w:szCs w:val="24"/>
        </w:rPr>
        <w:t>était</w:t>
      </w:r>
      <w:r w:rsidR="009F4DCE" w:rsidRPr="000915D0">
        <w:rPr>
          <w:rFonts w:ascii="Times New Roman" w:hAnsi="Times New Roman" w:cs="Times New Roman"/>
          <w:sz w:val="24"/>
          <w:szCs w:val="24"/>
        </w:rPr>
        <w:t xml:space="preserve"> la vallée de la Ruhr, où l’industrie charbon-acier avait joué un rôle </w:t>
      </w:r>
      <w:r w:rsidR="00216316" w:rsidRPr="000915D0">
        <w:rPr>
          <w:rFonts w:ascii="Times New Roman" w:hAnsi="Times New Roman" w:cs="Times New Roman"/>
          <w:sz w:val="24"/>
          <w:szCs w:val="24"/>
        </w:rPr>
        <w:t>de</w:t>
      </w:r>
      <w:r w:rsidR="00B72C6C" w:rsidRPr="000915D0">
        <w:rPr>
          <w:rFonts w:ascii="Times New Roman" w:hAnsi="Times New Roman" w:cs="Times New Roman"/>
          <w:sz w:val="24"/>
          <w:szCs w:val="24"/>
        </w:rPr>
        <w:t xml:space="preserve"> soutien de l’effort de guerre. </w:t>
      </w:r>
      <w:r w:rsidR="00644F3A" w:rsidRPr="000915D0">
        <w:rPr>
          <w:rFonts w:ascii="Times New Roman" w:hAnsi="Times New Roman" w:cs="Times New Roman"/>
          <w:sz w:val="24"/>
          <w:szCs w:val="24"/>
        </w:rPr>
        <w:t>Après la fin de la guerre, cette zone fut sous</w:t>
      </w:r>
      <w:r w:rsidR="00691A5F" w:rsidRPr="000915D0">
        <w:rPr>
          <w:rFonts w:ascii="Times New Roman" w:hAnsi="Times New Roman" w:cs="Times New Roman"/>
          <w:sz w:val="24"/>
          <w:szCs w:val="24"/>
        </w:rPr>
        <w:t xml:space="preserve"> administration</w:t>
      </w:r>
      <w:r w:rsidR="00644F3A" w:rsidRPr="000915D0">
        <w:rPr>
          <w:rFonts w:ascii="Times New Roman" w:hAnsi="Times New Roman" w:cs="Times New Roman"/>
          <w:sz w:val="24"/>
          <w:szCs w:val="24"/>
        </w:rPr>
        <w:t xml:space="preserve"> </w:t>
      </w:r>
      <w:r w:rsidR="00B409CD" w:rsidRPr="000915D0">
        <w:rPr>
          <w:rFonts w:ascii="Times New Roman" w:hAnsi="Times New Roman" w:cs="Times New Roman"/>
          <w:sz w:val="24"/>
          <w:szCs w:val="24"/>
        </w:rPr>
        <w:t>militaire britannique</w:t>
      </w:r>
      <w:r w:rsidR="00005559" w:rsidRPr="000915D0">
        <w:rPr>
          <w:rFonts w:ascii="Times New Roman" w:hAnsi="Times New Roman" w:cs="Times New Roman"/>
          <w:sz w:val="24"/>
          <w:szCs w:val="24"/>
        </w:rPr>
        <w:t xml:space="preserve">, </w:t>
      </w:r>
      <w:r w:rsidR="00D03D9B" w:rsidRPr="000915D0">
        <w:rPr>
          <w:rFonts w:ascii="Times New Roman" w:hAnsi="Times New Roman" w:cs="Times New Roman"/>
          <w:sz w:val="24"/>
          <w:szCs w:val="24"/>
        </w:rPr>
        <w:t>ce</w:t>
      </w:r>
      <w:r w:rsidR="00005559" w:rsidRPr="000915D0">
        <w:rPr>
          <w:rFonts w:ascii="Times New Roman" w:hAnsi="Times New Roman" w:cs="Times New Roman"/>
          <w:sz w:val="24"/>
          <w:szCs w:val="24"/>
        </w:rPr>
        <w:t xml:space="preserve"> qui permi</w:t>
      </w:r>
      <w:r w:rsidR="00216316" w:rsidRPr="000915D0">
        <w:rPr>
          <w:rFonts w:ascii="Times New Roman" w:hAnsi="Times New Roman" w:cs="Times New Roman"/>
          <w:sz w:val="24"/>
          <w:szCs w:val="24"/>
        </w:rPr>
        <w:t>t</w:t>
      </w:r>
      <w:r w:rsidR="00005559" w:rsidRPr="000915D0">
        <w:rPr>
          <w:rFonts w:ascii="Times New Roman" w:hAnsi="Times New Roman" w:cs="Times New Roman"/>
          <w:sz w:val="24"/>
          <w:szCs w:val="24"/>
        </w:rPr>
        <w:t xml:space="preserve"> une expérimentation grandeur nature </w:t>
      </w:r>
      <w:r w:rsidR="00B82F24" w:rsidRPr="000915D0">
        <w:rPr>
          <w:rFonts w:ascii="Times New Roman" w:hAnsi="Times New Roman" w:cs="Times New Roman"/>
          <w:sz w:val="24"/>
          <w:szCs w:val="24"/>
        </w:rPr>
        <w:t>au niveau de la gouvernance des grand</w:t>
      </w:r>
      <w:r w:rsidR="000F76A0" w:rsidRPr="000915D0">
        <w:rPr>
          <w:rFonts w:ascii="Times New Roman" w:hAnsi="Times New Roman" w:cs="Times New Roman"/>
          <w:sz w:val="24"/>
          <w:szCs w:val="24"/>
        </w:rPr>
        <w:t>e</w:t>
      </w:r>
      <w:r w:rsidR="00B82F24" w:rsidRPr="000915D0">
        <w:rPr>
          <w:rFonts w:ascii="Times New Roman" w:hAnsi="Times New Roman" w:cs="Times New Roman"/>
          <w:sz w:val="24"/>
          <w:szCs w:val="24"/>
        </w:rPr>
        <w:t xml:space="preserve">s </w:t>
      </w:r>
      <w:r w:rsidR="000F76A0" w:rsidRPr="000915D0">
        <w:rPr>
          <w:rFonts w:ascii="Times New Roman" w:hAnsi="Times New Roman" w:cs="Times New Roman"/>
          <w:sz w:val="24"/>
          <w:szCs w:val="24"/>
        </w:rPr>
        <w:t>firmes</w:t>
      </w:r>
      <w:r w:rsidR="00B82F24" w:rsidRPr="000915D0">
        <w:rPr>
          <w:rFonts w:ascii="Times New Roman" w:hAnsi="Times New Roman" w:cs="Times New Roman"/>
          <w:sz w:val="24"/>
          <w:szCs w:val="24"/>
        </w:rPr>
        <w:t xml:space="preserve"> industriel</w:t>
      </w:r>
      <w:r w:rsidR="000F76A0" w:rsidRPr="000915D0">
        <w:rPr>
          <w:rFonts w:ascii="Times New Roman" w:hAnsi="Times New Roman" w:cs="Times New Roman"/>
          <w:sz w:val="24"/>
          <w:szCs w:val="24"/>
        </w:rPr>
        <w:t>le</w:t>
      </w:r>
      <w:r w:rsidR="00B82F24" w:rsidRPr="000915D0">
        <w:rPr>
          <w:rFonts w:ascii="Times New Roman" w:hAnsi="Times New Roman" w:cs="Times New Roman"/>
          <w:sz w:val="24"/>
          <w:szCs w:val="24"/>
        </w:rPr>
        <w:t>s. En effet, soucieux de casser le pouvoir économique</w:t>
      </w:r>
      <w:r w:rsidR="00F35933" w:rsidRPr="000915D0">
        <w:rPr>
          <w:rFonts w:ascii="Times New Roman" w:hAnsi="Times New Roman" w:cs="Times New Roman"/>
          <w:sz w:val="24"/>
          <w:szCs w:val="24"/>
        </w:rPr>
        <w:t xml:space="preserve"> des grands industriels</w:t>
      </w:r>
      <w:r w:rsidR="00B82F24" w:rsidRPr="000915D0">
        <w:rPr>
          <w:rFonts w:ascii="Times New Roman" w:hAnsi="Times New Roman" w:cs="Times New Roman"/>
          <w:sz w:val="24"/>
          <w:szCs w:val="24"/>
        </w:rPr>
        <w:t xml:space="preserve"> qui avai</w:t>
      </w:r>
      <w:r w:rsidR="00F35933" w:rsidRPr="000915D0">
        <w:rPr>
          <w:rFonts w:ascii="Times New Roman" w:hAnsi="Times New Roman" w:cs="Times New Roman"/>
          <w:sz w:val="24"/>
          <w:szCs w:val="24"/>
        </w:rPr>
        <w:t>en</w:t>
      </w:r>
      <w:r w:rsidR="00B82F24" w:rsidRPr="000915D0">
        <w:rPr>
          <w:rFonts w:ascii="Times New Roman" w:hAnsi="Times New Roman" w:cs="Times New Roman"/>
          <w:sz w:val="24"/>
          <w:szCs w:val="24"/>
        </w:rPr>
        <w:t xml:space="preserve">t pu </w:t>
      </w:r>
      <w:r w:rsidR="00C372BD" w:rsidRPr="000915D0">
        <w:rPr>
          <w:rFonts w:ascii="Times New Roman" w:hAnsi="Times New Roman" w:cs="Times New Roman"/>
          <w:sz w:val="24"/>
          <w:szCs w:val="24"/>
        </w:rPr>
        <w:t>appuyer la dictature nazi</w:t>
      </w:r>
      <w:r w:rsidR="00D25D3F" w:rsidRPr="000915D0">
        <w:rPr>
          <w:rFonts w:ascii="Times New Roman" w:hAnsi="Times New Roman" w:cs="Times New Roman"/>
          <w:sz w:val="24"/>
          <w:szCs w:val="24"/>
        </w:rPr>
        <w:t>e</w:t>
      </w:r>
      <w:r w:rsidR="00C372BD" w:rsidRPr="000915D0">
        <w:rPr>
          <w:rFonts w:ascii="Times New Roman" w:hAnsi="Times New Roman" w:cs="Times New Roman"/>
          <w:sz w:val="24"/>
          <w:szCs w:val="24"/>
        </w:rPr>
        <w:t xml:space="preserve">, les </w:t>
      </w:r>
      <w:proofErr w:type="gramStart"/>
      <w:r w:rsidR="00C372BD" w:rsidRPr="000915D0">
        <w:rPr>
          <w:rFonts w:ascii="Times New Roman" w:hAnsi="Times New Roman" w:cs="Times New Roman"/>
          <w:sz w:val="24"/>
          <w:szCs w:val="24"/>
        </w:rPr>
        <w:t>britanniques</w:t>
      </w:r>
      <w:proofErr w:type="gramEnd"/>
      <w:r w:rsidR="00C372BD" w:rsidRPr="000915D0">
        <w:rPr>
          <w:rFonts w:ascii="Times New Roman" w:hAnsi="Times New Roman" w:cs="Times New Roman"/>
          <w:sz w:val="24"/>
          <w:szCs w:val="24"/>
        </w:rPr>
        <w:t xml:space="preserve"> </w:t>
      </w:r>
      <w:r w:rsidR="001400D9" w:rsidRPr="000915D0">
        <w:rPr>
          <w:rFonts w:ascii="Times New Roman" w:hAnsi="Times New Roman" w:cs="Times New Roman"/>
          <w:sz w:val="24"/>
          <w:szCs w:val="24"/>
        </w:rPr>
        <w:t>imposèrent le contrôle partiaire par les salariés des conseils de surveillance du secteur</w:t>
      </w:r>
      <w:r w:rsidR="00A504EF" w:rsidRPr="000915D0">
        <w:rPr>
          <w:rFonts w:ascii="Times New Roman" w:hAnsi="Times New Roman" w:cs="Times New Roman"/>
          <w:sz w:val="24"/>
          <w:szCs w:val="24"/>
        </w:rPr>
        <w:t xml:space="preserve"> charbon acier</w:t>
      </w:r>
      <w:r w:rsidR="003C7969" w:rsidRPr="000915D0">
        <w:rPr>
          <w:rFonts w:ascii="Times New Roman" w:hAnsi="Times New Roman" w:cs="Times New Roman"/>
          <w:sz w:val="24"/>
          <w:szCs w:val="24"/>
        </w:rPr>
        <w:t xml:space="preserve">. </w:t>
      </w:r>
      <w:r w:rsidR="00453985" w:rsidRPr="000915D0">
        <w:rPr>
          <w:rFonts w:ascii="Times New Roman" w:hAnsi="Times New Roman" w:cs="Times New Roman"/>
          <w:sz w:val="24"/>
          <w:szCs w:val="24"/>
        </w:rPr>
        <w:t xml:space="preserve">C’était à l’origine une solution provisoire, imposée par le gouvernement militaire </w:t>
      </w:r>
      <w:r w:rsidR="00813659" w:rsidRPr="000915D0">
        <w:rPr>
          <w:rFonts w:ascii="Times New Roman" w:hAnsi="Times New Roman" w:cs="Times New Roman"/>
          <w:sz w:val="24"/>
          <w:szCs w:val="24"/>
        </w:rPr>
        <w:t xml:space="preserve">britannique dans l’attente d’une réorganisation à venir des diverses institutions allemandes. Rien </w:t>
      </w:r>
      <w:r w:rsidR="00AC2F09" w:rsidRPr="000915D0">
        <w:rPr>
          <w:rFonts w:ascii="Times New Roman" w:hAnsi="Times New Roman" w:cs="Times New Roman"/>
          <w:sz w:val="24"/>
          <w:szCs w:val="24"/>
        </w:rPr>
        <w:t>ne</w:t>
      </w:r>
      <w:r w:rsidR="00813659" w:rsidRPr="000915D0">
        <w:rPr>
          <w:rFonts w:ascii="Times New Roman" w:hAnsi="Times New Roman" w:cs="Times New Roman"/>
          <w:sz w:val="24"/>
          <w:szCs w:val="24"/>
        </w:rPr>
        <w:t xml:space="preserve"> prédéterminait, en ce moment-là</w:t>
      </w:r>
      <w:r w:rsidR="000C34F1" w:rsidRPr="000915D0">
        <w:rPr>
          <w:rFonts w:ascii="Times New Roman" w:hAnsi="Times New Roman" w:cs="Times New Roman"/>
          <w:sz w:val="24"/>
          <w:szCs w:val="24"/>
        </w:rPr>
        <w:t>, la pérennisation de la mesure dans la législation de l’Allemagne fédérale naissante</w:t>
      </w:r>
      <w:r w:rsidR="0064757E" w:rsidRPr="000915D0">
        <w:rPr>
          <w:rFonts w:ascii="Times New Roman" w:hAnsi="Times New Roman" w:cs="Times New Roman"/>
          <w:sz w:val="24"/>
          <w:szCs w:val="24"/>
        </w:rPr>
        <w:t xml:space="preserve">. C’est ce </w:t>
      </w:r>
      <w:r w:rsidR="00374772" w:rsidRPr="000915D0">
        <w:rPr>
          <w:rFonts w:ascii="Times New Roman" w:hAnsi="Times New Roman" w:cs="Times New Roman"/>
          <w:sz w:val="24"/>
          <w:szCs w:val="24"/>
        </w:rPr>
        <w:t>que montrent</w:t>
      </w:r>
      <w:r w:rsidR="0064757E" w:rsidRPr="000915D0">
        <w:rPr>
          <w:rFonts w:ascii="Times New Roman" w:hAnsi="Times New Roman" w:cs="Times New Roman"/>
          <w:sz w:val="24"/>
          <w:szCs w:val="24"/>
        </w:rPr>
        <w:t xml:space="preserve"> clairement</w:t>
      </w:r>
      <w:r w:rsidR="00295137" w:rsidRPr="000915D0">
        <w:rPr>
          <w:rFonts w:ascii="Times New Roman" w:hAnsi="Times New Roman" w:cs="Times New Roman"/>
          <w:sz w:val="24"/>
          <w:szCs w:val="24"/>
        </w:rPr>
        <w:t xml:space="preserve"> les sources éditées</w:t>
      </w:r>
      <w:r w:rsidR="0076612A" w:rsidRPr="000915D0">
        <w:rPr>
          <w:rFonts w:ascii="Times New Roman" w:hAnsi="Times New Roman" w:cs="Times New Roman"/>
          <w:sz w:val="24"/>
          <w:szCs w:val="24"/>
        </w:rPr>
        <w:t xml:space="preserve"> (Müller-List, 1984)</w:t>
      </w:r>
      <w:r w:rsidR="00295137" w:rsidRPr="000915D0">
        <w:rPr>
          <w:rFonts w:ascii="Times New Roman" w:hAnsi="Times New Roman" w:cs="Times New Roman"/>
          <w:sz w:val="24"/>
          <w:szCs w:val="24"/>
        </w:rPr>
        <w:t xml:space="preserve"> </w:t>
      </w:r>
      <w:r w:rsidR="006E3CCB" w:rsidRPr="000915D0">
        <w:rPr>
          <w:rFonts w:ascii="Times New Roman" w:hAnsi="Times New Roman" w:cs="Times New Roman"/>
          <w:sz w:val="24"/>
          <w:szCs w:val="24"/>
        </w:rPr>
        <w:t>concernant les débats publics et par</w:t>
      </w:r>
      <w:r w:rsidR="000B6988" w:rsidRPr="000915D0">
        <w:rPr>
          <w:rFonts w:ascii="Times New Roman" w:hAnsi="Times New Roman" w:cs="Times New Roman"/>
          <w:sz w:val="24"/>
          <w:szCs w:val="24"/>
        </w:rPr>
        <w:t>lementaires, ainsi que les correspondances des divers acteurs impliqués</w:t>
      </w:r>
      <w:r w:rsidR="00862882" w:rsidRPr="000915D0">
        <w:rPr>
          <w:rFonts w:ascii="Times New Roman" w:hAnsi="Times New Roman" w:cs="Times New Roman"/>
          <w:sz w:val="24"/>
          <w:szCs w:val="24"/>
        </w:rPr>
        <w:t>.</w:t>
      </w:r>
      <w:r w:rsidR="000B6988" w:rsidRPr="000915D0">
        <w:rPr>
          <w:rFonts w:ascii="Times New Roman" w:hAnsi="Times New Roman" w:cs="Times New Roman"/>
          <w:sz w:val="24"/>
          <w:szCs w:val="24"/>
        </w:rPr>
        <w:t xml:space="preserve"> </w:t>
      </w:r>
      <w:r w:rsidR="00303281" w:rsidRPr="000915D0">
        <w:rPr>
          <w:rFonts w:ascii="Times New Roman" w:hAnsi="Times New Roman" w:cs="Times New Roman"/>
          <w:sz w:val="24"/>
          <w:szCs w:val="24"/>
        </w:rPr>
        <w:t>Le terreau du contexte socio-politique était favorable à la co</w:t>
      </w:r>
      <w:r w:rsidR="0021182D" w:rsidRPr="000915D0">
        <w:rPr>
          <w:rFonts w:ascii="Times New Roman" w:hAnsi="Times New Roman" w:cs="Times New Roman"/>
          <w:sz w:val="24"/>
          <w:szCs w:val="24"/>
        </w:rPr>
        <w:t>détermination</w:t>
      </w:r>
      <w:r w:rsidR="00862882" w:rsidRPr="000915D0">
        <w:rPr>
          <w:rFonts w:ascii="Times New Roman" w:hAnsi="Times New Roman" w:cs="Times New Roman"/>
          <w:sz w:val="24"/>
          <w:szCs w:val="24"/>
        </w:rPr>
        <w:t xml:space="preserve">, mais ce n’était pas une cause suffisante pour son institutionnalisation </w:t>
      </w:r>
      <w:r w:rsidR="00374772" w:rsidRPr="000915D0">
        <w:rPr>
          <w:rFonts w:ascii="Times New Roman" w:hAnsi="Times New Roman" w:cs="Times New Roman"/>
          <w:sz w:val="24"/>
          <w:szCs w:val="24"/>
        </w:rPr>
        <w:t>sous la forme d’une loi fédérale</w:t>
      </w:r>
      <w:r w:rsidR="009D2D53" w:rsidRPr="000915D0">
        <w:rPr>
          <w:rFonts w:ascii="Times New Roman" w:hAnsi="Times New Roman" w:cs="Times New Roman"/>
          <w:sz w:val="24"/>
          <w:szCs w:val="24"/>
        </w:rPr>
        <w:t xml:space="preserve">, d’autant plus </w:t>
      </w:r>
      <w:r w:rsidR="00A0302D" w:rsidRPr="000915D0">
        <w:rPr>
          <w:rFonts w:ascii="Times New Roman" w:hAnsi="Times New Roman" w:cs="Times New Roman"/>
          <w:sz w:val="24"/>
          <w:szCs w:val="24"/>
        </w:rPr>
        <w:t xml:space="preserve">que la </w:t>
      </w:r>
      <w:r w:rsidR="00A0302D" w:rsidRPr="000915D0">
        <w:rPr>
          <w:rFonts w:ascii="Times New Roman" w:hAnsi="Times New Roman" w:cs="Times New Roman"/>
          <w:i/>
          <w:iCs/>
          <w:sz w:val="24"/>
          <w:szCs w:val="24"/>
        </w:rPr>
        <w:t>Montanmitbestimmung</w:t>
      </w:r>
      <w:r w:rsidR="00A0302D" w:rsidRPr="000915D0">
        <w:rPr>
          <w:rFonts w:ascii="Times New Roman" w:hAnsi="Times New Roman" w:cs="Times New Roman"/>
          <w:sz w:val="24"/>
          <w:szCs w:val="24"/>
        </w:rPr>
        <w:t xml:space="preserve"> fut à l’origine une expérience de la seule zone d’occupation britannique</w:t>
      </w:r>
      <w:r w:rsidR="0021182D" w:rsidRPr="000915D0">
        <w:rPr>
          <w:rFonts w:ascii="Times New Roman" w:hAnsi="Times New Roman" w:cs="Times New Roman"/>
          <w:sz w:val="24"/>
          <w:szCs w:val="24"/>
        </w:rPr>
        <w:t xml:space="preserve">. </w:t>
      </w:r>
      <w:r w:rsidR="00374772" w:rsidRPr="000915D0">
        <w:rPr>
          <w:rFonts w:ascii="Times New Roman" w:hAnsi="Times New Roman" w:cs="Times New Roman"/>
          <w:sz w:val="24"/>
          <w:szCs w:val="24"/>
        </w:rPr>
        <w:t>L’</w:t>
      </w:r>
      <w:r w:rsidR="0021182D" w:rsidRPr="000915D0">
        <w:rPr>
          <w:rFonts w:ascii="Times New Roman" w:hAnsi="Times New Roman" w:cs="Times New Roman"/>
          <w:sz w:val="24"/>
          <w:szCs w:val="24"/>
        </w:rPr>
        <w:t>institutionnalisation</w:t>
      </w:r>
      <w:r w:rsidR="006B513C" w:rsidRPr="000915D0">
        <w:rPr>
          <w:rFonts w:ascii="Times New Roman" w:hAnsi="Times New Roman" w:cs="Times New Roman"/>
          <w:sz w:val="24"/>
          <w:szCs w:val="24"/>
        </w:rPr>
        <w:t xml:space="preserve"> à l’échelle du pays</w:t>
      </w:r>
      <w:r w:rsidR="0021182D" w:rsidRPr="000915D0">
        <w:rPr>
          <w:rFonts w:ascii="Times New Roman" w:hAnsi="Times New Roman" w:cs="Times New Roman"/>
          <w:sz w:val="24"/>
          <w:szCs w:val="24"/>
        </w:rPr>
        <w:t xml:space="preserve"> était</w:t>
      </w:r>
      <w:r w:rsidR="00374772" w:rsidRPr="000915D0">
        <w:rPr>
          <w:rFonts w:ascii="Times New Roman" w:hAnsi="Times New Roman" w:cs="Times New Roman"/>
          <w:sz w:val="24"/>
          <w:szCs w:val="24"/>
        </w:rPr>
        <w:t>, donc,</w:t>
      </w:r>
      <w:r w:rsidR="0021182D" w:rsidRPr="000915D0">
        <w:rPr>
          <w:rFonts w:ascii="Times New Roman" w:hAnsi="Times New Roman" w:cs="Times New Roman"/>
          <w:sz w:val="24"/>
          <w:szCs w:val="24"/>
        </w:rPr>
        <w:t xml:space="preserve"> loin d’être acquise, et il fallu</w:t>
      </w:r>
      <w:r w:rsidR="001C5C89" w:rsidRPr="000915D0">
        <w:rPr>
          <w:rFonts w:ascii="Times New Roman" w:hAnsi="Times New Roman" w:cs="Times New Roman"/>
          <w:sz w:val="24"/>
          <w:szCs w:val="24"/>
        </w:rPr>
        <w:t>t</w:t>
      </w:r>
      <w:r w:rsidR="0021182D" w:rsidRPr="000915D0">
        <w:rPr>
          <w:rFonts w:ascii="Times New Roman" w:hAnsi="Times New Roman" w:cs="Times New Roman"/>
          <w:sz w:val="24"/>
          <w:szCs w:val="24"/>
        </w:rPr>
        <w:t xml:space="preserve"> pour cela une mobilisation sociale intense.</w:t>
      </w:r>
      <w:r w:rsidR="001D51F9" w:rsidRPr="000915D0">
        <w:rPr>
          <w:rFonts w:ascii="Times New Roman" w:hAnsi="Times New Roman" w:cs="Times New Roman"/>
          <w:sz w:val="24"/>
          <w:szCs w:val="24"/>
        </w:rPr>
        <w:t xml:space="preserve"> Chronologiquement, le contexte d’opportunité politique </w:t>
      </w:r>
      <w:r w:rsidR="00813255" w:rsidRPr="000915D0">
        <w:rPr>
          <w:rFonts w:ascii="Times New Roman" w:hAnsi="Times New Roman" w:cs="Times New Roman"/>
          <w:sz w:val="24"/>
          <w:szCs w:val="24"/>
        </w:rPr>
        <w:t>était donc premier, mais sans la dynamique de mobilisation qui s’ensuivit</w:t>
      </w:r>
      <w:r w:rsidR="003B6FC4" w:rsidRPr="000915D0">
        <w:rPr>
          <w:rFonts w:ascii="Times New Roman" w:hAnsi="Times New Roman" w:cs="Times New Roman"/>
          <w:sz w:val="24"/>
          <w:szCs w:val="24"/>
        </w:rPr>
        <w:t xml:space="preserve"> le résultat n’aurait pas été le même</w:t>
      </w:r>
      <w:r w:rsidR="00F8255F" w:rsidRPr="000915D0">
        <w:rPr>
          <w:rFonts w:ascii="Times New Roman" w:hAnsi="Times New Roman" w:cs="Times New Roman"/>
          <w:sz w:val="24"/>
          <w:szCs w:val="24"/>
        </w:rPr>
        <w:t>.</w:t>
      </w:r>
    </w:p>
    <w:p w14:paraId="753A11F2" w14:textId="097D0C23" w:rsidR="00E26907" w:rsidRPr="000915D0" w:rsidRDefault="00C21453" w:rsidP="0000458E">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 xml:space="preserve">Cette </w:t>
      </w:r>
      <w:r w:rsidR="00383283" w:rsidRPr="000915D0">
        <w:rPr>
          <w:rFonts w:ascii="Times New Roman" w:hAnsi="Times New Roman" w:cs="Times New Roman"/>
          <w:sz w:val="24"/>
          <w:szCs w:val="24"/>
        </w:rPr>
        <w:t>mobilisation</w:t>
      </w:r>
      <w:r w:rsidR="00094237" w:rsidRPr="000915D0">
        <w:rPr>
          <w:rFonts w:ascii="Times New Roman" w:hAnsi="Times New Roman" w:cs="Times New Roman"/>
          <w:sz w:val="24"/>
          <w:szCs w:val="24"/>
        </w:rPr>
        <w:t xml:space="preserve"> </w:t>
      </w:r>
      <w:r w:rsidR="000E0398" w:rsidRPr="000915D0">
        <w:rPr>
          <w:rFonts w:ascii="Times New Roman" w:hAnsi="Times New Roman" w:cs="Times New Roman"/>
          <w:sz w:val="24"/>
          <w:szCs w:val="24"/>
        </w:rPr>
        <w:t>fut</w:t>
      </w:r>
      <w:r w:rsidRPr="000915D0">
        <w:rPr>
          <w:rFonts w:ascii="Times New Roman" w:hAnsi="Times New Roman" w:cs="Times New Roman"/>
          <w:sz w:val="24"/>
          <w:szCs w:val="24"/>
        </w:rPr>
        <w:t xml:space="preserve"> concrètement</w:t>
      </w:r>
      <w:r w:rsidR="000E0398" w:rsidRPr="000915D0">
        <w:rPr>
          <w:rFonts w:ascii="Times New Roman" w:hAnsi="Times New Roman" w:cs="Times New Roman"/>
          <w:sz w:val="24"/>
          <w:szCs w:val="24"/>
        </w:rPr>
        <w:t xml:space="preserve"> mené</w:t>
      </w:r>
      <w:r w:rsidRPr="000915D0">
        <w:rPr>
          <w:rFonts w:ascii="Times New Roman" w:hAnsi="Times New Roman" w:cs="Times New Roman"/>
          <w:sz w:val="24"/>
          <w:szCs w:val="24"/>
        </w:rPr>
        <w:t>e</w:t>
      </w:r>
      <w:r w:rsidR="000E0398" w:rsidRPr="000915D0">
        <w:rPr>
          <w:rFonts w:ascii="Times New Roman" w:hAnsi="Times New Roman" w:cs="Times New Roman"/>
          <w:sz w:val="24"/>
          <w:szCs w:val="24"/>
        </w:rPr>
        <w:t xml:space="preserve"> de façon énergique par le charismatique leader syndical Hans Böckler</w:t>
      </w:r>
      <w:r w:rsidR="00FC2E1B" w:rsidRPr="000915D0">
        <w:rPr>
          <w:rFonts w:ascii="Times New Roman" w:hAnsi="Times New Roman" w:cs="Times New Roman"/>
          <w:sz w:val="24"/>
          <w:szCs w:val="24"/>
        </w:rPr>
        <w:t xml:space="preserve">, président de la puissante centrale syndicale unifiée, DGB, </w:t>
      </w:r>
      <w:r w:rsidR="007D4854" w:rsidRPr="000915D0">
        <w:rPr>
          <w:rFonts w:ascii="Times New Roman" w:hAnsi="Times New Roman" w:cs="Times New Roman"/>
          <w:sz w:val="24"/>
          <w:szCs w:val="24"/>
        </w:rPr>
        <w:t xml:space="preserve">formée dans les années d’après-guerre par la fusion du syndicalisme </w:t>
      </w:r>
      <w:r w:rsidR="00130F14" w:rsidRPr="000915D0">
        <w:rPr>
          <w:rFonts w:ascii="Times New Roman" w:hAnsi="Times New Roman" w:cs="Times New Roman"/>
          <w:sz w:val="24"/>
          <w:szCs w:val="24"/>
        </w:rPr>
        <w:t xml:space="preserve">chrétien catholique avec le syndicalisme proche de la social-démocratie. </w:t>
      </w:r>
      <w:r w:rsidR="00DE1126" w:rsidRPr="000915D0">
        <w:rPr>
          <w:rFonts w:ascii="Times New Roman" w:hAnsi="Times New Roman" w:cs="Times New Roman"/>
          <w:sz w:val="24"/>
          <w:szCs w:val="24"/>
        </w:rPr>
        <w:t xml:space="preserve">Cette fusion des forces syndicales permit au mouvement social de pouvoir s’appuyer sur une forte infrastructure </w:t>
      </w:r>
      <w:r w:rsidR="00102B00" w:rsidRPr="000915D0">
        <w:rPr>
          <w:rFonts w:ascii="Times New Roman" w:hAnsi="Times New Roman" w:cs="Times New Roman"/>
          <w:sz w:val="24"/>
          <w:szCs w:val="24"/>
        </w:rPr>
        <w:t>organisationnelle</w:t>
      </w:r>
      <w:r w:rsidR="0053760D" w:rsidRPr="000915D0">
        <w:rPr>
          <w:rFonts w:ascii="Times New Roman" w:hAnsi="Times New Roman" w:cs="Times New Roman"/>
          <w:sz w:val="24"/>
          <w:szCs w:val="24"/>
        </w:rPr>
        <w:t>. En effet, compte tenu de la destruction morale et insti</w:t>
      </w:r>
      <w:r w:rsidR="00172259" w:rsidRPr="000915D0">
        <w:rPr>
          <w:rFonts w:ascii="Times New Roman" w:hAnsi="Times New Roman" w:cs="Times New Roman"/>
          <w:sz w:val="24"/>
          <w:szCs w:val="24"/>
        </w:rPr>
        <w:t xml:space="preserve">tutionnelle de l’Allemagne, l’Eglise catholique fut l’une des très rares </w:t>
      </w:r>
      <w:r w:rsidR="00172259" w:rsidRPr="000915D0">
        <w:rPr>
          <w:rFonts w:ascii="Times New Roman" w:hAnsi="Times New Roman" w:cs="Times New Roman"/>
          <w:sz w:val="24"/>
          <w:szCs w:val="24"/>
        </w:rPr>
        <w:lastRenderedPageBreak/>
        <w:t xml:space="preserve">institutions </w:t>
      </w:r>
      <w:r w:rsidR="009F2340" w:rsidRPr="000915D0">
        <w:rPr>
          <w:rFonts w:ascii="Times New Roman" w:hAnsi="Times New Roman" w:cs="Times New Roman"/>
          <w:sz w:val="24"/>
          <w:szCs w:val="24"/>
        </w:rPr>
        <w:t xml:space="preserve">encore debout après la guerre, et </w:t>
      </w:r>
      <w:r w:rsidR="005A513D" w:rsidRPr="000915D0">
        <w:rPr>
          <w:rFonts w:ascii="Times New Roman" w:hAnsi="Times New Roman" w:cs="Times New Roman"/>
          <w:sz w:val="24"/>
          <w:szCs w:val="24"/>
        </w:rPr>
        <w:t>un des</w:t>
      </w:r>
      <w:r w:rsidR="009F2340" w:rsidRPr="000915D0">
        <w:rPr>
          <w:rFonts w:ascii="Times New Roman" w:hAnsi="Times New Roman" w:cs="Times New Roman"/>
          <w:sz w:val="24"/>
          <w:szCs w:val="24"/>
        </w:rPr>
        <w:t xml:space="preserve"> seul</w:t>
      </w:r>
      <w:r w:rsidR="005A513D" w:rsidRPr="000915D0">
        <w:rPr>
          <w:rFonts w:ascii="Times New Roman" w:hAnsi="Times New Roman" w:cs="Times New Roman"/>
          <w:sz w:val="24"/>
          <w:szCs w:val="24"/>
        </w:rPr>
        <w:t>s</w:t>
      </w:r>
      <w:r w:rsidR="009F2340" w:rsidRPr="000915D0">
        <w:rPr>
          <w:rFonts w:ascii="Times New Roman" w:hAnsi="Times New Roman" w:cs="Times New Roman"/>
          <w:sz w:val="24"/>
          <w:szCs w:val="24"/>
        </w:rPr>
        <w:t xml:space="preserve"> lieu</w:t>
      </w:r>
      <w:r w:rsidR="005A513D" w:rsidRPr="000915D0">
        <w:rPr>
          <w:rFonts w:ascii="Times New Roman" w:hAnsi="Times New Roman" w:cs="Times New Roman"/>
          <w:sz w:val="24"/>
          <w:szCs w:val="24"/>
        </w:rPr>
        <w:t>x</w:t>
      </w:r>
      <w:r w:rsidR="009F2340" w:rsidRPr="000915D0">
        <w:rPr>
          <w:rFonts w:ascii="Times New Roman" w:hAnsi="Times New Roman" w:cs="Times New Roman"/>
          <w:sz w:val="24"/>
          <w:szCs w:val="24"/>
        </w:rPr>
        <w:t xml:space="preserve"> où le public</w:t>
      </w:r>
      <w:r w:rsidR="001A649F" w:rsidRPr="000915D0">
        <w:rPr>
          <w:rFonts w:ascii="Times New Roman" w:hAnsi="Times New Roman" w:cs="Times New Roman"/>
          <w:sz w:val="24"/>
          <w:szCs w:val="24"/>
        </w:rPr>
        <w:t xml:space="preserve"> </w:t>
      </w:r>
      <w:r w:rsidR="00E205C4" w:rsidRPr="000915D0">
        <w:rPr>
          <w:rFonts w:ascii="Times New Roman" w:hAnsi="Times New Roman" w:cs="Times New Roman"/>
          <w:sz w:val="24"/>
          <w:szCs w:val="24"/>
        </w:rPr>
        <w:t>allemand</w:t>
      </w:r>
      <w:r w:rsidR="009F2340" w:rsidRPr="000915D0">
        <w:rPr>
          <w:rFonts w:ascii="Times New Roman" w:hAnsi="Times New Roman" w:cs="Times New Roman"/>
          <w:sz w:val="24"/>
          <w:szCs w:val="24"/>
        </w:rPr>
        <w:t xml:space="preserve"> avait le droit de se rassembler. Les autres institutions de la vie publique devaient se reformer progressivement, dont les partis politiques</w:t>
      </w:r>
      <w:r w:rsidR="00DE2E31" w:rsidRPr="000915D0">
        <w:rPr>
          <w:rFonts w:ascii="Times New Roman" w:hAnsi="Times New Roman" w:cs="Times New Roman"/>
          <w:sz w:val="24"/>
          <w:szCs w:val="24"/>
        </w:rPr>
        <w:t xml:space="preserve">. </w:t>
      </w:r>
      <w:r w:rsidR="00394E8D" w:rsidRPr="000915D0">
        <w:rPr>
          <w:rFonts w:ascii="Times New Roman" w:hAnsi="Times New Roman" w:cs="Times New Roman"/>
          <w:sz w:val="24"/>
          <w:szCs w:val="24"/>
        </w:rPr>
        <w:t xml:space="preserve">Le parti </w:t>
      </w:r>
      <w:r w:rsidR="00AB5815" w:rsidRPr="000915D0">
        <w:rPr>
          <w:rFonts w:ascii="Times New Roman" w:hAnsi="Times New Roman" w:cs="Times New Roman"/>
          <w:sz w:val="24"/>
          <w:szCs w:val="24"/>
        </w:rPr>
        <w:t>social-démocrate</w:t>
      </w:r>
      <w:r w:rsidR="00394E8D" w:rsidRPr="000915D0">
        <w:rPr>
          <w:rFonts w:ascii="Times New Roman" w:hAnsi="Times New Roman" w:cs="Times New Roman"/>
          <w:sz w:val="24"/>
          <w:szCs w:val="24"/>
        </w:rPr>
        <w:t xml:space="preserve"> pu</w:t>
      </w:r>
      <w:r w:rsidR="00E205C4" w:rsidRPr="000915D0">
        <w:rPr>
          <w:rFonts w:ascii="Times New Roman" w:hAnsi="Times New Roman" w:cs="Times New Roman"/>
          <w:sz w:val="24"/>
          <w:szCs w:val="24"/>
        </w:rPr>
        <w:t>t</w:t>
      </w:r>
      <w:r w:rsidR="00394E8D" w:rsidRPr="000915D0">
        <w:rPr>
          <w:rFonts w:ascii="Times New Roman" w:hAnsi="Times New Roman" w:cs="Times New Roman"/>
          <w:sz w:val="24"/>
          <w:szCs w:val="24"/>
        </w:rPr>
        <w:t xml:space="preserve"> se re</w:t>
      </w:r>
      <w:r w:rsidR="00E205C4" w:rsidRPr="000915D0">
        <w:rPr>
          <w:rFonts w:ascii="Times New Roman" w:hAnsi="Times New Roman" w:cs="Times New Roman"/>
          <w:sz w:val="24"/>
          <w:szCs w:val="24"/>
        </w:rPr>
        <w:t>constituer</w:t>
      </w:r>
      <w:r w:rsidR="00394E8D" w:rsidRPr="000915D0">
        <w:rPr>
          <w:rFonts w:ascii="Times New Roman" w:hAnsi="Times New Roman" w:cs="Times New Roman"/>
          <w:sz w:val="24"/>
          <w:szCs w:val="24"/>
        </w:rPr>
        <w:t xml:space="preserve"> assez rapidement après la guerre, </w:t>
      </w:r>
      <w:r w:rsidR="00B95B4C" w:rsidRPr="000915D0">
        <w:rPr>
          <w:rFonts w:ascii="Times New Roman" w:hAnsi="Times New Roman" w:cs="Times New Roman"/>
          <w:sz w:val="24"/>
          <w:szCs w:val="24"/>
        </w:rPr>
        <w:t>mais sur le</w:t>
      </w:r>
      <w:r w:rsidR="00931CA9" w:rsidRPr="000915D0">
        <w:rPr>
          <w:rFonts w:ascii="Times New Roman" w:hAnsi="Times New Roman" w:cs="Times New Roman"/>
          <w:sz w:val="24"/>
          <w:szCs w:val="24"/>
        </w:rPr>
        <w:t xml:space="preserve"> côté</w:t>
      </w:r>
      <w:r w:rsidR="00B95B4C" w:rsidRPr="000915D0">
        <w:rPr>
          <w:rFonts w:ascii="Times New Roman" w:hAnsi="Times New Roman" w:cs="Times New Roman"/>
          <w:sz w:val="24"/>
          <w:szCs w:val="24"/>
        </w:rPr>
        <w:t xml:space="preserve"> davantage conservateur</w:t>
      </w:r>
      <w:r w:rsidR="00931CA9" w:rsidRPr="000915D0">
        <w:rPr>
          <w:rFonts w:ascii="Times New Roman" w:hAnsi="Times New Roman" w:cs="Times New Roman"/>
          <w:sz w:val="24"/>
          <w:szCs w:val="24"/>
        </w:rPr>
        <w:t xml:space="preserve"> du paysage politique</w:t>
      </w:r>
      <w:r w:rsidR="00BB59CE" w:rsidRPr="000915D0">
        <w:rPr>
          <w:rFonts w:ascii="Times New Roman" w:hAnsi="Times New Roman" w:cs="Times New Roman"/>
          <w:sz w:val="24"/>
          <w:szCs w:val="24"/>
        </w:rPr>
        <w:t xml:space="preserve">, l’originalité fut la </w:t>
      </w:r>
      <w:r w:rsidR="00983F60" w:rsidRPr="000915D0">
        <w:rPr>
          <w:rFonts w:ascii="Times New Roman" w:hAnsi="Times New Roman" w:cs="Times New Roman"/>
          <w:sz w:val="24"/>
          <w:szCs w:val="24"/>
        </w:rPr>
        <w:t>création d’un parti chrétien démocrate</w:t>
      </w:r>
      <w:r w:rsidR="00B26079" w:rsidRPr="000915D0">
        <w:rPr>
          <w:rFonts w:ascii="Times New Roman" w:hAnsi="Times New Roman" w:cs="Times New Roman"/>
          <w:sz w:val="24"/>
          <w:szCs w:val="24"/>
        </w:rPr>
        <w:t xml:space="preserve"> (CDU), qui permit rapidement à Konrad Adenauer </w:t>
      </w:r>
      <w:r w:rsidR="00884166" w:rsidRPr="000915D0">
        <w:rPr>
          <w:rFonts w:ascii="Times New Roman" w:hAnsi="Times New Roman" w:cs="Times New Roman"/>
          <w:sz w:val="24"/>
          <w:szCs w:val="24"/>
        </w:rPr>
        <w:t>d’être élu comme premier chancelier de la</w:t>
      </w:r>
      <w:r w:rsidR="00CB415D" w:rsidRPr="000915D0">
        <w:rPr>
          <w:rFonts w:ascii="Times New Roman" w:hAnsi="Times New Roman" w:cs="Times New Roman"/>
          <w:sz w:val="24"/>
          <w:szCs w:val="24"/>
        </w:rPr>
        <w:t xml:space="preserve"> jeune</w:t>
      </w:r>
      <w:r w:rsidR="00884166" w:rsidRPr="000915D0">
        <w:rPr>
          <w:rFonts w:ascii="Times New Roman" w:hAnsi="Times New Roman" w:cs="Times New Roman"/>
          <w:sz w:val="24"/>
          <w:szCs w:val="24"/>
        </w:rPr>
        <w:t xml:space="preserve"> </w:t>
      </w:r>
      <w:r w:rsidR="006E4266" w:rsidRPr="000915D0">
        <w:rPr>
          <w:rFonts w:ascii="Times New Roman" w:hAnsi="Times New Roman" w:cs="Times New Roman"/>
          <w:sz w:val="24"/>
          <w:szCs w:val="24"/>
        </w:rPr>
        <w:t>R</w:t>
      </w:r>
      <w:r w:rsidR="00884166" w:rsidRPr="000915D0">
        <w:rPr>
          <w:rFonts w:ascii="Times New Roman" w:hAnsi="Times New Roman" w:cs="Times New Roman"/>
          <w:sz w:val="24"/>
          <w:szCs w:val="24"/>
        </w:rPr>
        <w:t xml:space="preserve">épublique </w:t>
      </w:r>
      <w:r w:rsidR="006E4266" w:rsidRPr="000915D0">
        <w:rPr>
          <w:rFonts w:ascii="Times New Roman" w:hAnsi="Times New Roman" w:cs="Times New Roman"/>
          <w:sz w:val="24"/>
          <w:szCs w:val="24"/>
        </w:rPr>
        <w:t>F</w:t>
      </w:r>
      <w:r w:rsidR="00884166" w:rsidRPr="000915D0">
        <w:rPr>
          <w:rFonts w:ascii="Times New Roman" w:hAnsi="Times New Roman" w:cs="Times New Roman"/>
          <w:sz w:val="24"/>
          <w:szCs w:val="24"/>
        </w:rPr>
        <w:t xml:space="preserve">édérale </w:t>
      </w:r>
      <w:r w:rsidR="006E4266" w:rsidRPr="000915D0">
        <w:rPr>
          <w:rFonts w:ascii="Times New Roman" w:hAnsi="Times New Roman" w:cs="Times New Roman"/>
          <w:sz w:val="24"/>
          <w:szCs w:val="24"/>
        </w:rPr>
        <w:t>A</w:t>
      </w:r>
      <w:r w:rsidR="00884166" w:rsidRPr="000915D0">
        <w:rPr>
          <w:rFonts w:ascii="Times New Roman" w:hAnsi="Times New Roman" w:cs="Times New Roman"/>
          <w:sz w:val="24"/>
          <w:szCs w:val="24"/>
        </w:rPr>
        <w:t>llemande</w:t>
      </w:r>
      <w:r w:rsidR="006E4266" w:rsidRPr="000915D0">
        <w:rPr>
          <w:rFonts w:ascii="Times New Roman" w:hAnsi="Times New Roman" w:cs="Times New Roman"/>
          <w:sz w:val="24"/>
          <w:szCs w:val="24"/>
        </w:rPr>
        <w:t xml:space="preserve"> (RFA)</w:t>
      </w:r>
      <w:r w:rsidR="00F462AF" w:rsidRPr="000915D0">
        <w:rPr>
          <w:rFonts w:ascii="Times New Roman" w:hAnsi="Times New Roman" w:cs="Times New Roman"/>
          <w:sz w:val="24"/>
          <w:szCs w:val="24"/>
        </w:rPr>
        <w:t>.</w:t>
      </w:r>
      <w:r w:rsidR="00705E9D" w:rsidRPr="000915D0">
        <w:rPr>
          <w:rFonts w:ascii="Times New Roman" w:hAnsi="Times New Roman" w:cs="Times New Roman"/>
          <w:sz w:val="24"/>
          <w:szCs w:val="24"/>
        </w:rPr>
        <w:t xml:space="preserve"> </w:t>
      </w:r>
      <w:r w:rsidR="00BD5A1B" w:rsidRPr="000915D0">
        <w:rPr>
          <w:rFonts w:ascii="Times New Roman" w:hAnsi="Times New Roman" w:cs="Times New Roman"/>
          <w:sz w:val="24"/>
          <w:szCs w:val="24"/>
        </w:rPr>
        <w:t xml:space="preserve">L’Eglise catholique </w:t>
      </w:r>
      <w:r w:rsidR="00915BB5" w:rsidRPr="000915D0">
        <w:rPr>
          <w:rFonts w:ascii="Times New Roman" w:hAnsi="Times New Roman" w:cs="Times New Roman"/>
          <w:sz w:val="24"/>
          <w:szCs w:val="24"/>
        </w:rPr>
        <w:t xml:space="preserve">allemande, qui avait fait acte de résistance </w:t>
      </w:r>
      <w:r w:rsidR="00986266" w:rsidRPr="000915D0">
        <w:rPr>
          <w:rFonts w:ascii="Times New Roman" w:hAnsi="Times New Roman" w:cs="Times New Roman"/>
          <w:sz w:val="24"/>
          <w:szCs w:val="24"/>
        </w:rPr>
        <w:t>au néo-paganisme d</w:t>
      </w:r>
      <w:r w:rsidR="00E4610D" w:rsidRPr="000915D0">
        <w:rPr>
          <w:rFonts w:ascii="Times New Roman" w:hAnsi="Times New Roman" w:cs="Times New Roman"/>
          <w:sz w:val="24"/>
          <w:szCs w:val="24"/>
        </w:rPr>
        <w:t>e l’idéologie nazie, jouit alors d’une certaine caution morale</w:t>
      </w:r>
      <w:r w:rsidR="00824AA2" w:rsidRPr="000915D0">
        <w:rPr>
          <w:rFonts w:ascii="Times New Roman" w:hAnsi="Times New Roman" w:cs="Times New Roman"/>
          <w:sz w:val="24"/>
          <w:szCs w:val="24"/>
        </w:rPr>
        <w:t>.</w:t>
      </w:r>
      <w:r w:rsidR="00F462AF" w:rsidRPr="000915D0">
        <w:rPr>
          <w:rFonts w:ascii="Times New Roman" w:hAnsi="Times New Roman" w:cs="Times New Roman"/>
          <w:sz w:val="24"/>
          <w:szCs w:val="24"/>
        </w:rPr>
        <w:t xml:space="preserve"> S’agissant d’un grand parti populaire, </w:t>
      </w:r>
      <w:r w:rsidR="00824AA2" w:rsidRPr="000915D0">
        <w:rPr>
          <w:rFonts w:ascii="Times New Roman" w:hAnsi="Times New Roman" w:cs="Times New Roman"/>
          <w:sz w:val="24"/>
          <w:szCs w:val="24"/>
        </w:rPr>
        <w:t>l</w:t>
      </w:r>
      <w:r w:rsidR="00F462AF" w:rsidRPr="000915D0">
        <w:rPr>
          <w:rFonts w:ascii="Times New Roman" w:hAnsi="Times New Roman" w:cs="Times New Roman"/>
          <w:sz w:val="24"/>
          <w:szCs w:val="24"/>
        </w:rPr>
        <w:t>a spécificité</w:t>
      </w:r>
      <w:r w:rsidR="00824AA2" w:rsidRPr="000915D0">
        <w:rPr>
          <w:rFonts w:ascii="Times New Roman" w:hAnsi="Times New Roman" w:cs="Times New Roman"/>
          <w:sz w:val="24"/>
          <w:szCs w:val="24"/>
        </w:rPr>
        <w:t xml:space="preserve"> de la CDU</w:t>
      </w:r>
      <w:r w:rsidR="00210723" w:rsidRPr="000915D0">
        <w:rPr>
          <w:rFonts w:ascii="Times New Roman" w:hAnsi="Times New Roman" w:cs="Times New Roman"/>
          <w:sz w:val="24"/>
          <w:szCs w:val="24"/>
        </w:rPr>
        <w:t xml:space="preserve"> (union chrétien démocrate)</w:t>
      </w:r>
      <w:r w:rsidR="00F462AF" w:rsidRPr="000915D0">
        <w:rPr>
          <w:rFonts w:ascii="Times New Roman" w:hAnsi="Times New Roman" w:cs="Times New Roman"/>
          <w:sz w:val="24"/>
          <w:szCs w:val="24"/>
        </w:rPr>
        <w:t xml:space="preserve"> était </w:t>
      </w:r>
      <w:r w:rsidR="00BF62B1" w:rsidRPr="000915D0">
        <w:rPr>
          <w:rFonts w:ascii="Times New Roman" w:hAnsi="Times New Roman" w:cs="Times New Roman"/>
          <w:sz w:val="24"/>
          <w:szCs w:val="24"/>
        </w:rPr>
        <w:t xml:space="preserve">de rassembler en un seul parti deux courants forts : </w:t>
      </w:r>
      <w:r w:rsidR="00353ED7" w:rsidRPr="000915D0">
        <w:rPr>
          <w:rFonts w:ascii="Times New Roman" w:hAnsi="Times New Roman" w:cs="Times New Roman"/>
          <w:sz w:val="24"/>
          <w:szCs w:val="24"/>
        </w:rPr>
        <w:t xml:space="preserve">les ouvriers chrétiens, et un courant davantage conservateur, proche des milieux patronaux. </w:t>
      </w:r>
      <w:r w:rsidR="00210723" w:rsidRPr="000915D0">
        <w:rPr>
          <w:rFonts w:ascii="Times New Roman" w:hAnsi="Times New Roman" w:cs="Times New Roman"/>
          <w:sz w:val="24"/>
          <w:szCs w:val="24"/>
        </w:rPr>
        <w:t xml:space="preserve">Ce </w:t>
      </w:r>
      <w:r w:rsidR="0079520B" w:rsidRPr="000915D0">
        <w:rPr>
          <w:rFonts w:ascii="Times New Roman" w:hAnsi="Times New Roman" w:cs="Times New Roman"/>
          <w:sz w:val="24"/>
          <w:szCs w:val="24"/>
        </w:rPr>
        <w:t>furent</w:t>
      </w:r>
      <w:r w:rsidR="00210723" w:rsidRPr="000915D0">
        <w:rPr>
          <w:rFonts w:ascii="Times New Roman" w:hAnsi="Times New Roman" w:cs="Times New Roman"/>
          <w:sz w:val="24"/>
          <w:szCs w:val="24"/>
        </w:rPr>
        <w:t xml:space="preserve"> alors</w:t>
      </w:r>
      <w:r w:rsidR="006E3160" w:rsidRPr="000915D0">
        <w:rPr>
          <w:rFonts w:ascii="Times New Roman" w:hAnsi="Times New Roman" w:cs="Times New Roman"/>
          <w:sz w:val="24"/>
          <w:szCs w:val="24"/>
        </w:rPr>
        <w:t xml:space="preserve"> les réseaux </w:t>
      </w:r>
      <w:r w:rsidR="00A50264" w:rsidRPr="000915D0">
        <w:rPr>
          <w:rFonts w:ascii="Times New Roman" w:hAnsi="Times New Roman" w:cs="Times New Roman"/>
          <w:sz w:val="24"/>
          <w:szCs w:val="24"/>
        </w:rPr>
        <w:t xml:space="preserve">catholiques qui constituèrent </w:t>
      </w:r>
      <w:r w:rsidR="00BF514B" w:rsidRPr="000915D0">
        <w:rPr>
          <w:rFonts w:ascii="Times New Roman" w:hAnsi="Times New Roman" w:cs="Times New Roman"/>
          <w:sz w:val="24"/>
          <w:szCs w:val="24"/>
        </w:rPr>
        <w:t>une infrastructure instrumentale dans l’effort de mobilisation de la codétermination</w:t>
      </w:r>
      <w:r w:rsidR="0069030B" w:rsidRPr="000915D0">
        <w:rPr>
          <w:rFonts w:ascii="Times New Roman" w:hAnsi="Times New Roman" w:cs="Times New Roman"/>
          <w:sz w:val="24"/>
          <w:szCs w:val="24"/>
        </w:rPr>
        <w:t xml:space="preserve">. </w:t>
      </w:r>
      <w:r w:rsidR="00905DB1" w:rsidRPr="000915D0">
        <w:rPr>
          <w:rFonts w:ascii="Times New Roman" w:hAnsi="Times New Roman" w:cs="Times New Roman"/>
          <w:sz w:val="24"/>
          <w:szCs w:val="24"/>
        </w:rPr>
        <w:t>En effet, l</w:t>
      </w:r>
      <w:r w:rsidR="0080366D" w:rsidRPr="000915D0">
        <w:rPr>
          <w:rFonts w:ascii="Times New Roman" w:hAnsi="Times New Roman" w:cs="Times New Roman"/>
          <w:sz w:val="24"/>
          <w:szCs w:val="24"/>
        </w:rPr>
        <w:t xml:space="preserve">e Katholikentag, grand rassemblement annuel de laïcs </w:t>
      </w:r>
      <w:r w:rsidR="00953005" w:rsidRPr="000915D0">
        <w:rPr>
          <w:rFonts w:ascii="Times New Roman" w:hAnsi="Times New Roman" w:cs="Times New Roman"/>
          <w:sz w:val="24"/>
          <w:szCs w:val="24"/>
        </w:rPr>
        <w:t>catholiques</w:t>
      </w:r>
      <w:r w:rsidR="00182E19" w:rsidRPr="000915D0">
        <w:rPr>
          <w:rFonts w:ascii="Times New Roman" w:hAnsi="Times New Roman" w:cs="Times New Roman"/>
          <w:sz w:val="24"/>
          <w:szCs w:val="24"/>
        </w:rPr>
        <w:t xml:space="preserve"> fut interdit par </w:t>
      </w:r>
      <w:r w:rsidR="00CA4466" w:rsidRPr="000915D0">
        <w:rPr>
          <w:rFonts w:ascii="Times New Roman" w:hAnsi="Times New Roman" w:cs="Times New Roman"/>
          <w:sz w:val="24"/>
          <w:szCs w:val="24"/>
        </w:rPr>
        <w:t>les nazis, mais pu</w:t>
      </w:r>
      <w:r w:rsidR="00905DB1" w:rsidRPr="000915D0">
        <w:rPr>
          <w:rFonts w:ascii="Times New Roman" w:hAnsi="Times New Roman" w:cs="Times New Roman"/>
          <w:sz w:val="24"/>
          <w:szCs w:val="24"/>
        </w:rPr>
        <w:t>t</w:t>
      </w:r>
      <w:r w:rsidR="00CA4466" w:rsidRPr="000915D0">
        <w:rPr>
          <w:rFonts w:ascii="Times New Roman" w:hAnsi="Times New Roman" w:cs="Times New Roman"/>
          <w:sz w:val="24"/>
          <w:szCs w:val="24"/>
        </w:rPr>
        <w:t xml:space="preserve"> reprendre après la guerre. C</w:t>
      </w:r>
      <w:r w:rsidR="005F5317" w:rsidRPr="000915D0">
        <w:rPr>
          <w:rFonts w:ascii="Times New Roman" w:hAnsi="Times New Roman" w:cs="Times New Roman"/>
          <w:sz w:val="24"/>
          <w:szCs w:val="24"/>
        </w:rPr>
        <w:t>e rassemblement représente</w:t>
      </w:r>
      <w:r w:rsidR="00CA4466" w:rsidRPr="000915D0">
        <w:rPr>
          <w:rFonts w:ascii="Times New Roman" w:hAnsi="Times New Roman" w:cs="Times New Roman"/>
          <w:sz w:val="24"/>
          <w:szCs w:val="24"/>
        </w:rPr>
        <w:t xml:space="preserve"> un moment de réflexion concernant la position de l’</w:t>
      </w:r>
      <w:r w:rsidR="005F5317" w:rsidRPr="000915D0">
        <w:rPr>
          <w:rFonts w:ascii="Times New Roman" w:hAnsi="Times New Roman" w:cs="Times New Roman"/>
          <w:sz w:val="24"/>
          <w:szCs w:val="24"/>
        </w:rPr>
        <w:t>Église</w:t>
      </w:r>
      <w:r w:rsidR="00CA4466" w:rsidRPr="000915D0">
        <w:rPr>
          <w:rFonts w:ascii="Times New Roman" w:hAnsi="Times New Roman" w:cs="Times New Roman"/>
          <w:sz w:val="24"/>
          <w:szCs w:val="24"/>
        </w:rPr>
        <w:t xml:space="preserve"> sur les </w:t>
      </w:r>
      <w:r w:rsidR="00C104C9" w:rsidRPr="000915D0">
        <w:rPr>
          <w:rFonts w:ascii="Times New Roman" w:hAnsi="Times New Roman" w:cs="Times New Roman"/>
          <w:sz w:val="24"/>
          <w:szCs w:val="24"/>
        </w:rPr>
        <w:t xml:space="preserve">questions sociétales. Or, le Katholikentag de 1948 </w:t>
      </w:r>
      <w:r w:rsidR="00245BE6" w:rsidRPr="000915D0">
        <w:rPr>
          <w:rFonts w:ascii="Times New Roman" w:hAnsi="Times New Roman" w:cs="Times New Roman"/>
          <w:sz w:val="24"/>
          <w:szCs w:val="24"/>
        </w:rPr>
        <w:t>fit</w:t>
      </w:r>
      <w:r w:rsidR="005F5317" w:rsidRPr="000915D0">
        <w:rPr>
          <w:rFonts w:ascii="Times New Roman" w:hAnsi="Times New Roman" w:cs="Times New Roman"/>
          <w:sz w:val="24"/>
          <w:szCs w:val="24"/>
        </w:rPr>
        <w:t xml:space="preserve"> précisément</w:t>
      </w:r>
      <w:r w:rsidR="00245BE6" w:rsidRPr="000915D0">
        <w:rPr>
          <w:rFonts w:ascii="Times New Roman" w:hAnsi="Times New Roman" w:cs="Times New Roman"/>
          <w:sz w:val="24"/>
          <w:szCs w:val="24"/>
        </w:rPr>
        <w:t xml:space="preserve"> voter une résolution très explici</w:t>
      </w:r>
      <w:r w:rsidR="00F91F3F" w:rsidRPr="000915D0">
        <w:rPr>
          <w:rFonts w:ascii="Times New Roman" w:hAnsi="Times New Roman" w:cs="Times New Roman"/>
          <w:sz w:val="24"/>
          <w:szCs w:val="24"/>
        </w:rPr>
        <w:t>te</w:t>
      </w:r>
      <w:r w:rsidR="00245BE6" w:rsidRPr="000915D0">
        <w:rPr>
          <w:rFonts w:ascii="Times New Roman" w:hAnsi="Times New Roman" w:cs="Times New Roman"/>
          <w:sz w:val="24"/>
          <w:szCs w:val="24"/>
        </w:rPr>
        <w:t xml:space="preserve"> en faveur de la codétermination des salariés. </w:t>
      </w:r>
      <w:r w:rsidR="00D62E87" w:rsidRPr="000915D0">
        <w:rPr>
          <w:rFonts w:ascii="Times New Roman" w:hAnsi="Times New Roman" w:cs="Times New Roman"/>
          <w:sz w:val="24"/>
          <w:szCs w:val="24"/>
        </w:rPr>
        <w:t>Dès lors, les leaders de la mobilisation, dont Böckler</w:t>
      </w:r>
      <w:r w:rsidR="003A629A" w:rsidRPr="000915D0">
        <w:rPr>
          <w:rFonts w:ascii="Times New Roman" w:hAnsi="Times New Roman" w:cs="Times New Roman"/>
          <w:sz w:val="24"/>
          <w:szCs w:val="24"/>
        </w:rPr>
        <w:t>, qui fut lui-même plutôt éloigné de l’Eglise</w:t>
      </w:r>
      <w:r w:rsidR="000A4B09" w:rsidRPr="000915D0">
        <w:rPr>
          <w:rFonts w:ascii="Times New Roman" w:hAnsi="Times New Roman" w:cs="Times New Roman"/>
          <w:sz w:val="24"/>
          <w:szCs w:val="24"/>
        </w:rPr>
        <w:t>, purent invoquer la position</w:t>
      </w:r>
      <w:r w:rsidR="00F91F3F" w:rsidRPr="000915D0">
        <w:rPr>
          <w:rFonts w:ascii="Times New Roman" w:hAnsi="Times New Roman" w:cs="Times New Roman"/>
          <w:sz w:val="24"/>
          <w:szCs w:val="24"/>
        </w:rPr>
        <w:t xml:space="preserve"> officielle</w:t>
      </w:r>
      <w:r w:rsidR="000A4B09" w:rsidRPr="000915D0">
        <w:rPr>
          <w:rFonts w:ascii="Times New Roman" w:hAnsi="Times New Roman" w:cs="Times New Roman"/>
          <w:sz w:val="24"/>
          <w:szCs w:val="24"/>
        </w:rPr>
        <w:t xml:space="preserve"> de cette dernière pour légitimer leur revendication </w:t>
      </w:r>
      <w:r w:rsidR="0081549B" w:rsidRPr="000915D0">
        <w:rPr>
          <w:rFonts w:ascii="Times New Roman" w:hAnsi="Times New Roman" w:cs="Times New Roman"/>
          <w:sz w:val="24"/>
          <w:szCs w:val="24"/>
        </w:rPr>
        <w:t xml:space="preserve">et fonder </w:t>
      </w:r>
      <w:r w:rsidR="00A746D7" w:rsidRPr="000915D0">
        <w:rPr>
          <w:rFonts w:ascii="Times New Roman" w:hAnsi="Times New Roman" w:cs="Times New Roman"/>
          <w:sz w:val="24"/>
          <w:szCs w:val="24"/>
        </w:rPr>
        <w:t xml:space="preserve">l’argumentation d’un intérêt largement partagé, non seulement par </w:t>
      </w:r>
      <w:r w:rsidR="005842FF" w:rsidRPr="000915D0">
        <w:rPr>
          <w:rFonts w:ascii="Times New Roman" w:hAnsi="Times New Roman" w:cs="Times New Roman"/>
          <w:sz w:val="24"/>
          <w:szCs w:val="24"/>
        </w:rPr>
        <w:t>les sociaux-démocrates et la partie du syndicalisme qui leur était proche</w:t>
      </w:r>
      <w:r w:rsidR="00B84460" w:rsidRPr="000915D0">
        <w:rPr>
          <w:rFonts w:ascii="Times New Roman" w:hAnsi="Times New Roman" w:cs="Times New Roman"/>
          <w:sz w:val="24"/>
          <w:szCs w:val="24"/>
        </w:rPr>
        <w:t>, mais aussi par au moins une frange significative de la CDU</w:t>
      </w:r>
      <w:r w:rsidR="001B183B" w:rsidRPr="000915D0">
        <w:rPr>
          <w:rFonts w:ascii="Times New Roman" w:hAnsi="Times New Roman" w:cs="Times New Roman"/>
          <w:sz w:val="24"/>
          <w:szCs w:val="24"/>
        </w:rPr>
        <w:t xml:space="preserve">. </w:t>
      </w:r>
      <w:r w:rsidR="00D34BE0" w:rsidRPr="000915D0">
        <w:rPr>
          <w:rFonts w:ascii="Times New Roman" w:hAnsi="Times New Roman" w:cs="Times New Roman"/>
          <w:sz w:val="24"/>
          <w:szCs w:val="24"/>
        </w:rPr>
        <w:t>Cela permit de présenter un front de mobilisation particulièrement fort</w:t>
      </w:r>
      <w:r w:rsidR="00CE0ECA" w:rsidRPr="000915D0">
        <w:rPr>
          <w:rFonts w:ascii="Times New Roman" w:hAnsi="Times New Roman" w:cs="Times New Roman"/>
          <w:sz w:val="24"/>
          <w:szCs w:val="24"/>
        </w:rPr>
        <w:t xml:space="preserve"> et uni</w:t>
      </w:r>
      <w:r w:rsidR="004834F9" w:rsidRPr="000915D0">
        <w:rPr>
          <w:rFonts w:ascii="Times New Roman" w:hAnsi="Times New Roman" w:cs="Times New Roman"/>
          <w:sz w:val="24"/>
          <w:szCs w:val="24"/>
        </w:rPr>
        <w:t>.</w:t>
      </w:r>
      <w:r w:rsidR="00926CC3" w:rsidRPr="000915D0">
        <w:rPr>
          <w:rFonts w:ascii="Times New Roman" w:hAnsi="Times New Roman" w:cs="Times New Roman"/>
          <w:sz w:val="24"/>
          <w:szCs w:val="24"/>
        </w:rPr>
        <w:t xml:space="preserve"> L</w:t>
      </w:r>
      <w:r w:rsidR="00FC1A23" w:rsidRPr="000915D0">
        <w:rPr>
          <w:rFonts w:ascii="Times New Roman" w:hAnsi="Times New Roman" w:cs="Times New Roman"/>
          <w:sz w:val="24"/>
          <w:szCs w:val="24"/>
        </w:rPr>
        <w:t>’institution-socle que f</w:t>
      </w:r>
      <w:r w:rsidR="00CE0ECA" w:rsidRPr="000915D0">
        <w:rPr>
          <w:rFonts w:ascii="Times New Roman" w:hAnsi="Times New Roman" w:cs="Times New Roman"/>
          <w:sz w:val="24"/>
          <w:szCs w:val="24"/>
        </w:rPr>
        <w:t>u</w:t>
      </w:r>
      <w:r w:rsidR="00FC1A23" w:rsidRPr="000915D0">
        <w:rPr>
          <w:rFonts w:ascii="Times New Roman" w:hAnsi="Times New Roman" w:cs="Times New Roman"/>
          <w:sz w:val="24"/>
          <w:szCs w:val="24"/>
        </w:rPr>
        <w:t xml:space="preserve">t l’Eglise Catholique </w:t>
      </w:r>
      <w:r w:rsidR="0051350E" w:rsidRPr="000915D0">
        <w:rPr>
          <w:rFonts w:ascii="Times New Roman" w:hAnsi="Times New Roman" w:cs="Times New Roman"/>
          <w:sz w:val="24"/>
          <w:szCs w:val="24"/>
        </w:rPr>
        <w:t xml:space="preserve">ouest-allemande d’après-guerre </w:t>
      </w:r>
      <w:r w:rsidR="00624F4F" w:rsidRPr="000915D0">
        <w:rPr>
          <w:rFonts w:ascii="Times New Roman" w:hAnsi="Times New Roman" w:cs="Times New Roman"/>
          <w:sz w:val="24"/>
          <w:szCs w:val="24"/>
        </w:rPr>
        <w:t>était</w:t>
      </w:r>
      <w:r w:rsidR="0051350E" w:rsidRPr="000915D0">
        <w:rPr>
          <w:rFonts w:ascii="Times New Roman" w:hAnsi="Times New Roman" w:cs="Times New Roman"/>
          <w:sz w:val="24"/>
          <w:szCs w:val="24"/>
        </w:rPr>
        <w:t xml:space="preserve"> donc instrumental</w:t>
      </w:r>
      <w:r w:rsidR="00624F4F" w:rsidRPr="000915D0">
        <w:rPr>
          <w:rFonts w:ascii="Times New Roman" w:hAnsi="Times New Roman" w:cs="Times New Roman"/>
          <w:sz w:val="24"/>
          <w:szCs w:val="24"/>
        </w:rPr>
        <w:t>e</w:t>
      </w:r>
      <w:r w:rsidR="0051350E" w:rsidRPr="000915D0">
        <w:rPr>
          <w:rFonts w:ascii="Times New Roman" w:hAnsi="Times New Roman" w:cs="Times New Roman"/>
          <w:sz w:val="24"/>
          <w:szCs w:val="24"/>
        </w:rPr>
        <w:t xml:space="preserve"> pour conférer le sens d’un intérêt partagé </w:t>
      </w:r>
      <w:r w:rsidR="00374ADC" w:rsidRPr="000915D0">
        <w:rPr>
          <w:rFonts w:ascii="Times New Roman" w:hAnsi="Times New Roman" w:cs="Times New Roman"/>
          <w:sz w:val="24"/>
          <w:szCs w:val="24"/>
        </w:rPr>
        <w:t>transcendant les intérêts particuliers et catégoriels.</w:t>
      </w:r>
      <w:r w:rsidR="00A1009B" w:rsidRPr="000915D0">
        <w:rPr>
          <w:rFonts w:ascii="Times New Roman" w:hAnsi="Times New Roman" w:cs="Times New Roman"/>
          <w:sz w:val="24"/>
          <w:szCs w:val="24"/>
        </w:rPr>
        <w:t xml:space="preserve"> La mobilisation sociale menée par Böckler, avec l’appui des réseaux </w:t>
      </w:r>
      <w:r w:rsidR="00D04E37" w:rsidRPr="000915D0">
        <w:rPr>
          <w:rFonts w:ascii="Times New Roman" w:hAnsi="Times New Roman" w:cs="Times New Roman"/>
          <w:sz w:val="24"/>
          <w:szCs w:val="24"/>
        </w:rPr>
        <w:t>dont faisaient parti</w:t>
      </w:r>
      <w:r w:rsidR="00C800B7" w:rsidRPr="000915D0">
        <w:rPr>
          <w:rFonts w:ascii="Times New Roman" w:hAnsi="Times New Roman" w:cs="Times New Roman"/>
          <w:sz w:val="24"/>
          <w:szCs w:val="24"/>
        </w:rPr>
        <w:t>e</w:t>
      </w:r>
      <w:r w:rsidR="00D04E37" w:rsidRPr="000915D0">
        <w:rPr>
          <w:rFonts w:ascii="Times New Roman" w:hAnsi="Times New Roman" w:cs="Times New Roman"/>
          <w:sz w:val="24"/>
          <w:szCs w:val="24"/>
        </w:rPr>
        <w:t xml:space="preserve"> les ouvriers catholiques, prit une tournure décisive </w:t>
      </w:r>
      <w:r w:rsidR="00581525" w:rsidRPr="000915D0">
        <w:rPr>
          <w:rFonts w:ascii="Times New Roman" w:hAnsi="Times New Roman" w:cs="Times New Roman"/>
          <w:sz w:val="24"/>
          <w:szCs w:val="24"/>
        </w:rPr>
        <w:t xml:space="preserve">avec le vote d’une grève, très majoritairement soutenue par toutes les tendances syndicales unifiées. </w:t>
      </w:r>
      <w:r w:rsidR="00F020AD" w:rsidRPr="000915D0">
        <w:rPr>
          <w:rFonts w:ascii="Times New Roman" w:hAnsi="Times New Roman" w:cs="Times New Roman"/>
          <w:sz w:val="24"/>
          <w:szCs w:val="24"/>
        </w:rPr>
        <w:t xml:space="preserve">Adenauer, soucieux de la paix sociale dans la jeune république naissante, </w:t>
      </w:r>
      <w:r w:rsidR="000B3A25" w:rsidRPr="000915D0">
        <w:rPr>
          <w:rFonts w:ascii="Times New Roman" w:hAnsi="Times New Roman" w:cs="Times New Roman"/>
          <w:sz w:val="24"/>
          <w:szCs w:val="24"/>
        </w:rPr>
        <w:t>demanda alors au patronat et aux syndicalistes</w:t>
      </w:r>
      <w:r w:rsidR="009E447E" w:rsidRPr="000915D0">
        <w:rPr>
          <w:rFonts w:ascii="Times New Roman" w:hAnsi="Times New Roman" w:cs="Times New Roman"/>
          <w:sz w:val="24"/>
          <w:szCs w:val="24"/>
        </w:rPr>
        <w:t xml:space="preserve"> de négocier une solution.</w:t>
      </w:r>
      <w:r w:rsidR="00793C4F" w:rsidRPr="000915D0">
        <w:rPr>
          <w:rFonts w:ascii="Times New Roman" w:hAnsi="Times New Roman" w:cs="Times New Roman"/>
          <w:sz w:val="24"/>
          <w:szCs w:val="24"/>
        </w:rPr>
        <w:t xml:space="preserve"> L</w:t>
      </w:r>
      <w:r w:rsidR="00533519" w:rsidRPr="000915D0">
        <w:rPr>
          <w:rFonts w:ascii="Times New Roman" w:hAnsi="Times New Roman" w:cs="Times New Roman"/>
          <w:sz w:val="24"/>
          <w:szCs w:val="24"/>
        </w:rPr>
        <w:t>a grève fut évitée et la loi de codétermination du secteur charbon-acier put entrer en vigueur en 1951</w:t>
      </w:r>
      <w:r w:rsidR="007D570C" w:rsidRPr="000915D0">
        <w:rPr>
          <w:rFonts w:ascii="Times New Roman" w:hAnsi="Times New Roman" w:cs="Times New Roman"/>
          <w:sz w:val="24"/>
          <w:szCs w:val="24"/>
        </w:rPr>
        <w:t xml:space="preserve">. </w:t>
      </w:r>
    </w:p>
    <w:p w14:paraId="404DAD59" w14:textId="7A9BB8AA" w:rsidR="001059AB" w:rsidRPr="000915D0" w:rsidRDefault="007D570C" w:rsidP="0000458E">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 xml:space="preserve">Les </w:t>
      </w:r>
      <w:r w:rsidR="00704FDD" w:rsidRPr="000915D0">
        <w:rPr>
          <w:rFonts w:ascii="Times New Roman" w:hAnsi="Times New Roman" w:cs="Times New Roman"/>
          <w:sz w:val="24"/>
          <w:szCs w:val="24"/>
        </w:rPr>
        <w:t>quatre</w:t>
      </w:r>
      <w:r w:rsidRPr="000915D0">
        <w:rPr>
          <w:rFonts w:ascii="Times New Roman" w:hAnsi="Times New Roman" w:cs="Times New Roman"/>
          <w:sz w:val="24"/>
          <w:szCs w:val="24"/>
        </w:rPr>
        <w:t xml:space="preserve"> dimensions de la mobilisation du cadre conceptuel de Davis et Thompson (1994</w:t>
      </w:r>
      <w:r w:rsidR="005C6029" w:rsidRPr="000915D0">
        <w:rPr>
          <w:rFonts w:ascii="Times New Roman" w:hAnsi="Times New Roman" w:cs="Times New Roman"/>
          <w:sz w:val="24"/>
          <w:szCs w:val="24"/>
        </w:rPr>
        <w:t xml:space="preserve">) étaient donc bien alignées au moment de l’institutionnalisation </w:t>
      </w:r>
      <w:r w:rsidR="00CA4996" w:rsidRPr="000915D0">
        <w:rPr>
          <w:rFonts w:ascii="Times New Roman" w:hAnsi="Times New Roman" w:cs="Times New Roman"/>
          <w:sz w:val="24"/>
          <w:szCs w:val="24"/>
        </w:rPr>
        <w:t>de la codétermination sur le plan législati</w:t>
      </w:r>
      <w:r w:rsidR="006C4B9E" w:rsidRPr="000915D0">
        <w:rPr>
          <w:rFonts w:ascii="Times New Roman" w:hAnsi="Times New Roman" w:cs="Times New Roman"/>
          <w:sz w:val="24"/>
          <w:szCs w:val="24"/>
        </w:rPr>
        <w:t>f</w:t>
      </w:r>
      <w:r w:rsidR="00CA4996" w:rsidRPr="000915D0">
        <w:rPr>
          <w:rFonts w:ascii="Times New Roman" w:hAnsi="Times New Roman" w:cs="Times New Roman"/>
          <w:sz w:val="24"/>
          <w:szCs w:val="24"/>
        </w:rPr>
        <w:t xml:space="preserve"> : un contexte d’opportunité </w:t>
      </w:r>
      <w:r w:rsidR="008E0808" w:rsidRPr="000915D0">
        <w:rPr>
          <w:rFonts w:ascii="Times New Roman" w:hAnsi="Times New Roman" w:cs="Times New Roman"/>
          <w:sz w:val="24"/>
          <w:szCs w:val="24"/>
        </w:rPr>
        <w:t>politique caractérisé par une rupture très forte, une infrastructure organisationnelle</w:t>
      </w:r>
      <w:r w:rsidR="00B4352E" w:rsidRPr="000915D0">
        <w:rPr>
          <w:rFonts w:ascii="Times New Roman" w:hAnsi="Times New Roman" w:cs="Times New Roman"/>
          <w:sz w:val="24"/>
          <w:szCs w:val="24"/>
        </w:rPr>
        <w:t xml:space="preserve"> (sous la forme des réseaux catholiques et syndicaux </w:t>
      </w:r>
      <w:r w:rsidR="004B6734" w:rsidRPr="000915D0">
        <w:rPr>
          <w:rFonts w:ascii="Times New Roman" w:hAnsi="Times New Roman" w:cs="Times New Roman"/>
          <w:sz w:val="24"/>
          <w:szCs w:val="24"/>
        </w:rPr>
        <w:t xml:space="preserve">unifiés), </w:t>
      </w:r>
      <w:r w:rsidR="004B6734" w:rsidRPr="000915D0">
        <w:rPr>
          <w:rFonts w:ascii="Times New Roman" w:hAnsi="Times New Roman" w:cs="Times New Roman"/>
          <w:sz w:val="24"/>
          <w:szCs w:val="24"/>
        </w:rPr>
        <w:lastRenderedPageBreak/>
        <w:t xml:space="preserve">l’argumentation </w:t>
      </w:r>
      <w:r w:rsidR="00906088" w:rsidRPr="000915D0">
        <w:rPr>
          <w:rFonts w:ascii="Times New Roman" w:hAnsi="Times New Roman" w:cs="Times New Roman"/>
          <w:sz w:val="24"/>
          <w:szCs w:val="24"/>
        </w:rPr>
        <w:t>en faveur d’un intérêt partagé fondé sur l’invocation de la position de l’Eglise per</w:t>
      </w:r>
      <w:r w:rsidR="004A39FA" w:rsidRPr="000915D0">
        <w:rPr>
          <w:rFonts w:ascii="Times New Roman" w:hAnsi="Times New Roman" w:cs="Times New Roman"/>
          <w:sz w:val="24"/>
          <w:szCs w:val="24"/>
        </w:rPr>
        <w:t>çue comme légitime par une partie majoritaire de la population, et un processus de mobilisation concret, mené par un leadership charismatique</w:t>
      </w:r>
      <w:r w:rsidR="00C76565" w:rsidRPr="000915D0">
        <w:rPr>
          <w:rFonts w:ascii="Times New Roman" w:hAnsi="Times New Roman" w:cs="Times New Roman"/>
          <w:sz w:val="24"/>
          <w:szCs w:val="24"/>
        </w:rPr>
        <w:t xml:space="preserve"> et très visible.</w:t>
      </w:r>
    </w:p>
    <w:p w14:paraId="7038E18A" w14:textId="1D475DDA" w:rsidR="00ED4801" w:rsidRPr="000915D0" w:rsidRDefault="00ED4801" w:rsidP="0000458E">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Dès le début des années 1960</w:t>
      </w:r>
      <w:r w:rsidR="00FB1890" w:rsidRPr="000915D0">
        <w:rPr>
          <w:rFonts w:ascii="Times New Roman" w:hAnsi="Times New Roman" w:cs="Times New Roman"/>
          <w:sz w:val="24"/>
          <w:szCs w:val="24"/>
        </w:rPr>
        <w:t xml:space="preserve">, le DGB était prêt à se remobiliser pour obtenir l’extension du modèle de codétermination charbon-acier </w:t>
      </w:r>
      <w:r w:rsidR="000E3295" w:rsidRPr="000915D0">
        <w:rPr>
          <w:rFonts w:ascii="Times New Roman" w:hAnsi="Times New Roman" w:cs="Times New Roman"/>
          <w:sz w:val="24"/>
          <w:szCs w:val="24"/>
        </w:rPr>
        <w:t xml:space="preserve">à l’ensemble des secteurs d’activité. </w:t>
      </w:r>
      <w:r w:rsidR="00CE3F7A" w:rsidRPr="000915D0">
        <w:rPr>
          <w:rFonts w:ascii="Times New Roman" w:hAnsi="Times New Roman" w:cs="Times New Roman"/>
          <w:sz w:val="24"/>
          <w:szCs w:val="24"/>
        </w:rPr>
        <w:t>Le contexte politique fut cependant peu favorable en ce moment-là</w:t>
      </w:r>
      <w:r w:rsidR="00BD51AE" w:rsidRPr="000915D0">
        <w:rPr>
          <w:rFonts w:ascii="Times New Roman" w:hAnsi="Times New Roman" w:cs="Times New Roman"/>
          <w:sz w:val="24"/>
          <w:szCs w:val="24"/>
        </w:rPr>
        <w:t xml:space="preserve">. Les institutions de la République fédérale </w:t>
      </w:r>
      <w:r w:rsidR="00775A9D" w:rsidRPr="000915D0">
        <w:rPr>
          <w:rFonts w:ascii="Times New Roman" w:hAnsi="Times New Roman" w:cs="Times New Roman"/>
          <w:sz w:val="24"/>
          <w:szCs w:val="24"/>
        </w:rPr>
        <w:t xml:space="preserve">s’étaient mises en place </w:t>
      </w:r>
      <w:r w:rsidR="00070C08" w:rsidRPr="000915D0">
        <w:rPr>
          <w:rFonts w:ascii="Times New Roman" w:hAnsi="Times New Roman" w:cs="Times New Roman"/>
          <w:sz w:val="24"/>
          <w:szCs w:val="24"/>
        </w:rPr>
        <w:t>et la population bénéficiait de ce qui a été appelé le « miracle économique » allemand</w:t>
      </w:r>
      <w:r w:rsidR="007614F9" w:rsidRPr="000915D0">
        <w:rPr>
          <w:rFonts w:ascii="Times New Roman" w:hAnsi="Times New Roman" w:cs="Times New Roman"/>
          <w:sz w:val="24"/>
          <w:szCs w:val="24"/>
        </w:rPr>
        <w:t>. L</w:t>
      </w:r>
      <w:r w:rsidR="00054EC6" w:rsidRPr="000915D0">
        <w:rPr>
          <w:rFonts w:ascii="Times New Roman" w:hAnsi="Times New Roman" w:cs="Times New Roman"/>
          <w:sz w:val="24"/>
          <w:szCs w:val="24"/>
        </w:rPr>
        <w:t>e gouvernement f</w:t>
      </w:r>
      <w:r w:rsidR="0027236C" w:rsidRPr="000915D0">
        <w:rPr>
          <w:rFonts w:ascii="Times New Roman" w:hAnsi="Times New Roman" w:cs="Times New Roman"/>
          <w:sz w:val="24"/>
          <w:szCs w:val="24"/>
        </w:rPr>
        <w:t>û</w:t>
      </w:r>
      <w:r w:rsidR="00054EC6" w:rsidRPr="000915D0">
        <w:rPr>
          <w:rFonts w:ascii="Times New Roman" w:hAnsi="Times New Roman" w:cs="Times New Roman"/>
          <w:sz w:val="24"/>
          <w:szCs w:val="24"/>
        </w:rPr>
        <w:t>t conservateur-libéral</w:t>
      </w:r>
      <w:r w:rsidR="008B0017" w:rsidRPr="000915D0">
        <w:rPr>
          <w:rFonts w:ascii="Times New Roman" w:hAnsi="Times New Roman" w:cs="Times New Roman"/>
          <w:sz w:val="24"/>
          <w:szCs w:val="24"/>
        </w:rPr>
        <w:t xml:space="preserve"> (CDU-F</w:t>
      </w:r>
      <w:r w:rsidR="00904858" w:rsidRPr="000915D0">
        <w:rPr>
          <w:rFonts w:ascii="Times New Roman" w:hAnsi="Times New Roman" w:cs="Times New Roman"/>
          <w:sz w:val="24"/>
          <w:szCs w:val="24"/>
        </w:rPr>
        <w:t>DP)</w:t>
      </w:r>
      <w:r w:rsidR="00B23D60" w:rsidRPr="000915D0">
        <w:rPr>
          <w:rFonts w:ascii="Times New Roman" w:hAnsi="Times New Roman" w:cs="Times New Roman"/>
          <w:sz w:val="24"/>
          <w:szCs w:val="24"/>
        </w:rPr>
        <w:t>, d’abord, suivi par une grande coalition</w:t>
      </w:r>
      <w:r w:rsidR="008B0017" w:rsidRPr="000915D0">
        <w:rPr>
          <w:rFonts w:ascii="Times New Roman" w:hAnsi="Times New Roman" w:cs="Times New Roman"/>
          <w:sz w:val="24"/>
          <w:szCs w:val="24"/>
        </w:rPr>
        <w:t xml:space="preserve"> (CDU et SPD)</w:t>
      </w:r>
      <w:r w:rsidR="00B23D60" w:rsidRPr="000915D0">
        <w:rPr>
          <w:rFonts w:ascii="Times New Roman" w:hAnsi="Times New Roman" w:cs="Times New Roman"/>
          <w:sz w:val="24"/>
          <w:szCs w:val="24"/>
        </w:rPr>
        <w:t>. Cette dernière aurait pu être davantage enclin</w:t>
      </w:r>
      <w:r w:rsidR="0008177C" w:rsidRPr="000915D0">
        <w:rPr>
          <w:rFonts w:ascii="Times New Roman" w:hAnsi="Times New Roman" w:cs="Times New Roman"/>
          <w:sz w:val="24"/>
          <w:szCs w:val="24"/>
        </w:rPr>
        <w:t>e</w:t>
      </w:r>
      <w:r w:rsidR="00B23D60" w:rsidRPr="000915D0">
        <w:rPr>
          <w:rFonts w:ascii="Times New Roman" w:hAnsi="Times New Roman" w:cs="Times New Roman"/>
          <w:sz w:val="24"/>
          <w:szCs w:val="24"/>
        </w:rPr>
        <w:t xml:space="preserve"> à </w:t>
      </w:r>
      <w:r w:rsidR="003C0901" w:rsidRPr="000915D0">
        <w:rPr>
          <w:rFonts w:ascii="Times New Roman" w:hAnsi="Times New Roman" w:cs="Times New Roman"/>
          <w:sz w:val="24"/>
          <w:szCs w:val="24"/>
        </w:rPr>
        <w:t xml:space="preserve">écouter la position du DGB, mais il est à noter qu’une contre-mobilisation </w:t>
      </w:r>
      <w:r w:rsidR="004857A0" w:rsidRPr="000915D0">
        <w:rPr>
          <w:rFonts w:ascii="Times New Roman" w:hAnsi="Times New Roman" w:cs="Times New Roman"/>
          <w:sz w:val="24"/>
          <w:szCs w:val="24"/>
        </w:rPr>
        <w:t xml:space="preserve">du patronat vit le jour, avec la création, en 1964, d’un groupe de pression </w:t>
      </w:r>
      <w:r w:rsidR="00185C06" w:rsidRPr="000915D0">
        <w:rPr>
          <w:rFonts w:ascii="Times New Roman" w:hAnsi="Times New Roman" w:cs="Times New Roman"/>
          <w:sz w:val="24"/>
          <w:szCs w:val="24"/>
        </w:rPr>
        <w:t>pour combattre de façon virulente la codétermination.</w:t>
      </w:r>
      <w:r w:rsidR="00686FD5" w:rsidRPr="000915D0">
        <w:rPr>
          <w:rFonts w:ascii="Times New Roman" w:hAnsi="Times New Roman" w:cs="Times New Roman"/>
          <w:sz w:val="24"/>
          <w:szCs w:val="24"/>
        </w:rPr>
        <w:t xml:space="preserve"> Tout au plus</w:t>
      </w:r>
      <w:r w:rsidR="00FF39EC" w:rsidRPr="000915D0">
        <w:rPr>
          <w:rFonts w:ascii="Times New Roman" w:hAnsi="Times New Roman" w:cs="Times New Roman"/>
          <w:sz w:val="24"/>
          <w:szCs w:val="24"/>
        </w:rPr>
        <w:t xml:space="preserve">, le gouvernement de la grande coalition entre CDU et SPD </w:t>
      </w:r>
      <w:r w:rsidR="00E37D96" w:rsidRPr="000915D0">
        <w:rPr>
          <w:rFonts w:ascii="Times New Roman" w:hAnsi="Times New Roman" w:cs="Times New Roman"/>
          <w:sz w:val="24"/>
          <w:szCs w:val="24"/>
        </w:rPr>
        <w:t xml:space="preserve">réussit </w:t>
      </w:r>
      <w:r w:rsidR="00E73ECF" w:rsidRPr="000915D0">
        <w:rPr>
          <w:rFonts w:ascii="Times New Roman" w:hAnsi="Times New Roman" w:cs="Times New Roman"/>
          <w:sz w:val="24"/>
          <w:szCs w:val="24"/>
        </w:rPr>
        <w:t>à</w:t>
      </w:r>
      <w:r w:rsidR="00E37D96" w:rsidRPr="000915D0">
        <w:rPr>
          <w:rFonts w:ascii="Times New Roman" w:hAnsi="Times New Roman" w:cs="Times New Roman"/>
          <w:sz w:val="24"/>
          <w:szCs w:val="24"/>
        </w:rPr>
        <w:t xml:space="preserve"> mettre en place une commission de réflexion pour préparer une éventuelle réforme législative à venir</w:t>
      </w:r>
      <w:r w:rsidR="007A4062" w:rsidRPr="000915D0">
        <w:rPr>
          <w:rFonts w:ascii="Times New Roman" w:hAnsi="Times New Roman" w:cs="Times New Roman"/>
          <w:sz w:val="24"/>
          <w:szCs w:val="24"/>
        </w:rPr>
        <w:t>. Ce fut la première commission Biedenkopf en 1968</w:t>
      </w:r>
      <w:r w:rsidR="005C309F" w:rsidRPr="000915D0">
        <w:rPr>
          <w:rStyle w:val="Appelnotedebasdep"/>
          <w:rFonts w:ascii="Times New Roman" w:hAnsi="Times New Roman" w:cs="Times New Roman"/>
          <w:sz w:val="24"/>
          <w:szCs w:val="24"/>
        </w:rPr>
        <w:footnoteReference w:id="3"/>
      </w:r>
      <w:r w:rsidR="003B7BA6" w:rsidRPr="000915D0">
        <w:rPr>
          <w:rFonts w:ascii="Times New Roman" w:hAnsi="Times New Roman" w:cs="Times New Roman"/>
          <w:sz w:val="24"/>
          <w:szCs w:val="24"/>
        </w:rPr>
        <w:t>, qui publia son rapport</w:t>
      </w:r>
      <w:r w:rsidR="001348DD" w:rsidRPr="000915D0">
        <w:rPr>
          <w:rFonts w:ascii="Times New Roman" w:hAnsi="Times New Roman" w:cs="Times New Roman"/>
          <w:sz w:val="24"/>
          <w:szCs w:val="24"/>
        </w:rPr>
        <w:t xml:space="preserve"> et ses recommandations pour l’</w:t>
      </w:r>
      <w:r w:rsidR="001B5839" w:rsidRPr="000915D0">
        <w:rPr>
          <w:rFonts w:ascii="Times New Roman" w:hAnsi="Times New Roman" w:cs="Times New Roman"/>
          <w:sz w:val="24"/>
          <w:szCs w:val="24"/>
        </w:rPr>
        <w:t>extension de la codétermination</w:t>
      </w:r>
      <w:r w:rsidR="003B7BA6" w:rsidRPr="000915D0">
        <w:rPr>
          <w:rFonts w:ascii="Times New Roman" w:hAnsi="Times New Roman" w:cs="Times New Roman"/>
          <w:sz w:val="24"/>
          <w:szCs w:val="24"/>
        </w:rPr>
        <w:t xml:space="preserve"> en 1970</w:t>
      </w:r>
      <w:r w:rsidR="007A4062" w:rsidRPr="000915D0">
        <w:rPr>
          <w:rFonts w:ascii="Times New Roman" w:hAnsi="Times New Roman" w:cs="Times New Roman"/>
          <w:sz w:val="24"/>
          <w:szCs w:val="24"/>
        </w:rPr>
        <w:t>.</w:t>
      </w:r>
      <w:r w:rsidR="00257A3D" w:rsidRPr="000915D0">
        <w:rPr>
          <w:rFonts w:ascii="Times New Roman" w:hAnsi="Times New Roman" w:cs="Times New Roman"/>
          <w:sz w:val="24"/>
          <w:szCs w:val="24"/>
        </w:rPr>
        <w:t xml:space="preserve"> Le contexte politique changea radicalement, lorsqu’en novembre 19</w:t>
      </w:r>
      <w:r w:rsidR="00382AD9" w:rsidRPr="000915D0">
        <w:rPr>
          <w:rFonts w:ascii="Times New Roman" w:hAnsi="Times New Roman" w:cs="Times New Roman"/>
          <w:sz w:val="24"/>
          <w:szCs w:val="24"/>
        </w:rPr>
        <w:t>72</w:t>
      </w:r>
      <w:r w:rsidR="007F7B1B" w:rsidRPr="000915D0">
        <w:rPr>
          <w:rFonts w:ascii="Times New Roman" w:hAnsi="Times New Roman" w:cs="Times New Roman"/>
          <w:sz w:val="24"/>
          <w:szCs w:val="24"/>
        </w:rPr>
        <w:t>,</w:t>
      </w:r>
      <w:r w:rsidR="00257A3D" w:rsidRPr="000915D0">
        <w:rPr>
          <w:rFonts w:ascii="Times New Roman" w:hAnsi="Times New Roman" w:cs="Times New Roman"/>
          <w:sz w:val="24"/>
          <w:szCs w:val="24"/>
        </w:rPr>
        <w:t xml:space="preserve"> le SPD </w:t>
      </w:r>
      <w:r w:rsidR="009D32B2" w:rsidRPr="000915D0">
        <w:rPr>
          <w:rFonts w:ascii="Times New Roman" w:hAnsi="Times New Roman" w:cs="Times New Roman"/>
          <w:sz w:val="24"/>
          <w:szCs w:val="24"/>
        </w:rPr>
        <w:t xml:space="preserve">sortit </w:t>
      </w:r>
      <w:proofErr w:type="gramStart"/>
      <w:r w:rsidR="00A95698" w:rsidRPr="000915D0">
        <w:rPr>
          <w:rFonts w:ascii="Times New Roman" w:hAnsi="Times New Roman" w:cs="Times New Roman"/>
          <w:sz w:val="24"/>
          <w:szCs w:val="24"/>
        </w:rPr>
        <w:t>renforcé</w:t>
      </w:r>
      <w:proofErr w:type="gramEnd"/>
      <w:r w:rsidR="009D32B2" w:rsidRPr="000915D0">
        <w:rPr>
          <w:rFonts w:ascii="Times New Roman" w:hAnsi="Times New Roman" w:cs="Times New Roman"/>
          <w:sz w:val="24"/>
          <w:szCs w:val="24"/>
        </w:rPr>
        <w:t xml:space="preserve"> des élections</w:t>
      </w:r>
      <w:r w:rsidR="00B750AC" w:rsidRPr="000915D0">
        <w:rPr>
          <w:rFonts w:ascii="Times New Roman" w:hAnsi="Times New Roman" w:cs="Times New Roman"/>
          <w:sz w:val="24"/>
          <w:szCs w:val="24"/>
        </w:rPr>
        <w:t>. Cela permit une mobilisation politique, et un compromis f</w:t>
      </w:r>
      <w:r w:rsidR="0027236C" w:rsidRPr="000915D0">
        <w:rPr>
          <w:rFonts w:ascii="Times New Roman" w:hAnsi="Times New Roman" w:cs="Times New Roman"/>
          <w:sz w:val="24"/>
          <w:szCs w:val="24"/>
        </w:rPr>
        <w:t>û</w:t>
      </w:r>
      <w:r w:rsidR="00B750AC" w:rsidRPr="000915D0">
        <w:rPr>
          <w:rFonts w:ascii="Times New Roman" w:hAnsi="Times New Roman" w:cs="Times New Roman"/>
          <w:sz w:val="24"/>
          <w:szCs w:val="24"/>
        </w:rPr>
        <w:t xml:space="preserve">t élaboré </w:t>
      </w:r>
      <w:r w:rsidR="00096FF7" w:rsidRPr="000915D0">
        <w:rPr>
          <w:rFonts w:ascii="Times New Roman" w:hAnsi="Times New Roman" w:cs="Times New Roman"/>
          <w:sz w:val="24"/>
          <w:szCs w:val="24"/>
        </w:rPr>
        <w:t>entre SPD et FDP (le parti libéral), également soutenu par l’aile social-catholique de la CDU</w:t>
      </w:r>
      <w:r w:rsidR="00BE1E22" w:rsidRPr="000915D0">
        <w:rPr>
          <w:rFonts w:ascii="Times New Roman" w:hAnsi="Times New Roman" w:cs="Times New Roman"/>
          <w:sz w:val="24"/>
          <w:szCs w:val="24"/>
        </w:rPr>
        <w:t>, aboutissant finalement au vote de la loi de codétermination de 1976</w:t>
      </w:r>
      <w:r w:rsidR="00D77900" w:rsidRPr="000915D0">
        <w:rPr>
          <w:rFonts w:ascii="Times New Roman" w:hAnsi="Times New Roman" w:cs="Times New Roman"/>
          <w:sz w:val="24"/>
          <w:szCs w:val="24"/>
        </w:rPr>
        <w:t>, qui étendit la représentation massive des ouvriers à l’ensemble des secteurs d’activité</w:t>
      </w:r>
      <w:r w:rsidR="00212D0E" w:rsidRPr="000915D0">
        <w:rPr>
          <w:rFonts w:ascii="Times New Roman" w:hAnsi="Times New Roman" w:cs="Times New Roman"/>
          <w:sz w:val="24"/>
          <w:szCs w:val="24"/>
        </w:rPr>
        <w:t xml:space="preserve">, bien que certaines modalités </w:t>
      </w:r>
      <w:r w:rsidR="00FE322A" w:rsidRPr="000915D0">
        <w:rPr>
          <w:rFonts w:ascii="Times New Roman" w:hAnsi="Times New Roman" w:cs="Times New Roman"/>
          <w:sz w:val="24"/>
          <w:szCs w:val="24"/>
        </w:rPr>
        <w:t xml:space="preserve">techniques </w:t>
      </w:r>
      <w:proofErr w:type="gramStart"/>
      <w:r w:rsidR="004C7CFA" w:rsidRPr="000915D0">
        <w:rPr>
          <w:rFonts w:ascii="Times New Roman" w:hAnsi="Times New Roman" w:cs="Times New Roman"/>
          <w:sz w:val="24"/>
          <w:szCs w:val="24"/>
        </w:rPr>
        <w:t>firent</w:t>
      </w:r>
      <w:proofErr w:type="gramEnd"/>
      <w:r w:rsidR="004C7CFA" w:rsidRPr="000915D0">
        <w:rPr>
          <w:rFonts w:ascii="Times New Roman" w:hAnsi="Times New Roman" w:cs="Times New Roman"/>
          <w:sz w:val="24"/>
          <w:szCs w:val="24"/>
        </w:rPr>
        <w:t xml:space="preserve"> que ce système restait en dessous des attentes des syndicats</w:t>
      </w:r>
      <w:r w:rsidR="00C33496" w:rsidRPr="000915D0">
        <w:rPr>
          <w:rFonts w:ascii="Times New Roman" w:hAnsi="Times New Roman" w:cs="Times New Roman"/>
          <w:sz w:val="24"/>
          <w:szCs w:val="24"/>
        </w:rPr>
        <w:t>. Le patronat, quant à lui, fut vent debout contre cette loi, et alla porter l’affaire devant la Cour constitutionnelle de Karlsruhe</w:t>
      </w:r>
      <w:r w:rsidR="00FC33F1" w:rsidRPr="000915D0">
        <w:rPr>
          <w:rFonts w:ascii="Times New Roman" w:hAnsi="Times New Roman" w:cs="Times New Roman"/>
          <w:sz w:val="24"/>
          <w:szCs w:val="24"/>
        </w:rPr>
        <w:t xml:space="preserve">, mais cette dernière déclara finalement dans un jugement rendu en 1979 que la codétermination </w:t>
      </w:r>
      <w:r w:rsidR="00E46187" w:rsidRPr="000915D0">
        <w:rPr>
          <w:rFonts w:ascii="Times New Roman" w:hAnsi="Times New Roman" w:cs="Times New Roman"/>
          <w:sz w:val="24"/>
          <w:szCs w:val="24"/>
        </w:rPr>
        <w:t>était conforme à la loi fondamentale (</w:t>
      </w:r>
      <w:r w:rsidR="00E46187" w:rsidRPr="000915D0">
        <w:rPr>
          <w:rFonts w:ascii="Times New Roman" w:hAnsi="Times New Roman" w:cs="Times New Roman"/>
          <w:i/>
          <w:iCs/>
          <w:sz w:val="24"/>
          <w:szCs w:val="24"/>
        </w:rPr>
        <w:t>Grundgesetz</w:t>
      </w:r>
      <w:r w:rsidR="00E46187" w:rsidRPr="000915D0">
        <w:rPr>
          <w:rFonts w:ascii="Times New Roman" w:hAnsi="Times New Roman" w:cs="Times New Roman"/>
          <w:sz w:val="24"/>
          <w:szCs w:val="24"/>
        </w:rPr>
        <w:t>).</w:t>
      </w:r>
      <w:r w:rsidR="002B4D02" w:rsidRPr="000915D0">
        <w:rPr>
          <w:rFonts w:ascii="Times New Roman" w:hAnsi="Times New Roman" w:cs="Times New Roman"/>
          <w:sz w:val="24"/>
          <w:szCs w:val="24"/>
        </w:rPr>
        <w:t xml:space="preserve"> </w:t>
      </w:r>
    </w:p>
    <w:p w14:paraId="65823FA6" w14:textId="55E84471" w:rsidR="002525C6" w:rsidRPr="000915D0" w:rsidRDefault="002525C6" w:rsidP="0000458E">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Plus récemment, après le tournant du millénaire, le patronat entreprit</w:t>
      </w:r>
      <w:r w:rsidR="0030005C" w:rsidRPr="000915D0">
        <w:rPr>
          <w:rFonts w:ascii="Times New Roman" w:hAnsi="Times New Roman" w:cs="Times New Roman"/>
          <w:sz w:val="24"/>
          <w:szCs w:val="24"/>
        </w:rPr>
        <w:t xml:space="preserve"> une nouvelle tentative </w:t>
      </w:r>
      <w:r w:rsidR="006D252A" w:rsidRPr="000915D0">
        <w:rPr>
          <w:rFonts w:ascii="Times New Roman" w:hAnsi="Times New Roman" w:cs="Times New Roman"/>
          <w:sz w:val="24"/>
          <w:szCs w:val="24"/>
        </w:rPr>
        <w:t>pour</w:t>
      </w:r>
      <w:r w:rsidR="0030005C" w:rsidRPr="000915D0">
        <w:rPr>
          <w:rFonts w:ascii="Times New Roman" w:hAnsi="Times New Roman" w:cs="Times New Roman"/>
          <w:sz w:val="24"/>
          <w:szCs w:val="24"/>
        </w:rPr>
        <w:t xml:space="preserve"> se débarrasser de la </w:t>
      </w:r>
      <w:r w:rsidR="00BA2DA8" w:rsidRPr="000915D0">
        <w:rPr>
          <w:rFonts w:ascii="Times New Roman" w:hAnsi="Times New Roman" w:cs="Times New Roman"/>
          <w:sz w:val="24"/>
          <w:szCs w:val="24"/>
        </w:rPr>
        <w:t>codétermination</w:t>
      </w:r>
      <w:r w:rsidR="0030005C" w:rsidRPr="000915D0">
        <w:rPr>
          <w:rFonts w:ascii="Times New Roman" w:hAnsi="Times New Roman" w:cs="Times New Roman"/>
          <w:sz w:val="24"/>
          <w:szCs w:val="24"/>
        </w:rPr>
        <w:t>, profitant d’une initiative du gouvernement pour moderniser le droit des sociétés. Une commission fut instauré</w:t>
      </w:r>
      <w:r w:rsidR="0070786A" w:rsidRPr="000915D0">
        <w:rPr>
          <w:rFonts w:ascii="Times New Roman" w:hAnsi="Times New Roman" w:cs="Times New Roman"/>
          <w:sz w:val="24"/>
          <w:szCs w:val="24"/>
        </w:rPr>
        <w:t xml:space="preserve">e pour réfléchir à une modernisation </w:t>
      </w:r>
      <w:r w:rsidR="009F2EBB" w:rsidRPr="000915D0">
        <w:rPr>
          <w:rFonts w:ascii="Times New Roman" w:hAnsi="Times New Roman" w:cs="Times New Roman"/>
          <w:sz w:val="24"/>
          <w:szCs w:val="24"/>
        </w:rPr>
        <w:t>d</w:t>
      </w:r>
      <w:r w:rsidR="0070786A" w:rsidRPr="000915D0">
        <w:rPr>
          <w:rFonts w:ascii="Times New Roman" w:hAnsi="Times New Roman" w:cs="Times New Roman"/>
          <w:sz w:val="24"/>
          <w:szCs w:val="24"/>
        </w:rPr>
        <w:t>u cadre légal de la codétermination</w:t>
      </w:r>
      <w:r w:rsidR="00911D48" w:rsidRPr="000915D0">
        <w:rPr>
          <w:rFonts w:ascii="Times New Roman" w:hAnsi="Times New Roman" w:cs="Times New Roman"/>
          <w:sz w:val="24"/>
          <w:szCs w:val="24"/>
        </w:rPr>
        <w:t>, ce f</w:t>
      </w:r>
      <w:r w:rsidR="0027236C" w:rsidRPr="000915D0">
        <w:rPr>
          <w:rFonts w:ascii="Times New Roman" w:hAnsi="Times New Roman" w:cs="Times New Roman"/>
          <w:sz w:val="24"/>
          <w:szCs w:val="24"/>
        </w:rPr>
        <w:t>û</w:t>
      </w:r>
      <w:r w:rsidR="00911D48" w:rsidRPr="000915D0">
        <w:rPr>
          <w:rFonts w:ascii="Times New Roman" w:hAnsi="Times New Roman" w:cs="Times New Roman"/>
          <w:sz w:val="24"/>
          <w:szCs w:val="24"/>
        </w:rPr>
        <w:t>t la deuxième commission Biedenkopf</w:t>
      </w:r>
      <w:r w:rsidR="00D255A1" w:rsidRPr="000915D0">
        <w:rPr>
          <w:rFonts w:ascii="Times New Roman" w:hAnsi="Times New Roman" w:cs="Times New Roman"/>
          <w:sz w:val="24"/>
          <w:szCs w:val="24"/>
        </w:rPr>
        <w:t xml:space="preserve"> (Biedenkopf, 2006)</w:t>
      </w:r>
      <w:r w:rsidR="00911D48" w:rsidRPr="000915D0">
        <w:rPr>
          <w:rFonts w:ascii="Times New Roman" w:hAnsi="Times New Roman" w:cs="Times New Roman"/>
          <w:sz w:val="24"/>
          <w:szCs w:val="24"/>
        </w:rPr>
        <w:t xml:space="preserve">. </w:t>
      </w:r>
      <w:r w:rsidR="001B3338" w:rsidRPr="000915D0">
        <w:rPr>
          <w:rFonts w:ascii="Times New Roman" w:hAnsi="Times New Roman" w:cs="Times New Roman"/>
          <w:sz w:val="24"/>
          <w:szCs w:val="24"/>
        </w:rPr>
        <w:t>Les scientifiques de la commission rendirent une évaluation plutôt favorable de la codétermination</w:t>
      </w:r>
      <w:r w:rsidR="00B23D7D" w:rsidRPr="000915D0">
        <w:rPr>
          <w:rFonts w:ascii="Times New Roman" w:hAnsi="Times New Roman" w:cs="Times New Roman"/>
          <w:sz w:val="24"/>
          <w:szCs w:val="24"/>
        </w:rPr>
        <w:t>, ainsi que les représentants syndicaux, mais</w:t>
      </w:r>
      <w:r w:rsidR="00C3131D" w:rsidRPr="000915D0">
        <w:rPr>
          <w:rFonts w:ascii="Times New Roman" w:hAnsi="Times New Roman" w:cs="Times New Roman"/>
          <w:sz w:val="24"/>
          <w:szCs w:val="24"/>
        </w:rPr>
        <w:t xml:space="preserve"> le</w:t>
      </w:r>
      <w:r w:rsidR="00550E1C" w:rsidRPr="000915D0">
        <w:rPr>
          <w:rFonts w:ascii="Times New Roman" w:hAnsi="Times New Roman" w:cs="Times New Roman"/>
          <w:sz w:val="24"/>
          <w:szCs w:val="24"/>
        </w:rPr>
        <w:t>s</w:t>
      </w:r>
      <w:r w:rsidR="00B23D7D" w:rsidRPr="000915D0">
        <w:rPr>
          <w:rFonts w:ascii="Times New Roman" w:hAnsi="Times New Roman" w:cs="Times New Roman"/>
          <w:sz w:val="24"/>
          <w:szCs w:val="24"/>
        </w:rPr>
        <w:t xml:space="preserve"> représentants patronaux </w:t>
      </w:r>
      <w:r w:rsidR="008E0905" w:rsidRPr="000915D0">
        <w:rPr>
          <w:rFonts w:ascii="Times New Roman" w:hAnsi="Times New Roman" w:cs="Times New Roman"/>
          <w:sz w:val="24"/>
          <w:szCs w:val="24"/>
        </w:rPr>
        <w:t>réclama</w:t>
      </w:r>
      <w:r w:rsidR="00550E1C" w:rsidRPr="000915D0">
        <w:rPr>
          <w:rFonts w:ascii="Times New Roman" w:hAnsi="Times New Roman" w:cs="Times New Roman"/>
          <w:sz w:val="24"/>
          <w:szCs w:val="24"/>
        </w:rPr>
        <w:t>ie</w:t>
      </w:r>
      <w:r w:rsidR="008E0905" w:rsidRPr="000915D0">
        <w:rPr>
          <w:rFonts w:ascii="Times New Roman" w:hAnsi="Times New Roman" w:cs="Times New Roman"/>
          <w:sz w:val="24"/>
          <w:szCs w:val="24"/>
        </w:rPr>
        <w:t xml:space="preserve">nt une réduction de la proportion des salariés représentés au conseil. La </w:t>
      </w:r>
      <w:r w:rsidR="008E0905" w:rsidRPr="000915D0">
        <w:rPr>
          <w:rFonts w:ascii="Times New Roman" w:hAnsi="Times New Roman" w:cs="Times New Roman"/>
          <w:sz w:val="24"/>
          <w:szCs w:val="24"/>
        </w:rPr>
        <w:lastRenderedPageBreak/>
        <w:t xml:space="preserve">chancelière Merkel trancha finalement en déclarant que la </w:t>
      </w:r>
      <w:r w:rsidR="00BA2DA8" w:rsidRPr="000915D0">
        <w:rPr>
          <w:rFonts w:ascii="Times New Roman" w:hAnsi="Times New Roman" w:cs="Times New Roman"/>
          <w:sz w:val="24"/>
          <w:szCs w:val="24"/>
        </w:rPr>
        <w:t>codétermination</w:t>
      </w:r>
      <w:r w:rsidR="008E0905" w:rsidRPr="000915D0">
        <w:rPr>
          <w:rFonts w:ascii="Times New Roman" w:hAnsi="Times New Roman" w:cs="Times New Roman"/>
          <w:sz w:val="24"/>
          <w:szCs w:val="24"/>
        </w:rPr>
        <w:t xml:space="preserve"> </w:t>
      </w:r>
      <w:r w:rsidR="00BA2DA8" w:rsidRPr="000915D0">
        <w:rPr>
          <w:rFonts w:ascii="Times New Roman" w:hAnsi="Times New Roman" w:cs="Times New Roman"/>
          <w:sz w:val="24"/>
          <w:szCs w:val="24"/>
        </w:rPr>
        <w:t>était</w:t>
      </w:r>
      <w:r w:rsidR="00F67DB1" w:rsidRPr="000915D0">
        <w:rPr>
          <w:rFonts w:ascii="Times New Roman" w:hAnsi="Times New Roman" w:cs="Times New Roman"/>
          <w:sz w:val="24"/>
          <w:szCs w:val="24"/>
        </w:rPr>
        <w:t xml:space="preserve"> une partie intégrante des acquis du modèle de l’économie sociale de marché à l’allemande.</w:t>
      </w:r>
    </w:p>
    <w:p w14:paraId="6E94F3DF" w14:textId="77777777" w:rsidR="00BE07E8" w:rsidRPr="000915D0" w:rsidRDefault="00BE07E8" w:rsidP="0000458E">
      <w:pPr>
        <w:spacing w:line="360" w:lineRule="auto"/>
        <w:jc w:val="both"/>
        <w:rPr>
          <w:rFonts w:ascii="Times New Roman" w:hAnsi="Times New Roman" w:cs="Times New Roman"/>
          <w:sz w:val="24"/>
          <w:szCs w:val="24"/>
        </w:rPr>
      </w:pPr>
    </w:p>
    <w:p w14:paraId="31F49603" w14:textId="50A2AD07" w:rsidR="00261B43" w:rsidRPr="006F3209" w:rsidRDefault="00986441" w:rsidP="006F3209">
      <w:pPr>
        <w:pStyle w:val="Paragraphedeliste"/>
        <w:numPr>
          <w:ilvl w:val="1"/>
          <w:numId w:val="7"/>
        </w:numPr>
        <w:spacing w:line="360" w:lineRule="auto"/>
        <w:jc w:val="both"/>
        <w:rPr>
          <w:rFonts w:ascii="Times New Roman" w:hAnsi="Times New Roman" w:cs="Times New Roman"/>
          <w:b/>
          <w:bCs/>
          <w:sz w:val="24"/>
          <w:szCs w:val="24"/>
        </w:rPr>
      </w:pPr>
      <w:r w:rsidRPr="006F3209">
        <w:rPr>
          <w:rFonts w:ascii="Times New Roman" w:hAnsi="Times New Roman" w:cs="Times New Roman"/>
          <w:b/>
          <w:bCs/>
          <w:sz w:val="24"/>
          <w:szCs w:val="24"/>
        </w:rPr>
        <w:t>L’échec de l’</w:t>
      </w:r>
      <w:r w:rsidR="006F2F29" w:rsidRPr="006F3209">
        <w:rPr>
          <w:rFonts w:ascii="Times New Roman" w:hAnsi="Times New Roman" w:cs="Times New Roman"/>
          <w:b/>
          <w:bCs/>
          <w:sz w:val="24"/>
          <w:szCs w:val="24"/>
        </w:rPr>
        <w:t>institutionnalisation</w:t>
      </w:r>
      <w:r w:rsidRPr="006F3209">
        <w:rPr>
          <w:rFonts w:ascii="Times New Roman" w:hAnsi="Times New Roman" w:cs="Times New Roman"/>
          <w:b/>
          <w:bCs/>
          <w:sz w:val="24"/>
          <w:szCs w:val="24"/>
        </w:rPr>
        <w:t xml:space="preserve"> de la codétermination en France</w:t>
      </w:r>
    </w:p>
    <w:p w14:paraId="3287E242" w14:textId="0D5884F0" w:rsidR="00903F08" w:rsidRPr="000915D0" w:rsidRDefault="00F456EA" w:rsidP="00DB20D9">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A la différence de l’Allemagne, l</w:t>
      </w:r>
      <w:r w:rsidR="002A1351" w:rsidRPr="000915D0">
        <w:rPr>
          <w:rFonts w:ascii="Times New Roman" w:hAnsi="Times New Roman" w:cs="Times New Roman"/>
          <w:sz w:val="24"/>
          <w:szCs w:val="24"/>
        </w:rPr>
        <w:t xml:space="preserve">a France n’a pas connu </w:t>
      </w:r>
      <w:r w:rsidRPr="000915D0">
        <w:rPr>
          <w:rFonts w:ascii="Times New Roman" w:hAnsi="Times New Roman" w:cs="Times New Roman"/>
          <w:sz w:val="24"/>
          <w:szCs w:val="24"/>
        </w:rPr>
        <w:t>la coïncidence des quatre dimensions de la mobilisation identifiées par Davis et Thompson (1994)</w:t>
      </w:r>
      <w:r w:rsidR="00097281" w:rsidRPr="000915D0">
        <w:rPr>
          <w:rFonts w:ascii="Times New Roman" w:hAnsi="Times New Roman" w:cs="Times New Roman"/>
          <w:sz w:val="24"/>
          <w:szCs w:val="24"/>
        </w:rPr>
        <w:t xml:space="preserve"> alors même que le pays a</w:t>
      </w:r>
      <w:r w:rsidR="006F2D12" w:rsidRPr="000915D0">
        <w:rPr>
          <w:rFonts w:ascii="Times New Roman" w:hAnsi="Times New Roman" w:cs="Times New Roman"/>
          <w:sz w:val="24"/>
          <w:szCs w:val="24"/>
        </w:rPr>
        <w:t xml:space="preserve"> toujours </w:t>
      </w:r>
      <w:r w:rsidR="000C2CCE" w:rsidRPr="000915D0">
        <w:rPr>
          <w:rFonts w:ascii="Times New Roman" w:hAnsi="Times New Roman" w:cs="Times New Roman"/>
          <w:sz w:val="24"/>
          <w:szCs w:val="24"/>
        </w:rPr>
        <w:t>développé</w:t>
      </w:r>
      <w:r w:rsidR="006F2D12" w:rsidRPr="000915D0">
        <w:rPr>
          <w:rFonts w:ascii="Times New Roman" w:hAnsi="Times New Roman" w:cs="Times New Roman"/>
          <w:sz w:val="24"/>
          <w:szCs w:val="24"/>
        </w:rPr>
        <w:t xml:space="preserve"> une réflexion </w:t>
      </w:r>
      <w:r w:rsidR="000C2CCE" w:rsidRPr="000915D0">
        <w:rPr>
          <w:rFonts w:ascii="Times New Roman" w:hAnsi="Times New Roman" w:cs="Times New Roman"/>
          <w:sz w:val="24"/>
          <w:szCs w:val="24"/>
        </w:rPr>
        <w:t>autonome et originale</w:t>
      </w:r>
      <w:r w:rsidR="006F2D12" w:rsidRPr="000915D0">
        <w:rPr>
          <w:rFonts w:ascii="Times New Roman" w:hAnsi="Times New Roman" w:cs="Times New Roman"/>
          <w:sz w:val="24"/>
          <w:szCs w:val="24"/>
        </w:rPr>
        <w:t xml:space="preserve"> sur le sujet. Depuis près d’un siècle, des responsables politiques et intellectuels français se sont aussi interrogés sur la nature de l’entreprise et ont conclu </w:t>
      </w:r>
      <w:r w:rsidR="000C2CCE" w:rsidRPr="000915D0">
        <w:rPr>
          <w:rFonts w:ascii="Times New Roman" w:hAnsi="Times New Roman" w:cs="Times New Roman"/>
          <w:sz w:val="24"/>
          <w:szCs w:val="24"/>
        </w:rPr>
        <w:t>à la nécessité de reformer l’entreprise</w:t>
      </w:r>
      <w:r w:rsidR="0027236C" w:rsidRPr="000915D0">
        <w:rPr>
          <w:rFonts w:ascii="Times New Roman" w:hAnsi="Times New Roman" w:cs="Times New Roman"/>
          <w:sz w:val="24"/>
          <w:szCs w:val="24"/>
        </w:rPr>
        <w:t xml:space="preserve"> en profondeur, et notamment au niveau de sa gouvernance</w:t>
      </w:r>
      <w:r w:rsidR="00F81446" w:rsidRPr="000915D0">
        <w:rPr>
          <w:rFonts w:ascii="Times New Roman" w:hAnsi="Times New Roman" w:cs="Times New Roman"/>
          <w:sz w:val="24"/>
          <w:szCs w:val="24"/>
        </w:rPr>
        <w:t xml:space="preserve">. </w:t>
      </w:r>
      <w:r w:rsidR="006F2D12" w:rsidRPr="000915D0">
        <w:rPr>
          <w:rFonts w:ascii="Times New Roman" w:hAnsi="Times New Roman" w:cs="Times New Roman"/>
          <w:sz w:val="24"/>
          <w:szCs w:val="24"/>
        </w:rPr>
        <w:t>Aubert et Hollandts</w:t>
      </w:r>
      <w:r w:rsidR="00F81446" w:rsidRPr="000915D0">
        <w:rPr>
          <w:rFonts w:ascii="Times New Roman" w:hAnsi="Times New Roman" w:cs="Times New Roman"/>
          <w:sz w:val="24"/>
          <w:szCs w:val="24"/>
        </w:rPr>
        <w:t xml:space="preserve"> (</w:t>
      </w:r>
      <w:r w:rsidR="006F2D12" w:rsidRPr="000915D0">
        <w:rPr>
          <w:rFonts w:ascii="Times New Roman" w:hAnsi="Times New Roman" w:cs="Times New Roman"/>
          <w:sz w:val="24"/>
          <w:szCs w:val="24"/>
        </w:rPr>
        <w:t>2022)</w:t>
      </w:r>
      <w:r w:rsidR="00F81446" w:rsidRPr="000915D0">
        <w:rPr>
          <w:rFonts w:ascii="Times New Roman" w:hAnsi="Times New Roman" w:cs="Times New Roman"/>
          <w:sz w:val="24"/>
          <w:szCs w:val="24"/>
        </w:rPr>
        <w:t xml:space="preserve"> retrace</w:t>
      </w:r>
      <w:r w:rsidR="007A48F6" w:rsidRPr="000915D0">
        <w:rPr>
          <w:rFonts w:ascii="Times New Roman" w:hAnsi="Times New Roman" w:cs="Times New Roman"/>
          <w:sz w:val="24"/>
          <w:szCs w:val="24"/>
        </w:rPr>
        <w:t>nt</w:t>
      </w:r>
      <w:r w:rsidR="00F81446" w:rsidRPr="000915D0">
        <w:rPr>
          <w:rFonts w:ascii="Times New Roman" w:hAnsi="Times New Roman" w:cs="Times New Roman"/>
          <w:sz w:val="24"/>
          <w:szCs w:val="24"/>
        </w:rPr>
        <w:t xml:space="preserve"> les</w:t>
      </w:r>
      <w:r w:rsidR="006C517B" w:rsidRPr="000915D0">
        <w:rPr>
          <w:rFonts w:ascii="Times New Roman" w:hAnsi="Times New Roman" w:cs="Times New Roman"/>
          <w:sz w:val="24"/>
          <w:szCs w:val="24"/>
        </w:rPr>
        <w:t xml:space="preserve"> jalons </w:t>
      </w:r>
      <w:r w:rsidR="00511DE8" w:rsidRPr="000915D0">
        <w:rPr>
          <w:rFonts w:ascii="Times New Roman" w:hAnsi="Times New Roman" w:cs="Times New Roman"/>
          <w:sz w:val="24"/>
          <w:szCs w:val="24"/>
        </w:rPr>
        <w:t xml:space="preserve">du </w:t>
      </w:r>
      <w:r w:rsidR="00B97D2C" w:rsidRPr="000915D0">
        <w:rPr>
          <w:rFonts w:ascii="Times New Roman" w:hAnsi="Times New Roman" w:cs="Times New Roman"/>
          <w:sz w:val="24"/>
          <w:szCs w:val="24"/>
        </w:rPr>
        <w:t>courant de la</w:t>
      </w:r>
      <w:r w:rsidR="006F2D12" w:rsidRPr="000915D0">
        <w:rPr>
          <w:rFonts w:ascii="Times New Roman" w:hAnsi="Times New Roman" w:cs="Times New Roman"/>
          <w:sz w:val="24"/>
          <w:szCs w:val="24"/>
        </w:rPr>
        <w:t xml:space="preserve"> </w:t>
      </w:r>
      <w:r w:rsidR="00B97D2C" w:rsidRPr="000915D0">
        <w:rPr>
          <w:rFonts w:ascii="Times New Roman" w:hAnsi="Times New Roman" w:cs="Times New Roman"/>
          <w:sz w:val="24"/>
          <w:szCs w:val="24"/>
        </w:rPr>
        <w:t xml:space="preserve">réforme </w:t>
      </w:r>
      <w:r w:rsidR="006F2D12" w:rsidRPr="000915D0">
        <w:rPr>
          <w:rFonts w:ascii="Times New Roman" w:hAnsi="Times New Roman" w:cs="Times New Roman"/>
          <w:sz w:val="24"/>
          <w:szCs w:val="24"/>
        </w:rPr>
        <w:t>de l’entreprise</w:t>
      </w:r>
      <w:r w:rsidR="00511DE8" w:rsidRPr="000915D0">
        <w:rPr>
          <w:rFonts w:ascii="Times New Roman" w:hAnsi="Times New Roman" w:cs="Times New Roman"/>
          <w:sz w:val="24"/>
          <w:szCs w:val="24"/>
        </w:rPr>
        <w:t xml:space="preserve"> qui</w:t>
      </w:r>
      <w:r w:rsidR="006F2D12" w:rsidRPr="000915D0">
        <w:rPr>
          <w:rFonts w:ascii="Times New Roman" w:hAnsi="Times New Roman" w:cs="Times New Roman"/>
          <w:sz w:val="24"/>
          <w:szCs w:val="24"/>
        </w:rPr>
        <w:t xml:space="preserve"> </w:t>
      </w:r>
      <w:r w:rsidR="0023624C" w:rsidRPr="000915D0">
        <w:rPr>
          <w:rFonts w:ascii="Times New Roman" w:hAnsi="Times New Roman" w:cs="Times New Roman"/>
          <w:sz w:val="24"/>
          <w:szCs w:val="24"/>
        </w:rPr>
        <w:t>s’illustre de 1945 à 1975</w:t>
      </w:r>
      <w:r w:rsidR="004F5882" w:rsidRPr="000915D0">
        <w:rPr>
          <w:rStyle w:val="Appelnotedebasdep"/>
          <w:rFonts w:ascii="Times New Roman" w:hAnsi="Times New Roman" w:cs="Times New Roman"/>
          <w:sz w:val="24"/>
          <w:szCs w:val="24"/>
        </w:rPr>
        <w:footnoteReference w:id="4"/>
      </w:r>
      <w:r w:rsidR="0047202D" w:rsidRPr="000915D0">
        <w:rPr>
          <w:rFonts w:ascii="Times New Roman" w:hAnsi="Times New Roman" w:cs="Times New Roman"/>
          <w:sz w:val="24"/>
          <w:szCs w:val="24"/>
        </w:rPr>
        <w:t xml:space="preserve">, une période qui coïncide avec celle </w:t>
      </w:r>
      <w:r w:rsidR="00286F98" w:rsidRPr="000915D0">
        <w:rPr>
          <w:rFonts w:ascii="Times New Roman" w:hAnsi="Times New Roman" w:cs="Times New Roman"/>
          <w:sz w:val="24"/>
          <w:szCs w:val="24"/>
        </w:rPr>
        <w:t xml:space="preserve">analysée par Gomez et Wirtz (2018) </w:t>
      </w:r>
      <w:r w:rsidR="0047202D" w:rsidRPr="000915D0">
        <w:rPr>
          <w:rFonts w:ascii="Times New Roman" w:hAnsi="Times New Roman" w:cs="Times New Roman"/>
          <w:sz w:val="24"/>
          <w:szCs w:val="24"/>
        </w:rPr>
        <w:t xml:space="preserve">où la codétermination s’impose en </w:t>
      </w:r>
      <w:r w:rsidR="00286F98" w:rsidRPr="000915D0">
        <w:rPr>
          <w:rFonts w:ascii="Times New Roman" w:hAnsi="Times New Roman" w:cs="Times New Roman"/>
          <w:sz w:val="24"/>
          <w:szCs w:val="24"/>
        </w:rPr>
        <w:t xml:space="preserve">Allemagne. </w:t>
      </w:r>
      <w:r w:rsidR="005C0BFC" w:rsidRPr="000915D0">
        <w:rPr>
          <w:rFonts w:ascii="Times New Roman" w:hAnsi="Times New Roman" w:cs="Times New Roman"/>
          <w:sz w:val="24"/>
          <w:szCs w:val="24"/>
        </w:rPr>
        <w:t xml:space="preserve">Parmi </w:t>
      </w:r>
      <w:r w:rsidR="002E0DE8" w:rsidRPr="000915D0">
        <w:rPr>
          <w:rFonts w:ascii="Times New Roman" w:hAnsi="Times New Roman" w:cs="Times New Roman"/>
          <w:sz w:val="24"/>
          <w:szCs w:val="24"/>
        </w:rPr>
        <w:t>l</w:t>
      </w:r>
      <w:r w:rsidR="005C0BFC" w:rsidRPr="000915D0">
        <w:rPr>
          <w:rFonts w:ascii="Times New Roman" w:hAnsi="Times New Roman" w:cs="Times New Roman"/>
          <w:sz w:val="24"/>
          <w:szCs w:val="24"/>
        </w:rPr>
        <w:t>es jalons</w:t>
      </w:r>
      <w:r w:rsidR="002E0DE8" w:rsidRPr="000915D0">
        <w:rPr>
          <w:rFonts w:ascii="Times New Roman" w:hAnsi="Times New Roman" w:cs="Times New Roman"/>
          <w:sz w:val="24"/>
          <w:szCs w:val="24"/>
        </w:rPr>
        <w:t xml:space="preserve"> que l’on peut rattacher à la réforme de l’entreprise</w:t>
      </w:r>
      <w:r w:rsidR="005C0BFC" w:rsidRPr="000915D0">
        <w:rPr>
          <w:rFonts w:ascii="Times New Roman" w:hAnsi="Times New Roman" w:cs="Times New Roman"/>
          <w:sz w:val="24"/>
          <w:szCs w:val="24"/>
        </w:rPr>
        <w:t xml:space="preserve">, on retrouve des </w:t>
      </w:r>
      <w:r w:rsidR="00F71BB6" w:rsidRPr="000915D0">
        <w:rPr>
          <w:rFonts w:ascii="Times New Roman" w:hAnsi="Times New Roman" w:cs="Times New Roman"/>
          <w:sz w:val="24"/>
          <w:szCs w:val="24"/>
        </w:rPr>
        <w:t>ouvrages (</w:t>
      </w:r>
      <w:r w:rsidR="0089688F" w:rsidRPr="000915D0">
        <w:rPr>
          <w:rFonts w:ascii="Times New Roman" w:hAnsi="Times New Roman" w:cs="Times New Roman"/>
          <w:sz w:val="24"/>
          <w:szCs w:val="24"/>
        </w:rPr>
        <w:t>Desbuqu</w:t>
      </w:r>
      <w:r w:rsidR="00F82A93" w:rsidRPr="000915D0">
        <w:rPr>
          <w:rFonts w:ascii="Times New Roman" w:hAnsi="Times New Roman" w:cs="Times New Roman"/>
          <w:sz w:val="24"/>
          <w:szCs w:val="24"/>
        </w:rPr>
        <w:t>ois</w:t>
      </w:r>
      <w:r w:rsidR="005C52A1" w:rsidRPr="000915D0">
        <w:rPr>
          <w:rFonts w:ascii="Times New Roman" w:hAnsi="Times New Roman" w:cs="Times New Roman"/>
          <w:sz w:val="24"/>
          <w:szCs w:val="24"/>
        </w:rPr>
        <w:t xml:space="preserve"> et Bigo</w:t>
      </w:r>
      <w:r w:rsidR="00F82A93" w:rsidRPr="000915D0">
        <w:rPr>
          <w:rFonts w:ascii="Times New Roman" w:hAnsi="Times New Roman" w:cs="Times New Roman"/>
          <w:sz w:val="24"/>
          <w:szCs w:val="24"/>
        </w:rPr>
        <w:t xml:space="preserve">, 1946 ; </w:t>
      </w:r>
      <w:r w:rsidR="0089688F" w:rsidRPr="000915D0">
        <w:rPr>
          <w:rFonts w:ascii="Times New Roman" w:hAnsi="Times New Roman" w:cs="Times New Roman"/>
          <w:sz w:val="24"/>
          <w:szCs w:val="24"/>
        </w:rPr>
        <w:t xml:space="preserve">Bacon, 1949 ; </w:t>
      </w:r>
      <w:r w:rsidR="00F82A93" w:rsidRPr="000915D0">
        <w:rPr>
          <w:rFonts w:ascii="Times New Roman" w:hAnsi="Times New Roman" w:cs="Times New Roman"/>
          <w:sz w:val="24"/>
          <w:szCs w:val="24"/>
        </w:rPr>
        <w:t xml:space="preserve">Bloch-Lainé, 1963, </w:t>
      </w:r>
      <w:r w:rsidR="00E32458" w:rsidRPr="000915D0">
        <w:rPr>
          <w:rFonts w:ascii="Times New Roman" w:hAnsi="Times New Roman" w:cs="Times New Roman"/>
          <w:sz w:val="24"/>
          <w:szCs w:val="24"/>
        </w:rPr>
        <w:t xml:space="preserve">Rosanvallon, 1976 ; Beffa et Clerc, 2013) </w:t>
      </w:r>
      <w:r w:rsidR="0089688F" w:rsidRPr="000915D0">
        <w:rPr>
          <w:rFonts w:ascii="Times New Roman" w:hAnsi="Times New Roman" w:cs="Times New Roman"/>
          <w:sz w:val="24"/>
          <w:szCs w:val="24"/>
        </w:rPr>
        <w:t xml:space="preserve">des </w:t>
      </w:r>
      <w:r w:rsidR="005C0BFC" w:rsidRPr="000915D0">
        <w:rPr>
          <w:rFonts w:ascii="Times New Roman" w:hAnsi="Times New Roman" w:cs="Times New Roman"/>
          <w:sz w:val="24"/>
          <w:szCs w:val="24"/>
        </w:rPr>
        <w:t xml:space="preserve">rapports </w:t>
      </w:r>
      <w:r w:rsidR="0089688F" w:rsidRPr="000915D0">
        <w:rPr>
          <w:rFonts w:ascii="Times New Roman" w:hAnsi="Times New Roman" w:cs="Times New Roman"/>
          <w:sz w:val="24"/>
          <w:szCs w:val="24"/>
        </w:rPr>
        <w:t xml:space="preserve">officiels au gouvernement </w:t>
      </w:r>
      <w:r w:rsidR="005C0BFC" w:rsidRPr="000915D0">
        <w:rPr>
          <w:rFonts w:ascii="Times New Roman" w:hAnsi="Times New Roman" w:cs="Times New Roman"/>
          <w:sz w:val="24"/>
          <w:szCs w:val="24"/>
        </w:rPr>
        <w:t xml:space="preserve">(Lasserre, </w:t>
      </w:r>
      <w:r w:rsidR="002711DB" w:rsidRPr="000915D0">
        <w:rPr>
          <w:rFonts w:ascii="Times New Roman" w:hAnsi="Times New Roman" w:cs="Times New Roman"/>
          <w:sz w:val="24"/>
          <w:szCs w:val="24"/>
        </w:rPr>
        <w:t xml:space="preserve">1950 ; </w:t>
      </w:r>
      <w:r w:rsidR="005C0BFC" w:rsidRPr="000915D0">
        <w:rPr>
          <w:rFonts w:ascii="Times New Roman" w:hAnsi="Times New Roman" w:cs="Times New Roman"/>
          <w:sz w:val="24"/>
          <w:szCs w:val="24"/>
        </w:rPr>
        <w:t>Sudreau, 1975</w:t>
      </w:r>
      <w:r w:rsidR="002711DB" w:rsidRPr="000915D0">
        <w:rPr>
          <w:rFonts w:ascii="Times New Roman" w:hAnsi="Times New Roman" w:cs="Times New Roman"/>
          <w:sz w:val="24"/>
          <w:szCs w:val="24"/>
        </w:rPr>
        <w:t> ; Auroux, 1981</w:t>
      </w:r>
      <w:r w:rsidR="002E0DE8" w:rsidRPr="000915D0">
        <w:rPr>
          <w:rFonts w:ascii="Times New Roman" w:hAnsi="Times New Roman" w:cs="Times New Roman"/>
          <w:sz w:val="24"/>
          <w:szCs w:val="24"/>
        </w:rPr>
        <w:t xml:space="preserve"> ; </w:t>
      </w:r>
      <w:r w:rsidR="009C740A" w:rsidRPr="000915D0">
        <w:rPr>
          <w:rFonts w:ascii="Times New Roman" w:hAnsi="Times New Roman" w:cs="Times New Roman"/>
          <w:sz w:val="24"/>
          <w:szCs w:val="24"/>
        </w:rPr>
        <w:t xml:space="preserve">Balligand et De Foucault, 2000 ; </w:t>
      </w:r>
      <w:r w:rsidR="002E0DE8" w:rsidRPr="000915D0">
        <w:rPr>
          <w:rFonts w:ascii="Times New Roman" w:hAnsi="Times New Roman" w:cs="Times New Roman"/>
          <w:sz w:val="24"/>
          <w:szCs w:val="24"/>
        </w:rPr>
        <w:t>Cornut</w:t>
      </w:r>
      <w:r w:rsidR="0085583E" w:rsidRPr="000915D0">
        <w:rPr>
          <w:rFonts w:ascii="Times New Roman" w:hAnsi="Times New Roman" w:cs="Times New Roman"/>
          <w:sz w:val="24"/>
          <w:szCs w:val="24"/>
        </w:rPr>
        <w:t>-Gentille et Godfrain, 2005 ; Gallois</w:t>
      </w:r>
      <w:r w:rsidR="009C740A" w:rsidRPr="000915D0">
        <w:rPr>
          <w:rFonts w:ascii="Times New Roman" w:hAnsi="Times New Roman" w:cs="Times New Roman"/>
          <w:sz w:val="24"/>
          <w:szCs w:val="24"/>
        </w:rPr>
        <w:t xml:space="preserve">, 2012 ; </w:t>
      </w:r>
      <w:r w:rsidR="0085583E" w:rsidRPr="000915D0">
        <w:rPr>
          <w:rFonts w:ascii="Times New Roman" w:hAnsi="Times New Roman" w:cs="Times New Roman"/>
          <w:sz w:val="24"/>
          <w:szCs w:val="24"/>
        </w:rPr>
        <w:t>Notat et Sénard, 2018</w:t>
      </w:r>
      <w:r w:rsidR="00A96F83" w:rsidRPr="000915D0">
        <w:rPr>
          <w:rFonts w:ascii="Times New Roman" w:hAnsi="Times New Roman" w:cs="Times New Roman"/>
          <w:sz w:val="24"/>
          <w:szCs w:val="24"/>
        </w:rPr>
        <w:t xml:space="preserve"> ; </w:t>
      </w:r>
      <w:r w:rsidR="000A28C5" w:rsidRPr="000915D0">
        <w:rPr>
          <w:rFonts w:ascii="Times New Roman" w:hAnsi="Times New Roman" w:cs="Times New Roman"/>
          <w:sz w:val="24"/>
          <w:szCs w:val="24"/>
        </w:rPr>
        <w:t>Frerot et Hurstel, 2018</w:t>
      </w:r>
      <w:r w:rsidR="009C740A" w:rsidRPr="000915D0">
        <w:rPr>
          <w:rFonts w:ascii="Times New Roman" w:hAnsi="Times New Roman" w:cs="Times New Roman"/>
          <w:sz w:val="24"/>
          <w:szCs w:val="24"/>
        </w:rPr>
        <w:t>)</w:t>
      </w:r>
      <w:r w:rsidR="00C05B30" w:rsidRPr="000915D0">
        <w:rPr>
          <w:rFonts w:ascii="Times New Roman" w:hAnsi="Times New Roman" w:cs="Times New Roman"/>
          <w:sz w:val="24"/>
          <w:szCs w:val="24"/>
        </w:rPr>
        <w:t xml:space="preserve"> et</w:t>
      </w:r>
      <w:r w:rsidR="009C740A" w:rsidRPr="000915D0">
        <w:rPr>
          <w:rFonts w:ascii="Times New Roman" w:hAnsi="Times New Roman" w:cs="Times New Roman"/>
          <w:sz w:val="24"/>
          <w:szCs w:val="24"/>
        </w:rPr>
        <w:t xml:space="preserve"> </w:t>
      </w:r>
      <w:r w:rsidR="00F71BB6" w:rsidRPr="000915D0">
        <w:rPr>
          <w:rFonts w:ascii="Times New Roman" w:hAnsi="Times New Roman" w:cs="Times New Roman"/>
          <w:sz w:val="24"/>
          <w:szCs w:val="24"/>
        </w:rPr>
        <w:t>plus d’une dizaine de</w:t>
      </w:r>
      <w:r w:rsidR="009C740A" w:rsidRPr="000915D0">
        <w:rPr>
          <w:rFonts w:ascii="Times New Roman" w:hAnsi="Times New Roman" w:cs="Times New Roman"/>
          <w:sz w:val="24"/>
          <w:szCs w:val="24"/>
        </w:rPr>
        <w:t xml:space="preserve"> </w:t>
      </w:r>
      <w:r w:rsidR="00F71BB6" w:rsidRPr="000915D0">
        <w:rPr>
          <w:rFonts w:ascii="Times New Roman" w:hAnsi="Times New Roman" w:cs="Times New Roman"/>
          <w:sz w:val="24"/>
          <w:szCs w:val="24"/>
        </w:rPr>
        <w:t>lois et règlements</w:t>
      </w:r>
      <w:r w:rsidR="00C05B30" w:rsidRPr="000915D0">
        <w:rPr>
          <w:rFonts w:ascii="Times New Roman" w:hAnsi="Times New Roman" w:cs="Times New Roman"/>
          <w:sz w:val="24"/>
          <w:szCs w:val="24"/>
        </w:rPr>
        <w:t xml:space="preserve">. </w:t>
      </w:r>
      <w:r w:rsidR="00286F98" w:rsidRPr="000915D0">
        <w:rPr>
          <w:rFonts w:ascii="Times New Roman" w:hAnsi="Times New Roman" w:cs="Times New Roman"/>
          <w:sz w:val="24"/>
          <w:szCs w:val="24"/>
        </w:rPr>
        <w:t>La réforme de l’entreprise</w:t>
      </w:r>
      <w:r w:rsidR="0023624C" w:rsidRPr="000915D0">
        <w:rPr>
          <w:rFonts w:ascii="Times New Roman" w:hAnsi="Times New Roman" w:cs="Times New Roman"/>
          <w:sz w:val="24"/>
          <w:szCs w:val="24"/>
        </w:rPr>
        <w:t xml:space="preserve"> </w:t>
      </w:r>
      <w:r w:rsidR="00D27F61" w:rsidRPr="000915D0">
        <w:rPr>
          <w:rFonts w:ascii="Times New Roman" w:hAnsi="Times New Roman" w:cs="Times New Roman"/>
          <w:sz w:val="24"/>
          <w:szCs w:val="24"/>
        </w:rPr>
        <w:t>résulte d’influences très diverses et a été porté</w:t>
      </w:r>
      <w:r w:rsidR="00DB1E13" w:rsidRPr="000915D0">
        <w:rPr>
          <w:rFonts w:ascii="Times New Roman" w:hAnsi="Times New Roman" w:cs="Times New Roman"/>
          <w:sz w:val="24"/>
          <w:szCs w:val="24"/>
        </w:rPr>
        <w:t>e</w:t>
      </w:r>
      <w:r w:rsidR="00D27F61" w:rsidRPr="000915D0">
        <w:rPr>
          <w:rFonts w:ascii="Times New Roman" w:hAnsi="Times New Roman" w:cs="Times New Roman"/>
          <w:sz w:val="24"/>
          <w:szCs w:val="24"/>
        </w:rPr>
        <w:t xml:space="preserve"> par des responsables politiques de bords différents. </w:t>
      </w:r>
      <w:r w:rsidR="00F44107" w:rsidRPr="000915D0">
        <w:rPr>
          <w:rFonts w:ascii="Times New Roman" w:hAnsi="Times New Roman" w:cs="Times New Roman"/>
          <w:sz w:val="24"/>
          <w:szCs w:val="24"/>
        </w:rPr>
        <w:t xml:space="preserve">Ce courant </w:t>
      </w:r>
      <w:r w:rsidR="00BB7C40" w:rsidRPr="000915D0">
        <w:rPr>
          <w:rFonts w:ascii="Times New Roman" w:hAnsi="Times New Roman" w:cs="Times New Roman"/>
          <w:sz w:val="24"/>
          <w:szCs w:val="24"/>
        </w:rPr>
        <w:t xml:space="preserve">considère l’entreprise comme une communauté humaine </w:t>
      </w:r>
      <w:r w:rsidR="00E15F95" w:rsidRPr="000915D0">
        <w:rPr>
          <w:rFonts w:ascii="Times New Roman" w:hAnsi="Times New Roman" w:cs="Times New Roman"/>
          <w:sz w:val="24"/>
          <w:szCs w:val="24"/>
        </w:rPr>
        <w:t xml:space="preserve">où les salariés doivent prendre part aux profits, au capital et </w:t>
      </w:r>
      <w:r w:rsidR="000E7E74" w:rsidRPr="000915D0">
        <w:rPr>
          <w:rFonts w:ascii="Times New Roman" w:hAnsi="Times New Roman" w:cs="Times New Roman"/>
          <w:sz w:val="24"/>
          <w:szCs w:val="24"/>
        </w:rPr>
        <w:t>aux décisions</w:t>
      </w:r>
      <w:r w:rsidR="00BB7C40" w:rsidRPr="000915D0">
        <w:rPr>
          <w:rFonts w:ascii="Times New Roman" w:hAnsi="Times New Roman" w:cs="Times New Roman"/>
          <w:sz w:val="24"/>
          <w:szCs w:val="24"/>
        </w:rPr>
        <w:t>.</w:t>
      </w:r>
      <w:r w:rsidR="00E15F95" w:rsidRPr="000915D0">
        <w:rPr>
          <w:rFonts w:ascii="Times New Roman" w:hAnsi="Times New Roman" w:cs="Times New Roman"/>
          <w:sz w:val="24"/>
          <w:szCs w:val="24"/>
        </w:rPr>
        <w:t xml:space="preserve"> </w:t>
      </w:r>
      <w:r w:rsidR="006A7B6E" w:rsidRPr="000915D0">
        <w:rPr>
          <w:rFonts w:ascii="Times New Roman" w:hAnsi="Times New Roman" w:cs="Times New Roman"/>
          <w:sz w:val="24"/>
          <w:szCs w:val="24"/>
        </w:rPr>
        <w:t xml:space="preserve">Les deux premières modalités de la participation se sont imposées en </w:t>
      </w:r>
      <w:r w:rsidR="00EB02B1" w:rsidRPr="000915D0">
        <w:rPr>
          <w:rFonts w:ascii="Times New Roman" w:hAnsi="Times New Roman" w:cs="Times New Roman"/>
          <w:sz w:val="24"/>
          <w:szCs w:val="24"/>
        </w:rPr>
        <w:t>France,</w:t>
      </w:r>
      <w:r w:rsidR="006A7B6E" w:rsidRPr="000915D0">
        <w:rPr>
          <w:rFonts w:ascii="Times New Roman" w:hAnsi="Times New Roman" w:cs="Times New Roman"/>
          <w:sz w:val="24"/>
          <w:szCs w:val="24"/>
        </w:rPr>
        <w:t xml:space="preserve"> mais pas la </w:t>
      </w:r>
      <w:r w:rsidR="00870727" w:rsidRPr="000915D0">
        <w:rPr>
          <w:rFonts w:ascii="Times New Roman" w:hAnsi="Times New Roman" w:cs="Times New Roman"/>
          <w:sz w:val="24"/>
          <w:szCs w:val="24"/>
        </w:rPr>
        <w:t xml:space="preserve">dernière </w:t>
      </w:r>
      <w:r w:rsidR="007B61D6" w:rsidRPr="000915D0">
        <w:rPr>
          <w:rFonts w:ascii="Times New Roman" w:hAnsi="Times New Roman" w:cs="Times New Roman"/>
          <w:sz w:val="24"/>
          <w:szCs w:val="24"/>
        </w:rPr>
        <w:t xml:space="preserve">qui concerne </w:t>
      </w:r>
      <w:r w:rsidR="001E1EEC" w:rsidRPr="000915D0">
        <w:rPr>
          <w:rFonts w:ascii="Times New Roman" w:hAnsi="Times New Roman" w:cs="Times New Roman"/>
          <w:sz w:val="24"/>
          <w:szCs w:val="24"/>
        </w:rPr>
        <w:t>plus particulièrement</w:t>
      </w:r>
      <w:r w:rsidR="00870727" w:rsidRPr="000915D0">
        <w:rPr>
          <w:rFonts w:ascii="Times New Roman" w:hAnsi="Times New Roman" w:cs="Times New Roman"/>
          <w:sz w:val="24"/>
          <w:szCs w:val="24"/>
        </w:rPr>
        <w:t xml:space="preserve"> la codétermination.</w:t>
      </w:r>
      <w:r w:rsidR="00E804F3" w:rsidRPr="000915D0">
        <w:rPr>
          <w:rFonts w:ascii="Times New Roman" w:hAnsi="Times New Roman" w:cs="Times New Roman"/>
          <w:sz w:val="24"/>
          <w:szCs w:val="24"/>
        </w:rPr>
        <w:t xml:space="preserve"> </w:t>
      </w:r>
      <w:r w:rsidR="005C5F8A" w:rsidRPr="000915D0">
        <w:rPr>
          <w:rFonts w:ascii="Times New Roman" w:hAnsi="Times New Roman" w:cs="Times New Roman"/>
          <w:sz w:val="24"/>
          <w:szCs w:val="24"/>
        </w:rPr>
        <w:t>L</w:t>
      </w:r>
      <w:r w:rsidR="00B2369B" w:rsidRPr="000915D0">
        <w:rPr>
          <w:rFonts w:ascii="Times New Roman" w:hAnsi="Times New Roman" w:cs="Times New Roman"/>
          <w:sz w:val="24"/>
          <w:szCs w:val="24"/>
        </w:rPr>
        <w:t xml:space="preserve">es mécanismes </w:t>
      </w:r>
      <w:r w:rsidR="005C5F8A" w:rsidRPr="000915D0">
        <w:rPr>
          <w:rFonts w:ascii="Times New Roman" w:hAnsi="Times New Roman" w:cs="Times New Roman"/>
          <w:sz w:val="24"/>
          <w:szCs w:val="24"/>
        </w:rPr>
        <w:t>de participation financière voulus</w:t>
      </w:r>
      <w:r w:rsidR="00B2369B" w:rsidRPr="000915D0">
        <w:rPr>
          <w:rFonts w:ascii="Times New Roman" w:hAnsi="Times New Roman" w:cs="Times New Roman"/>
          <w:sz w:val="24"/>
          <w:szCs w:val="24"/>
        </w:rPr>
        <w:t xml:space="preserve"> par les gaullis</w:t>
      </w:r>
      <w:r w:rsidR="005C5F8A" w:rsidRPr="000915D0">
        <w:rPr>
          <w:rFonts w:ascii="Times New Roman" w:hAnsi="Times New Roman" w:cs="Times New Roman"/>
          <w:sz w:val="24"/>
          <w:szCs w:val="24"/>
        </w:rPr>
        <w:t>tes</w:t>
      </w:r>
      <w:r w:rsidR="00B2369B" w:rsidRPr="000915D0">
        <w:rPr>
          <w:rFonts w:ascii="Times New Roman" w:hAnsi="Times New Roman" w:cs="Times New Roman"/>
          <w:sz w:val="24"/>
          <w:szCs w:val="24"/>
        </w:rPr>
        <w:t xml:space="preserve"> socia</w:t>
      </w:r>
      <w:r w:rsidR="005C5F8A" w:rsidRPr="000915D0">
        <w:rPr>
          <w:rFonts w:ascii="Times New Roman" w:hAnsi="Times New Roman" w:cs="Times New Roman"/>
          <w:sz w:val="24"/>
          <w:szCs w:val="24"/>
        </w:rPr>
        <w:t>ux</w:t>
      </w:r>
      <w:r w:rsidR="00B2369B" w:rsidRPr="000915D0">
        <w:rPr>
          <w:rFonts w:ascii="Times New Roman" w:hAnsi="Times New Roman" w:cs="Times New Roman"/>
          <w:sz w:val="24"/>
          <w:szCs w:val="24"/>
        </w:rPr>
        <w:t xml:space="preserve"> </w:t>
      </w:r>
      <w:r w:rsidR="0044113E" w:rsidRPr="000915D0">
        <w:rPr>
          <w:rFonts w:ascii="Times New Roman" w:hAnsi="Times New Roman" w:cs="Times New Roman"/>
          <w:sz w:val="24"/>
          <w:szCs w:val="24"/>
        </w:rPr>
        <w:t>auraient dû</w:t>
      </w:r>
      <w:r w:rsidR="00B2369B" w:rsidRPr="000915D0">
        <w:rPr>
          <w:rFonts w:ascii="Times New Roman" w:hAnsi="Times New Roman" w:cs="Times New Roman"/>
          <w:sz w:val="24"/>
          <w:szCs w:val="24"/>
        </w:rPr>
        <w:t xml:space="preserve"> </w:t>
      </w:r>
      <w:r w:rsidR="0044113E" w:rsidRPr="000915D0">
        <w:rPr>
          <w:rFonts w:ascii="Times New Roman" w:hAnsi="Times New Roman" w:cs="Times New Roman"/>
          <w:sz w:val="24"/>
          <w:szCs w:val="24"/>
        </w:rPr>
        <w:t xml:space="preserve">permettre de </w:t>
      </w:r>
      <w:r w:rsidR="00A93D50" w:rsidRPr="000915D0">
        <w:rPr>
          <w:rFonts w:ascii="Times New Roman" w:hAnsi="Times New Roman" w:cs="Times New Roman"/>
          <w:sz w:val="24"/>
          <w:szCs w:val="24"/>
        </w:rPr>
        <w:t xml:space="preserve">promouvoir </w:t>
      </w:r>
      <w:r w:rsidR="00B2369B" w:rsidRPr="000915D0">
        <w:rPr>
          <w:rFonts w:ascii="Times New Roman" w:hAnsi="Times New Roman" w:cs="Times New Roman"/>
          <w:sz w:val="24"/>
          <w:szCs w:val="24"/>
        </w:rPr>
        <w:t>une participation plus large</w:t>
      </w:r>
      <w:r w:rsidR="0027236C" w:rsidRPr="000915D0">
        <w:rPr>
          <w:rFonts w:ascii="Times New Roman" w:hAnsi="Times New Roman" w:cs="Times New Roman"/>
          <w:sz w:val="24"/>
          <w:szCs w:val="24"/>
        </w:rPr>
        <w:t xml:space="preserve"> ou éventuellement constituer un tremplin pour la participation politique</w:t>
      </w:r>
      <w:r w:rsidR="001E1EEC" w:rsidRPr="000915D0">
        <w:rPr>
          <w:rFonts w:ascii="Times New Roman" w:hAnsi="Times New Roman" w:cs="Times New Roman"/>
          <w:sz w:val="24"/>
          <w:szCs w:val="24"/>
        </w:rPr>
        <w:t xml:space="preserve"> au sein des conseils d’administration</w:t>
      </w:r>
      <w:r w:rsidR="0027236C" w:rsidRPr="000915D0">
        <w:rPr>
          <w:rFonts w:ascii="Times New Roman" w:hAnsi="Times New Roman" w:cs="Times New Roman"/>
          <w:sz w:val="24"/>
          <w:szCs w:val="24"/>
        </w:rPr>
        <w:t>, à savoir la codétermination.</w:t>
      </w:r>
      <w:r w:rsidR="00B2369B" w:rsidRPr="000915D0">
        <w:rPr>
          <w:rFonts w:ascii="Times New Roman" w:hAnsi="Times New Roman" w:cs="Times New Roman"/>
          <w:sz w:val="24"/>
          <w:szCs w:val="24"/>
        </w:rPr>
        <w:t xml:space="preserve"> </w:t>
      </w:r>
      <w:r w:rsidR="0044113E" w:rsidRPr="000915D0">
        <w:rPr>
          <w:rFonts w:ascii="Times New Roman" w:hAnsi="Times New Roman" w:cs="Times New Roman"/>
          <w:sz w:val="24"/>
          <w:szCs w:val="24"/>
        </w:rPr>
        <w:t xml:space="preserve">La participation financière ne représente qu’une version « réduite » d’une potentielle Réforme de l’entreprise (Borzeix et al, 2015 ; Bevort, </w:t>
      </w:r>
      <w:r w:rsidR="0044113E" w:rsidRPr="000915D0">
        <w:rPr>
          <w:rFonts w:ascii="Times New Roman" w:hAnsi="Times New Roman" w:cs="Times New Roman"/>
          <w:sz w:val="24"/>
          <w:szCs w:val="24"/>
        </w:rPr>
        <w:lastRenderedPageBreak/>
        <w:t xml:space="preserve">2013). </w:t>
      </w:r>
      <w:r w:rsidR="00E804F3" w:rsidRPr="000915D0">
        <w:rPr>
          <w:rFonts w:ascii="Times New Roman" w:hAnsi="Times New Roman" w:cs="Times New Roman"/>
          <w:sz w:val="24"/>
          <w:szCs w:val="24"/>
        </w:rPr>
        <w:t xml:space="preserve">La réforme de l’entreprise a connu une forme d’apogée </w:t>
      </w:r>
      <w:r w:rsidR="00DB20D9" w:rsidRPr="000915D0">
        <w:rPr>
          <w:rFonts w:ascii="Times New Roman" w:hAnsi="Times New Roman" w:cs="Times New Roman"/>
          <w:sz w:val="24"/>
          <w:szCs w:val="24"/>
        </w:rPr>
        <w:t>avec le rapport Sudreau commandé par Valéry Giscard d’Estaing. Ce rapport</w:t>
      </w:r>
      <w:r w:rsidR="006F2D12" w:rsidRPr="000915D0">
        <w:rPr>
          <w:rFonts w:ascii="Times New Roman" w:hAnsi="Times New Roman" w:cs="Times New Roman"/>
          <w:sz w:val="24"/>
          <w:szCs w:val="24"/>
        </w:rPr>
        <w:t xml:space="preserve"> préconisait notamment </w:t>
      </w:r>
      <w:r w:rsidR="00DB20D9" w:rsidRPr="000915D0">
        <w:rPr>
          <w:rFonts w:ascii="Times New Roman" w:hAnsi="Times New Roman" w:cs="Times New Roman"/>
          <w:sz w:val="24"/>
          <w:szCs w:val="24"/>
        </w:rPr>
        <w:t xml:space="preserve">la </w:t>
      </w:r>
      <w:r w:rsidR="009148AF" w:rsidRPr="000915D0">
        <w:rPr>
          <w:rFonts w:ascii="Times New Roman" w:hAnsi="Times New Roman" w:cs="Times New Roman"/>
          <w:sz w:val="24"/>
          <w:szCs w:val="24"/>
        </w:rPr>
        <w:t>« </w:t>
      </w:r>
      <w:r w:rsidR="00DB20D9" w:rsidRPr="000915D0">
        <w:rPr>
          <w:rFonts w:ascii="Times New Roman" w:hAnsi="Times New Roman" w:cs="Times New Roman"/>
          <w:sz w:val="24"/>
          <w:szCs w:val="24"/>
        </w:rPr>
        <w:t>cosurveillance</w:t>
      </w:r>
      <w:r w:rsidR="009148AF" w:rsidRPr="000915D0">
        <w:rPr>
          <w:rFonts w:ascii="Times New Roman" w:hAnsi="Times New Roman" w:cs="Times New Roman"/>
          <w:sz w:val="24"/>
          <w:szCs w:val="24"/>
        </w:rPr>
        <w:t> »</w:t>
      </w:r>
      <w:r w:rsidR="00C62C23" w:rsidRPr="000915D0">
        <w:rPr>
          <w:rFonts w:ascii="Times New Roman" w:hAnsi="Times New Roman" w:cs="Times New Roman"/>
          <w:sz w:val="24"/>
          <w:szCs w:val="24"/>
        </w:rPr>
        <w:t xml:space="preserve"> consistant à attribuer un </w:t>
      </w:r>
      <w:r w:rsidR="003903B4" w:rsidRPr="000915D0">
        <w:rPr>
          <w:rFonts w:ascii="Times New Roman" w:hAnsi="Times New Roman" w:cs="Times New Roman"/>
          <w:sz w:val="24"/>
          <w:szCs w:val="24"/>
        </w:rPr>
        <w:t xml:space="preserve">tiers </w:t>
      </w:r>
      <w:r w:rsidR="00C62C23" w:rsidRPr="000915D0">
        <w:rPr>
          <w:rFonts w:ascii="Times New Roman" w:hAnsi="Times New Roman" w:cs="Times New Roman"/>
          <w:sz w:val="24"/>
          <w:szCs w:val="24"/>
        </w:rPr>
        <w:t xml:space="preserve">des sièges des conseils d’administration ou de surveillance </w:t>
      </w:r>
      <w:r w:rsidR="006247FE" w:rsidRPr="000915D0">
        <w:rPr>
          <w:rFonts w:ascii="Times New Roman" w:hAnsi="Times New Roman" w:cs="Times New Roman"/>
          <w:sz w:val="24"/>
          <w:szCs w:val="24"/>
        </w:rPr>
        <w:t>aux salariés</w:t>
      </w:r>
      <w:r w:rsidR="006F2D12" w:rsidRPr="000915D0">
        <w:rPr>
          <w:rFonts w:ascii="Times New Roman" w:hAnsi="Times New Roman" w:cs="Times New Roman"/>
          <w:sz w:val="24"/>
          <w:szCs w:val="24"/>
        </w:rPr>
        <w:t xml:space="preserve">. </w:t>
      </w:r>
      <w:r w:rsidR="005C7DDD" w:rsidRPr="000915D0">
        <w:rPr>
          <w:rFonts w:ascii="Times New Roman" w:hAnsi="Times New Roman" w:cs="Times New Roman"/>
          <w:sz w:val="24"/>
          <w:szCs w:val="24"/>
        </w:rPr>
        <w:t>Cette préconisation</w:t>
      </w:r>
      <w:r w:rsidR="0072369A" w:rsidRPr="000915D0">
        <w:rPr>
          <w:rFonts w:ascii="Times New Roman" w:hAnsi="Times New Roman" w:cs="Times New Roman"/>
          <w:sz w:val="24"/>
          <w:szCs w:val="24"/>
        </w:rPr>
        <w:t xml:space="preserve"> était donc proche d</w:t>
      </w:r>
      <w:r w:rsidR="000B5A94" w:rsidRPr="000915D0">
        <w:rPr>
          <w:rFonts w:ascii="Times New Roman" w:hAnsi="Times New Roman" w:cs="Times New Roman"/>
          <w:sz w:val="24"/>
          <w:szCs w:val="24"/>
        </w:rPr>
        <w:t>’une version réduite</w:t>
      </w:r>
      <w:r w:rsidR="0072369A" w:rsidRPr="000915D0">
        <w:rPr>
          <w:rFonts w:ascii="Times New Roman" w:hAnsi="Times New Roman" w:cs="Times New Roman"/>
          <w:sz w:val="24"/>
          <w:szCs w:val="24"/>
        </w:rPr>
        <w:t xml:space="preserve"> modèle de codétermination allemand</w:t>
      </w:r>
      <w:r w:rsidR="00E148C6" w:rsidRPr="000915D0">
        <w:rPr>
          <w:rFonts w:ascii="Times New Roman" w:hAnsi="Times New Roman" w:cs="Times New Roman"/>
          <w:sz w:val="24"/>
          <w:szCs w:val="24"/>
        </w:rPr>
        <w:t xml:space="preserve">, </w:t>
      </w:r>
      <w:r w:rsidR="00082702" w:rsidRPr="000915D0">
        <w:rPr>
          <w:rFonts w:ascii="Times New Roman" w:hAnsi="Times New Roman" w:cs="Times New Roman"/>
          <w:sz w:val="24"/>
          <w:szCs w:val="24"/>
        </w:rPr>
        <w:t>qui prévoit la codétermination paritaire pour les entreprises de plus de 2000 salariés</w:t>
      </w:r>
      <w:r w:rsidR="00084AB9" w:rsidRPr="000915D0">
        <w:rPr>
          <w:rFonts w:ascii="Times New Roman" w:hAnsi="Times New Roman" w:cs="Times New Roman"/>
          <w:sz w:val="24"/>
          <w:szCs w:val="24"/>
        </w:rPr>
        <w:t>, ainsi qu’une codétermination du tiers pour les entreprises de taille plus petite</w:t>
      </w:r>
      <w:r w:rsidR="00007F03" w:rsidRPr="000915D0">
        <w:rPr>
          <w:rFonts w:ascii="Times New Roman" w:hAnsi="Times New Roman" w:cs="Times New Roman"/>
          <w:sz w:val="24"/>
          <w:szCs w:val="24"/>
        </w:rPr>
        <w:t>. Elle n’a cependant jamais été suivi</w:t>
      </w:r>
      <w:r w:rsidR="0064697C" w:rsidRPr="000915D0">
        <w:rPr>
          <w:rFonts w:ascii="Times New Roman" w:hAnsi="Times New Roman" w:cs="Times New Roman"/>
          <w:sz w:val="24"/>
          <w:szCs w:val="24"/>
        </w:rPr>
        <w:t>e</w:t>
      </w:r>
      <w:r w:rsidR="00007F03" w:rsidRPr="000915D0">
        <w:rPr>
          <w:rFonts w:ascii="Times New Roman" w:hAnsi="Times New Roman" w:cs="Times New Roman"/>
          <w:sz w:val="24"/>
          <w:szCs w:val="24"/>
        </w:rPr>
        <w:t xml:space="preserve"> d’effets sous </w:t>
      </w:r>
      <w:r w:rsidR="00E148C6" w:rsidRPr="000915D0">
        <w:rPr>
          <w:rFonts w:ascii="Times New Roman" w:hAnsi="Times New Roman" w:cs="Times New Roman"/>
          <w:sz w:val="24"/>
          <w:szCs w:val="24"/>
        </w:rPr>
        <w:t>la forme d’un cadre légal généralisé.</w:t>
      </w:r>
    </w:p>
    <w:p w14:paraId="6A5B8FE1" w14:textId="69A8A42D" w:rsidR="00903F08" w:rsidRPr="000915D0" w:rsidRDefault="005B3769" w:rsidP="00DB20D9">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Le bilan de la Réforme de l’entreprise est</w:t>
      </w:r>
      <w:r w:rsidR="0045533F" w:rsidRPr="000915D0">
        <w:rPr>
          <w:rFonts w:ascii="Times New Roman" w:hAnsi="Times New Roman" w:cs="Times New Roman"/>
          <w:sz w:val="24"/>
          <w:szCs w:val="24"/>
        </w:rPr>
        <w:t>, donc,</w:t>
      </w:r>
      <w:r w:rsidRPr="000915D0">
        <w:rPr>
          <w:rFonts w:ascii="Times New Roman" w:hAnsi="Times New Roman" w:cs="Times New Roman"/>
          <w:sz w:val="24"/>
          <w:szCs w:val="24"/>
        </w:rPr>
        <w:t xml:space="preserve"> à la fois important sur le plan intellectuel et des propositions</w:t>
      </w:r>
      <w:r w:rsidR="00326670" w:rsidRPr="000915D0">
        <w:rPr>
          <w:rFonts w:ascii="Times New Roman" w:hAnsi="Times New Roman" w:cs="Times New Roman"/>
          <w:sz w:val="24"/>
          <w:szCs w:val="24"/>
        </w:rPr>
        <w:t>,</w:t>
      </w:r>
      <w:r w:rsidRPr="000915D0">
        <w:rPr>
          <w:rFonts w:ascii="Times New Roman" w:hAnsi="Times New Roman" w:cs="Times New Roman"/>
          <w:sz w:val="24"/>
          <w:szCs w:val="24"/>
        </w:rPr>
        <w:t xml:space="preserve"> mais relativement mince si l’on observe les avancées ou traductions législatives</w:t>
      </w:r>
      <w:r w:rsidR="009D7723" w:rsidRPr="000915D0">
        <w:rPr>
          <w:rFonts w:ascii="Times New Roman" w:hAnsi="Times New Roman" w:cs="Times New Roman"/>
          <w:sz w:val="24"/>
          <w:szCs w:val="24"/>
        </w:rPr>
        <w:t xml:space="preserve"> concrètes</w:t>
      </w:r>
      <w:r w:rsidRPr="000915D0">
        <w:rPr>
          <w:rFonts w:ascii="Times New Roman" w:hAnsi="Times New Roman" w:cs="Times New Roman"/>
          <w:sz w:val="24"/>
          <w:szCs w:val="24"/>
        </w:rPr>
        <w:t>. Pour Bourlange (2019</w:t>
      </w:r>
      <w:r w:rsidR="00A3735E" w:rsidRPr="000915D0">
        <w:rPr>
          <w:rFonts w:ascii="Times New Roman" w:hAnsi="Times New Roman" w:cs="Times New Roman"/>
          <w:sz w:val="24"/>
          <w:szCs w:val="24"/>
        </w:rPr>
        <w:t> </w:t>
      </w:r>
      <w:r w:rsidR="00A3735E" w:rsidRPr="000915D0">
        <w:rPr>
          <w:rFonts w:ascii="Times New Roman" w:eastAsia="Times New Roman" w:hAnsi="Times New Roman" w:cs="Times New Roman"/>
          <w:sz w:val="24"/>
          <w:szCs w:val="24"/>
        </w:rPr>
        <w:t xml:space="preserve">; p. 7) : </w:t>
      </w:r>
      <w:r w:rsidR="00A3735E" w:rsidRPr="000915D0">
        <w:rPr>
          <w:rFonts w:ascii="Times New Roman" w:eastAsia="Times New Roman" w:hAnsi="Times New Roman" w:cs="Times New Roman"/>
          <w:i/>
          <w:iCs/>
          <w:sz w:val="24"/>
          <w:szCs w:val="24"/>
        </w:rPr>
        <w:t>« Les moments d’une nécessaire réforme sont activés, provoqués par des évènements politiques, économiques, sociétaux qui déclenchent une tentative de réforme ponctuée par un rapport intelligent, complet, mais souvent sans effet ».</w:t>
      </w:r>
      <w:r w:rsidR="001C6136" w:rsidRPr="000915D0">
        <w:rPr>
          <w:rFonts w:ascii="Times New Roman" w:eastAsia="Times New Roman" w:hAnsi="Times New Roman" w:cs="Times New Roman"/>
          <w:sz w:val="24"/>
          <w:szCs w:val="24"/>
        </w:rPr>
        <w:t xml:space="preserve"> </w:t>
      </w:r>
      <w:r w:rsidR="00DD459D" w:rsidRPr="000915D0">
        <w:rPr>
          <w:rFonts w:ascii="Times New Roman" w:eastAsia="Times New Roman" w:hAnsi="Times New Roman" w:cs="Times New Roman"/>
          <w:sz w:val="24"/>
          <w:szCs w:val="24"/>
        </w:rPr>
        <w:t xml:space="preserve">Seulement </w:t>
      </w:r>
      <w:r w:rsidR="00BE3042" w:rsidRPr="000915D0">
        <w:rPr>
          <w:rFonts w:ascii="Times New Roman" w:eastAsia="Times New Roman" w:hAnsi="Times New Roman" w:cs="Times New Roman"/>
          <w:sz w:val="24"/>
          <w:szCs w:val="24"/>
        </w:rPr>
        <w:t>d</w:t>
      </w:r>
      <w:r w:rsidR="001C6136" w:rsidRPr="000915D0">
        <w:rPr>
          <w:rFonts w:ascii="Times New Roman" w:eastAsia="Times New Roman" w:hAnsi="Times New Roman" w:cs="Times New Roman"/>
          <w:sz w:val="24"/>
          <w:szCs w:val="24"/>
        </w:rPr>
        <w:t xml:space="preserve">epuis </w:t>
      </w:r>
      <w:r w:rsidR="001E5289" w:rsidRPr="000915D0">
        <w:rPr>
          <w:rFonts w:ascii="Times New Roman" w:eastAsia="Times New Roman" w:hAnsi="Times New Roman" w:cs="Times New Roman"/>
          <w:sz w:val="24"/>
          <w:szCs w:val="24"/>
        </w:rPr>
        <w:t xml:space="preserve">les années </w:t>
      </w:r>
      <w:r w:rsidR="001C6136" w:rsidRPr="000915D0">
        <w:rPr>
          <w:rFonts w:ascii="Times New Roman" w:eastAsia="Times New Roman" w:hAnsi="Times New Roman" w:cs="Times New Roman"/>
          <w:sz w:val="24"/>
          <w:szCs w:val="24"/>
        </w:rPr>
        <w:t>201</w:t>
      </w:r>
      <w:r w:rsidR="001E5289" w:rsidRPr="000915D0">
        <w:rPr>
          <w:rFonts w:ascii="Times New Roman" w:eastAsia="Times New Roman" w:hAnsi="Times New Roman" w:cs="Times New Roman"/>
          <w:sz w:val="24"/>
          <w:szCs w:val="24"/>
        </w:rPr>
        <w:t>0</w:t>
      </w:r>
      <w:r w:rsidR="001C6136" w:rsidRPr="000915D0">
        <w:rPr>
          <w:rFonts w:ascii="Times New Roman" w:eastAsia="Times New Roman" w:hAnsi="Times New Roman" w:cs="Times New Roman"/>
          <w:sz w:val="24"/>
          <w:szCs w:val="24"/>
        </w:rPr>
        <w:t xml:space="preserve">, </w:t>
      </w:r>
      <w:r w:rsidR="007E5F8B" w:rsidRPr="000915D0">
        <w:rPr>
          <w:rFonts w:ascii="Times New Roman" w:eastAsia="Times New Roman" w:hAnsi="Times New Roman" w:cs="Times New Roman"/>
          <w:sz w:val="24"/>
          <w:szCs w:val="24"/>
        </w:rPr>
        <w:t xml:space="preserve">la question de la participation des salariés </w:t>
      </w:r>
      <w:r w:rsidR="00385A30" w:rsidRPr="000915D0">
        <w:rPr>
          <w:rFonts w:ascii="Times New Roman" w:eastAsia="Times New Roman" w:hAnsi="Times New Roman" w:cs="Times New Roman"/>
          <w:sz w:val="24"/>
          <w:szCs w:val="24"/>
        </w:rPr>
        <w:t>aux conseils</w:t>
      </w:r>
      <w:r w:rsidR="007E5F8B" w:rsidRPr="000915D0">
        <w:rPr>
          <w:rFonts w:ascii="Times New Roman" w:eastAsia="Times New Roman" w:hAnsi="Times New Roman" w:cs="Times New Roman"/>
          <w:sz w:val="24"/>
          <w:szCs w:val="24"/>
        </w:rPr>
        <w:t xml:space="preserve"> s’impose à nouveau </w:t>
      </w:r>
      <w:r w:rsidR="000A7AE3" w:rsidRPr="000915D0">
        <w:rPr>
          <w:rFonts w:ascii="Times New Roman" w:eastAsia="Times New Roman" w:hAnsi="Times New Roman" w:cs="Times New Roman"/>
          <w:sz w:val="24"/>
          <w:szCs w:val="24"/>
        </w:rPr>
        <w:t xml:space="preserve">dans le débat </w:t>
      </w:r>
      <w:r w:rsidR="00140695" w:rsidRPr="000915D0">
        <w:rPr>
          <w:rFonts w:ascii="Times New Roman" w:eastAsia="Times New Roman" w:hAnsi="Times New Roman" w:cs="Times New Roman"/>
          <w:sz w:val="24"/>
          <w:szCs w:val="24"/>
        </w:rPr>
        <w:t>avec</w:t>
      </w:r>
      <w:r w:rsidR="00720C97" w:rsidRPr="000915D0">
        <w:rPr>
          <w:rFonts w:ascii="Times New Roman" w:eastAsia="Times New Roman" w:hAnsi="Times New Roman" w:cs="Times New Roman"/>
          <w:sz w:val="24"/>
          <w:szCs w:val="24"/>
        </w:rPr>
        <w:t xml:space="preserve"> de</w:t>
      </w:r>
      <w:r w:rsidR="00D63ADB" w:rsidRPr="000915D0">
        <w:rPr>
          <w:rFonts w:ascii="Times New Roman" w:eastAsia="Times New Roman" w:hAnsi="Times New Roman" w:cs="Times New Roman"/>
          <w:sz w:val="24"/>
          <w:szCs w:val="24"/>
        </w:rPr>
        <w:t>s</w:t>
      </w:r>
      <w:r w:rsidR="00720C97" w:rsidRPr="000915D0">
        <w:rPr>
          <w:rFonts w:ascii="Times New Roman" w:eastAsia="Times New Roman" w:hAnsi="Times New Roman" w:cs="Times New Roman"/>
          <w:sz w:val="24"/>
          <w:szCs w:val="24"/>
        </w:rPr>
        <w:t xml:space="preserve"> rapports </w:t>
      </w:r>
      <w:r w:rsidR="00D63ADB" w:rsidRPr="000915D0">
        <w:rPr>
          <w:rFonts w:ascii="Times New Roman" w:eastAsia="Times New Roman" w:hAnsi="Times New Roman" w:cs="Times New Roman"/>
          <w:sz w:val="24"/>
          <w:szCs w:val="24"/>
        </w:rPr>
        <w:t xml:space="preserve">(Gallois, 2012 et Notat et Sénard, 2018) et des lois </w:t>
      </w:r>
      <w:r w:rsidR="00385A30" w:rsidRPr="000915D0">
        <w:rPr>
          <w:rFonts w:ascii="Times New Roman" w:eastAsia="Times New Roman" w:hAnsi="Times New Roman" w:cs="Times New Roman"/>
          <w:sz w:val="24"/>
          <w:szCs w:val="24"/>
        </w:rPr>
        <w:t>(2013</w:t>
      </w:r>
      <w:r w:rsidR="00A02063" w:rsidRPr="000915D0">
        <w:rPr>
          <w:rFonts w:ascii="Times New Roman" w:eastAsia="Times New Roman" w:hAnsi="Times New Roman" w:cs="Times New Roman"/>
          <w:sz w:val="24"/>
          <w:szCs w:val="24"/>
        </w:rPr>
        <w:t xml:space="preserve">, </w:t>
      </w:r>
      <w:r w:rsidR="00385A30" w:rsidRPr="000915D0">
        <w:rPr>
          <w:rFonts w:ascii="Times New Roman" w:eastAsia="Times New Roman" w:hAnsi="Times New Roman" w:cs="Times New Roman"/>
          <w:sz w:val="24"/>
          <w:szCs w:val="24"/>
        </w:rPr>
        <w:t xml:space="preserve">2015 et 2019) </w:t>
      </w:r>
      <w:r w:rsidR="00720C97" w:rsidRPr="000915D0">
        <w:rPr>
          <w:rFonts w:ascii="Times New Roman" w:eastAsia="Times New Roman" w:hAnsi="Times New Roman" w:cs="Times New Roman"/>
          <w:sz w:val="24"/>
          <w:szCs w:val="24"/>
        </w:rPr>
        <w:t xml:space="preserve">qui </w:t>
      </w:r>
      <w:r w:rsidR="00D63ADB" w:rsidRPr="000915D0">
        <w:rPr>
          <w:rFonts w:ascii="Times New Roman" w:eastAsia="Times New Roman" w:hAnsi="Times New Roman" w:cs="Times New Roman"/>
          <w:sz w:val="24"/>
          <w:szCs w:val="24"/>
        </w:rPr>
        <w:t>favor</w:t>
      </w:r>
      <w:r w:rsidR="00140695" w:rsidRPr="000915D0">
        <w:rPr>
          <w:rFonts w:ascii="Times New Roman" w:eastAsia="Times New Roman" w:hAnsi="Times New Roman" w:cs="Times New Roman"/>
          <w:sz w:val="24"/>
          <w:szCs w:val="24"/>
        </w:rPr>
        <w:t>ise</w:t>
      </w:r>
      <w:r w:rsidR="00621BCA" w:rsidRPr="000915D0">
        <w:rPr>
          <w:rFonts w:ascii="Times New Roman" w:eastAsia="Times New Roman" w:hAnsi="Times New Roman" w:cs="Times New Roman"/>
          <w:sz w:val="24"/>
          <w:szCs w:val="24"/>
        </w:rPr>
        <w:t xml:space="preserve">nt une </w:t>
      </w:r>
      <w:r w:rsidR="00D63ADB" w:rsidRPr="000915D0">
        <w:rPr>
          <w:rFonts w:ascii="Times New Roman" w:eastAsia="Times New Roman" w:hAnsi="Times New Roman" w:cs="Times New Roman"/>
          <w:sz w:val="24"/>
          <w:szCs w:val="24"/>
        </w:rPr>
        <w:t>participation minoritaire</w:t>
      </w:r>
      <w:r w:rsidR="00385A30" w:rsidRPr="000915D0">
        <w:rPr>
          <w:rFonts w:ascii="Times New Roman" w:eastAsia="Times New Roman" w:hAnsi="Times New Roman" w:cs="Times New Roman"/>
          <w:sz w:val="24"/>
          <w:szCs w:val="24"/>
        </w:rPr>
        <w:t>.</w:t>
      </w:r>
      <w:r w:rsidR="001E5289" w:rsidRPr="000915D0">
        <w:rPr>
          <w:rFonts w:ascii="Times New Roman" w:eastAsia="Times New Roman" w:hAnsi="Times New Roman" w:cs="Times New Roman"/>
          <w:sz w:val="24"/>
          <w:szCs w:val="24"/>
        </w:rPr>
        <w:t xml:space="preserve"> La codétermination a aussi </w:t>
      </w:r>
      <w:r w:rsidR="00A12C27" w:rsidRPr="000915D0">
        <w:rPr>
          <w:rFonts w:ascii="Times New Roman" w:eastAsia="Times New Roman" w:hAnsi="Times New Roman" w:cs="Times New Roman"/>
          <w:sz w:val="24"/>
          <w:szCs w:val="24"/>
        </w:rPr>
        <w:t xml:space="preserve">été portée par les travaux du collège des Bernardins </w:t>
      </w:r>
      <w:r w:rsidR="00BB0154" w:rsidRPr="000915D0">
        <w:rPr>
          <w:rFonts w:ascii="Times New Roman" w:eastAsia="Times New Roman" w:hAnsi="Times New Roman" w:cs="Times New Roman"/>
          <w:sz w:val="24"/>
          <w:szCs w:val="24"/>
        </w:rPr>
        <w:t xml:space="preserve">dirigés par Olivier Favereau </w:t>
      </w:r>
      <w:r w:rsidR="00126D88" w:rsidRPr="000915D0">
        <w:rPr>
          <w:rFonts w:ascii="Times New Roman" w:eastAsia="Times New Roman" w:hAnsi="Times New Roman" w:cs="Times New Roman"/>
          <w:sz w:val="24"/>
          <w:szCs w:val="24"/>
        </w:rPr>
        <w:t>et qui ont justement inspiré les rapports et les lois qui ont suivi</w:t>
      </w:r>
      <w:r w:rsidR="00EA4033" w:rsidRPr="000915D0">
        <w:rPr>
          <w:rStyle w:val="Appelnotedebasdep"/>
          <w:rFonts w:ascii="Times New Roman" w:eastAsia="Times New Roman" w:hAnsi="Times New Roman" w:cs="Times New Roman"/>
          <w:sz w:val="24"/>
          <w:szCs w:val="24"/>
        </w:rPr>
        <w:footnoteReference w:id="5"/>
      </w:r>
      <w:r w:rsidR="00126D88" w:rsidRPr="000915D0">
        <w:rPr>
          <w:rFonts w:ascii="Times New Roman" w:eastAsia="Times New Roman" w:hAnsi="Times New Roman" w:cs="Times New Roman"/>
          <w:sz w:val="24"/>
          <w:szCs w:val="24"/>
        </w:rPr>
        <w:t>.</w:t>
      </w:r>
    </w:p>
    <w:p w14:paraId="29F3D966" w14:textId="76E138D9" w:rsidR="00FB5FAD" w:rsidRPr="000915D0" w:rsidRDefault="00FB5FAD" w:rsidP="00DB6D7F">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 xml:space="preserve">En analysant </w:t>
      </w:r>
      <w:r w:rsidR="008469EC" w:rsidRPr="000915D0">
        <w:rPr>
          <w:rFonts w:ascii="Times New Roman" w:hAnsi="Times New Roman" w:cs="Times New Roman"/>
          <w:sz w:val="24"/>
          <w:szCs w:val="24"/>
        </w:rPr>
        <w:t xml:space="preserve">la situation française à la lumière du cadre théorique de Davis et Thompson (1994), </w:t>
      </w:r>
      <w:proofErr w:type="gramStart"/>
      <w:r w:rsidR="00254603" w:rsidRPr="000915D0">
        <w:rPr>
          <w:rFonts w:ascii="Times New Roman" w:hAnsi="Times New Roman" w:cs="Times New Roman"/>
          <w:sz w:val="24"/>
          <w:szCs w:val="24"/>
        </w:rPr>
        <w:t>on constate qu’aucune</w:t>
      </w:r>
      <w:proofErr w:type="gramEnd"/>
      <w:r w:rsidR="00A9363B" w:rsidRPr="000915D0">
        <w:rPr>
          <w:rFonts w:ascii="Times New Roman" w:hAnsi="Times New Roman" w:cs="Times New Roman"/>
          <w:sz w:val="24"/>
          <w:szCs w:val="24"/>
        </w:rPr>
        <w:t xml:space="preserve"> des dimensions de la mobilisation n’était </w:t>
      </w:r>
      <w:r w:rsidR="00C679A3" w:rsidRPr="000915D0">
        <w:rPr>
          <w:rFonts w:ascii="Times New Roman" w:hAnsi="Times New Roman" w:cs="Times New Roman"/>
          <w:sz w:val="24"/>
          <w:szCs w:val="24"/>
        </w:rPr>
        <w:t xml:space="preserve">réellement </w:t>
      </w:r>
      <w:r w:rsidR="00A9363B" w:rsidRPr="000915D0">
        <w:rPr>
          <w:rFonts w:ascii="Times New Roman" w:hAnsi="Times New Roman" w:cs="Times New Roman"/>
          <w:sz w:val="24"/>
          <w:szCs w:val="24"/>
        </w:rPr>
        <w:t xml:space="preserve">présente </w:t>
      </w:r>
      <w:r w:rsidR="001C6136" w:rsidRPr="000915D0">
        <w:rPr>
          <w:rFonts w:ascii="Times New Roman" w:hAnsi="Times New Roman" w:cs="Times New Roman"/>
          <w:sz w:val="24"/>
          <w:szCs w:val="24"/>
        </w:rPr>
        <w:t xml:space="preserve">en </w:t>
      </w:r>
      <w:r w:rsidR="006D194E" w:rsidRPr="000915D0">
        <w:rPr>
          <w:rFonts w:ascii="Times New Roman" w:hAnsi="Times New Roman" w:cs="Times New Roman"/>
          <w:sz w:val="24"/>
          <w:szCs w:val="24"/>
        </w:rPr>
        <w:t>France, hormis le contexte d’opportunité politique, qui aurait pu fournir un terreau favorable</w:t>
      </w:r>
      <w:r w:rsidR="001C6136" w:rsidRPr="000915D0">
        <w:rPr>
          <w:rFonts w:ascii="Times New Roman" w:hAnsi="Times New Roman" w:cs="Times New Roman"/>
          <w:sz w:val="24"/>
          <w:szCs w:val="24"/>
        </w:rPr>
        <w:t>.</w:t>
      </w:r>
      <w:r w:rsidR="009D010B" w:rsidRPr="000915D0">
        <w:rPr>
          <w:rFonts w:ascii="Times New Roman" w:hAnsi="Times New Roman" w:cs="Times New Roman"/>
          <w:sz w:val="24"/>
          <w:szCs w:val="24"/>
        </w:rPr>
        <w:t xml:space="preserve"> </w:t>
      </w:r>
    </w:p>
    <w:p w14:paraId="018C5C10" w14:textId="6FF8A7E8" w:rsidR="005A629D" w:rsidRPr="000915D0" w:rsidRDefault="00675E9E" w:rsidP="005A2601">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Le contexte d’opportunité politique</w:t>
      </w:r>
      <w:r w:rsidR="006574A9" w:rsidRPr="000915D0">
        <w:rPr>
          <w:rFonts w:ascii="Times New Roman" w:hAnsi="Times New Roman" w:cs="Times New Roman"/>
          <w:sz w:val="24"/>
          <w:szCs w:val="24"/>
        </w:rPr>
        <w:t xml:space="preserve"> a</w:t>
      </w:r>
      <w:r w:rsidR="004E36F0" w:rsidRPr="000915D0">
        <w:rPr>
          <w:rFonts w:ascii="Times New Roman" w:hAnsi="Times New Roman" w:cs="Times New Roman"/>
          <w:sz w:val="24"/>
          <w:szCs w:val="24"/>
        </w:rPr>
        <w:t>, en effet,</w:t>
      </w:r>
      <w:r w:rsidR="006574A9" w:rsidRPr="000915D0">
        <w:rPr>
          <w:rFonts w:ascii="Times New Roman" w:hAnsi="Times New Roman" w:cs="Times New Roman"/>
          <w:sz w:val="24"/>
          <w:szCs w:val="24"/>
        </w:rPr>
        <w:t xml:space="preserve"> été propice </w:t>
      </w:r>
      <w:r w:rsidR="000205B7" w:rsidRPr="000915D0">
        <w:rPr>
          <w:rFonts w:ascii="Times New Roman" w:hAnsi="Times New Roman" w:cs="Times New Roman"/>
          <w:sz w:val="24"/>
          <w:szCs w:val="24"/>
        </w:rPr>
        <w:t xml:space="preserve">à plusieurs reprises. </w:t>
      </w:r>
      <w:r w:rsidR="002C1A17" w:rsidRPr="000915D0">
        <w:rPr>
          <w:rFonts w:ascii="Times New Roman" w:hAnsi="Times New Roman" w:cs="Times New Roman"/>
          <w:sz w:val="24"/>
          <w:szCs w:val="24"/>
        </w:rPr>
        <w:t xml:space="preserve">Comme l’Allemagne, la France a connu une rupture institutionnelle importante quoique moins brutale </w:t>
      </w:r>
      <w:r w:rsidR="00761463" w:rsidRPr="000915D0">
        <w:rPr>
          <w:rFonts w:ascii="Times New Roman" w:hAnsi="Times New Roman" w:cs="Times New Roman"/>
          <w:sz w:val="24"/>
          <w:szCs w:val="24"/>
        </w:rPr>
        <w:t>à la fin de la seconde guerre mondiale</w:t>
      </w:r>
      <w:r w:rsidR="00006CD3" w:rsidRPr="000915D0">
        <w:rPr>
          <w:rFonts w:ascii="Times New Roman" w:hAnsi="Times New Roman" w:cs="Times New Roman"/>
          <w:sz w:val="24"/>
          <w:szCs w:val="24"/>
        </w:rPr>
        <w:t>,</w:t>
      </w:r>
      <w:r w:rsidR="00761463" w:rsidRPr="000915D0">
        <w:rPr>
          <w:rFonts w:ascii="Times New Roman" w:hAnsi="Times New Roman" w:cs="Times New Roman"/>
          <w:sz w:val="24"/>
          <w:szCs w:val="24"/>
        </w:rPr>
        <w:t xml:space="preserve"> et le programme du CNR</w:t>
      </w:r>
      <w:r w:rsidR="00006CD3" w:rsidRPr="000915D0">
        <w:rPr>
          <w:rFonts w:ascii="Times New Roman" w:hAnsi="Times New Roman" w:cs="Times New Roman"/>
          <w:sz w:val="24"/>
          <w:szCs w:val="24"/>
        </w:rPr>
        <w:t xml:space="preserve"> (Conseil National de la Résistance) comportait des éléments d’une réforme de l’entreprise</w:t>
      </w:r>
      <w:r w:rsidR="00761463" w:rsidRPr="000915D0">
        <w:rPr>
          <w:rFonts w:ascii="Times New Roman" w:hAnsi="Times New Roman" w:cs="Times New Roman"/>
          <w:sz w:val="24"/>
          <w:szCs w:val="24"/>
        </w:rPr>
        <w:t>.</w:t>
      </w:r>
      <w:r w:rsidR="009A3037" w:rsidRPr="000915D0">
        <w:rPr>
          <w:rFonts w:ascii="Times New Roman" w:hAnsi="Times New Roman" w:cs="Times New Roman"/>
          <w:sz w:val="24"/>
          <w:szCs w:val="24"/>
        </w:rPr>
        <w:t xml:space="preserve"> </w:t>
      </w:r>
      <w:r w:rsidR="00006CD3" w:rsidRPr="000915D0">
        <w:rPr>
          <w:rFonts w:ascii="Times New Roman" w:hAnsi="Times New Roman" w:cs="Times New Roman"/>
          <w:sz w:val="24"/>
          <w:szCs w:val="24"/>
        </w:rPr>
        <w:t>Mais l</w:t>
      </w:r>
      <w:r w:rsidR="005E402B" w:rsidRPr="000915D0">
        <w:rPr>
          <w:rFonts w:ascii="Times New Roman" w:hAnsi="Times New Roman" w:cs="Times New Roman"/>
          <w:sz w:val="24"/>
          <w:szCs w:val="24"/>
        </w:rPr>
        <w:t>’union nationale fait</w:t>
      </w:r>
      <w:r w:rsidR="00006CD3" w:rsidRPr="000915D0">
        <w:rPr>
          <w:rFonts w:ascii="Times New Roman" w:hAnsi="Times New Roman" w:cs="Times New Roman"/>
          <w:sz w:val="24"/>
          <w:szCs w:val="24"/>
        </w:rPr>
        <w:t xml:space="preserve"> ensuite</w:t>
      </w:r>
      <w:r w:rsidR="005E402B" w:rsidRPr="000915D0">
        <w:rPr>
          <w:rFonts w:ascii="Times New Roman" w:hAnsi="Times New Roman" w:cs="Times New Roman"/>
          <w:sz w:val="24"/>
          <w:szCs w:val="24"/>
        </w:rPr>
        <w:t xml:space="preserve"> place à la division</w:t>
      </w:r>
      <w:r w:rsidR="00F46A0B" w:rsidRPr="000915D0">
        <w:rPr>
          <w:rFonts w:ascii="Times New Roman" w:hAnsi="Times New Roman" w:cs="Times New Roman"/>
          <w:sz w:val="24"/>
          <w:szCs w:val="24"/>
        </w:rPr>
        <w:t xml:space="preserve"> et aucun parti ou syndicat important ne fait de la codétermination une priorité. </w:t>
      </w:r>
      <w:r w:rsidR="00353077" w:rsidRPr="000915D0">
        <w:rPr>
          <w:rFonts w:ascii="Times New Roman" w:hAnsi="Times New Roman" w:cs="Times New Roman"/>
          <w:sz w:val="24"/>
          <w:szCs w:val="24"/>
        </w:rPr>
        <w:t xml:space="preserve">L’ouvrage et la loi de </w:t>
      </w:r>
      <w:r w:rsidR="001047F1" w:rsidRPr="000915D0">
        <w:rPr>
          <w:rFonts w:ascii="Times New Roman" w:hAnsi="Times New Roman" w:cs="Times New Roman"/>
          <w:sz w:val="24"/>
          <w:szCs w:val="24"/>
        </w:rPr>
        <w:t>Paul Bacon</w:t>
      </w:r>
      <w:r w:rsidR="00CC6206" w:rsidRPr="000915D0">
        <w:rPr>
          <w:rFonts w:ascii="Times New Roman" w:hAnsi="Times New Roman" w:cs="Times New Roman"/>
          <w:sz w:val="24"/>
          <w:szCs w:val="24"/>
        </w:rPr>
        <w:t xml:space="preserve">, ancien </w:t>
      </w:r>
      <w:r w:rsidR="00AA74EB" w:rsidRPr="000915D0">
        <w:rPr>
          <w:rFonts w:ascii="Times New Roman" w:hAnsi="Times New Roman" w:cs="Times New Roman"/>
          <w:sz w:val="24"/>
          <w:szCs w:val="24"/>
        </w:rPr>
        <w:t xml:space="preserve">résistant, ministre et membre du </w:t>
      </w:r>
      <w:r w:rsidR="001C23ED" w:rsidRPr="000915D0">
        <w:rPr>
          <w:rFonts w:ascii="Times New Roman" w:hAnsi="Times New Roman" w:cs="Times New Roman"/>
          <w:sz w:val="24"/>
          <w:szCs w:val="24"/>
        </w:rPr>
        <w:t>mouvement républicain populaire (MRP) font exception</w:t>
      </w:r>
      <w:r w:rsidR="002C3BB5" w:rsidRPr="000915D0">
        <w:rPr>
          <w:rFonts w:ascii="Times New Roman" w:hAnsi="Times New Roman" w:cs="Times New Roman"/>
          <w:sz w:val="24"/>
          <w:szCs w:val="24"/>
        </w:rPr>
        <w:t>,</w:t>
      </w:r>
      <w:r w:rsidR="00631168" w:rsidRPr="000915D0">
        <w:rPr>
          <w:rFonts w:ascii="Times New Roman" w:hAnsi="Times New Roman" w:cs="Times New Roman"/>
          <w:sz w:val="24"/>
          <w:szCs w:val="24"/>
        </w:rPr>
        <w:t xml:space="preserve"> et De Gaulle qui aurait pu </w:t>
      </w:r>
      <w:r w:rsidR="004307B1" w:rsidRPr="000915D0">
        <w:rPr>
          <w:rFonts w:ascii="Times New Roman" w:hAnsi="Times New Roman" w:cs="Times New Roman"/>
          <w:sz w:val="24"/>
          <w:szCs w:val="24"/>
        </w:rPr>
        <w:t xml:space="preserve">porter la réforme quitte </w:t>
      </w:r>
      <w:r w:rsidR="004307B1" w:rsidRPr="000915D0">
        <w:rPr>
          <w:rFonts w:ascii="Times New Roman" w:hAnsi="Times New Roman" w:cs="Times New Roman"/>
          <w:sz w:val="24"/>
          <w:szCs w:val="24"/>
        </w:rPr>
        <w:lastRenderedPageBreak/>
        <w:t>le pouvoir en 1946</w:t>
      </w:r>
      <w:r w:rsidR="007E223C" w:rsidRPr="000915D0">
        <w:rPr>
          <w:rFonts w:ascii="Times New Roman" w:hAnsi="Times New Roman" w:cs="Times New Roman"/>
          <w:sz w:val="24"/>
          <w:szCs w:val="24"/>
        </w:rPr>
        <w:t xml:space="preserve"> (il prononce un discours remarqué sur la « participation » à Saint Etienne le 4 janvier 1948)</w:t>
      </w:r>
      <w:r w:rsidR="001C23ED" w:rsidRPr="000915D0">
        <w:rPr>
          <w:rFonts w:ascii="Times New Roman" w:hAnsi="Times New Roman" w:cs="Times New Roman"/>
          <w:sz w:val="24"/>
          <w:szCs w:val="24"/>
        </w:rPr>
        <w:t>.</w:t>
      </w:r>
      <w:r w:rsidR="001047F1" w:rsidRPr="000915D0">
        <w:rPr>
          <w:rFonts w:ascii="Times New Roman" w:hAnsi="Times New Roman" w:cs="Times New Roman"/>
          <w:sz w:val="24"/>
          <w:szCs w:val="24"/>
        </w:rPr>
        <w:t xml:space="preserve"> </w:t>
      </w:r>
      <w:r w:rsidR="006F3274" w:rsidRPr="000915D0">
        <w:rPr>
          <w:rFonts w:ascii="Times New Roman" w:hAnsi="Times New Roman" w:cs="Times New Roman"/>
          <w:sz w:val="24"/>
          <w:szCs w:val="24"/>
        </w:rPr>
        <w:t>L</w:t>
      </w:r>
      <w:r w:rsidR="0052686C" w:rsidRPr="000915D0">
        <w:rPr>
          <w:rFonts w:ascii="Times New Roman" w:hAnsi="Times New Roman" w:cs="Times New Roman"/>
          <w:sz w:val="24"/>
          <w:szCs w:val="24"/>
        </w:rPr>
        <w:t xml:space="preserve">e contexte n’est pas non plus </w:t>
      </w:r>
      <w:r w:rsidR="006F3274" w:rsidRPr="000915D0">
        <w:rPr>
          <w:rFonts w:ascii="Times New Roman" w:hAnsi="Times New Roman" w:cs="Times New Roman"/>
          <w:sz w:val="24"/>
          <w:szCs w:val="24"/>
        </w:rPr>
        <w:t>favorable</w:t>
      </w:r>
      <w:r w:rsidR="0052686C" w:rsidRPr="000915D0">
        <w:rPr>
          <w:rFonts w:ascii="Times New Roman" w:hAnsi="Times New Roman" w:cs="Times New Roman"/>
          <w:sz w:val="24"/>
          <w:szCs w:val="24"/>
        </w:rPr>
        <w:t xml:space="preserve"> </w:t>
      </w:r>
      <w:r w:rsidR="00EE3C53" w:rsidRPr="000915D0">
        <w:rPr>
          <w:rFonts w:ascii="Times New Roman" w:hAnsi="Times New Roman" w:cs="Times New Roman"/>
          <w:sz w:val="24"/>
          <w:szCs w:val="24"/>
        </w:rPr>
        <w:t>au moment du rapport Sudreau</w:t>
      </w:r>
      <w:r w:rsidR="00DC5E49" w:rsidRPr="000915D0">
        <w:rPr>
          <w:rFonts w:ascii="Times New Roman" w:hAnsi="Times New Roman" w:cs="Times New Roman"/>
          <w:sz w:val="24"/>
          <w:szCs w:val="24"/>
        </w:rPr>
        <w:t xml:space="preserve"> en 1975. La dé</w:t>
      </w:r>
      <w:r w:rsidR="002F532B" w:rsidRPr="000915D0">
        <w:rPr>
          <w:rFonts w:ascii="Times New Roman" w:hAnsi="Times New Roman" w:cs="Times New Roman"/>
          <w:sz w:val="24"/>
          <w:szCs w:val="24"/>
        </w:rPr>
        <w:t>mission du premier ministre</w:t>
      </w:r>
      <w:r w:rsidR="00DC5E49" w:rsidRPr="000915D0">
        <w:rPr>
          <w:rFonts w:ascii="Times New Roman" w:hAnsi="Times New Roman" w:cs="Times New Roman"/>
          <w:sz w:val="24"/>
          <w:szCs w:val="24"/>
        </w:rPr>
        <w:t xml:space="preserve"> </w:t>
      </w:r>
      <w:r w:rsidR="002F532B" w:rsidRPr="000915D0">
        <w:rPr>
          <w:rFonts w:ascii="Times New Roman" w:hAnsi="Times New Roman" w:cs="Times New Roman"/>
          <w:sz w:val="24"/>
          <w:szCs w:val="24"/>
        </w:rPr>
        <w:t xml:space="preserve">Jacques Chirac </w:t>
      </w:r>
      <w:r w:rsidR="00DB6D7F" w:rsidRPr="000915D0">
        <w:rPr>
          <w:rFonts w:ascii="Times New Roman" w:hAnsi="Times New Roman" w:cs="Times New Roman"/>
          <w:sz w:val="24"/>
          <w:szCs w:val="24"/>
        </w:rPr>
        <w:t>et le contexte économique relè</w:t>
      </w:r>
      <w:r w:rsidR="00903E9C" w:rsidRPr="000915D0">
        <w:rPr>
          <w:rFonts w:ascii="Times New Roman" w:hAnsi="Times New Roman" w:cs="Times New Roman"/>
          <w:sz w:val="24"/>
          <w:szCs w:val="24"/>
        </w:rPr>
        <w:t>guent</w:t>
      </w:r>
      <w:r w:rsidR="00DB6D7F" w:rsidRPr="000915D0">
        <w:rPr>
          <w:rFonts w:ascii="Times New Roman" w:hAnsi="Times New Roman" w:cs="Times New Roman"/>
          <w:sz w:val="24"/>
          <w:szCs w:val="24"/>
        </w:rPr>
        <w:t xml:space="preserve"> la réforme de l’entreprise au second plan.</w:t>
      </w:r>
      <w:r w:rsidR="007143E2" w:rsidRPr="000915D0">
        <w:rPr>
          <w:rFonts w:ascii="Times New Roman" w:hAnsi="Times New Roman" w:cs="Times New Roman"/>
          <w:sz w:val="24"/>
          <w:szCs w:val="24"/>
        </w:rPr>
        <w:t xml:space="preserve"> </w:t>
      </w:r>
      <w:r w:rsidR="007C2DC2" w:rsidRPr="000915D0">
        <w:rPr>
          <w:rFonts w:ascii="Times New Roman" w:hAnsi="Times New Roman" w:cs="Times New Roman"/>
          <w:sz w:val="24"/>
          <w:szCs w:val="24"/>
        </w:rPr>
        <w:t>Le débat est</w:t>
      </w:r>
      <w:r w:rsidR="00903E9C" w:rsidRPr="000915D0">
        <w:rPr>
          <w:rFonts w:ascii="Times New Roman" w:hAnsi="Times New Roman" w:cs="Times New Roman"/>
          <w:sz w:val="24"/>
          <w:szCs w:val="24"/>
        </w:rPr>
        <w:t xml:space="preserve"> seulement</w:t>
      </w:r>
      <w:r w:rsidR="007C2DC2" w:rsidRPr="000915D0">
        <w:rPr>
          <w:rFonts w:ascii="Times New Roman" w:hAnsi="Times New Roman" w:cs="Times New Roman"/>
          <w:sz w:val="24"/>
          <w:szCs w:val="24"/>
        </w:rPr>
        <w:t xml:space="preserve"> relancé</w:t>
      </w:r>
      <w:r w:rsidR="001A0FA1" w:rsidRPr="000915D0">
        <w:rPr>
          <w:rFonts w:ascii="Times New Roman" w:hAnsi="Times New Roman" w:cs="Times New Roman"/>
          <w:sz w:val="24"/>
          <w:szCs w:val="24"/>
        </w:rPr>
        <w:t xml:space="preserve"> de façon audible et à grande échelle</w:t>
      </w:r>
      <w:r w:rsidR="007C2DC2" w:rsidRPr="000915D0">
        <w:rPr>
          <w:rFonts w:ascii="Times New Roman" w:hAnsi="Times New Roman" w:cs="Times New Roman"/>
          <w:sz w:val="24"/>
          <w:szCs w:val="24"/>
        </w:rPr>
        <w:t xml:space="preserve"> avec le</w:t>
      </w:r>
      <w:r w:rsidR="001A0FA1" w:rsidRPr="000915D0">
        <w:rPr>
          <w:rFonts w:ascii="Times New Roman" w:hAnsi="Times New Roman" w:cs="Times New Roman"/>
          <w:sz w:val="24"/>
          <w:szCs w:val="24"/>
        </w:rPr>
        <w:t>s</w:t>
      </w:r>
      <w:r w:rsidR="007C2DC2" w:rsidRPr="000915D0">
        <w:rPr>
          <w:rFonts w:ascii="Times New Roman" w:hAnsi="Times New Roman" w:cs="Times New Roman"/>
          <w:sz w:val="24"/>
          <w:szCs w:val="24"/>
        </w:rPr>
        <w:t xml:space="preserve"> rapport</w:t>
      </w:r>
      <w:r w:rsidR="001A0FA1" w:rsidRPr="000915D0">
        <w:rPr>
          <w:rFonts w:ascii="Times New Roman" w:hAnsi="Times New Roman" w:cs="Times New Roman"/>
          <w:sz w:val="24"/>
          <w:szCs w:val="24"/>
        </w:rPr>
        <w:t>s</w:t>
      </w:r>
      <w:r w:rsidR="007C2DC2" w:rsidRPr="000915D0">
        <w:rPr>
          <w:rFonts w:ascii="Times New Roman" w:hAnsi="Times New Roman" w:cs="Times New Roman"/>
          <w:sz w:val="24"/>
          <w:szCs w:val="24"/>
        </w:rPr>
        <w:t xml:space="preserve"> Gallois</w:t>
      </w:r>
      <w:r w:rsidR="00721722" w:rsidRPr="000915D0">
        <w:rPr>
          <w:rFonts w:ascii="Times New Roman" w:hAnsi="Times New Roman" w:cs="Times New Roman"/>
          <w:sz w:val="24"/>
          <w:szCs w:val="24"/>
        </w:rPr>
        <w:t xml:space="preserve"> en 2012 et Notat Sénard en 2018</w:t>
      </w:r>
      <w:r w:rsidR="00223ABD" w:rsidRPr="000915D0">
        <w:rPr>
          <w:rFonts w:ascii="Times New Roman" w:hAnsi="Times New Roman" w:cs="Times New Roman"/>
          <w:sz w:val="24"/>
          <w:szCs w:val="24"/>
        </w:rPr>
        <w:t>,</w:t>
      </w:r>
      <w:r w:rsidR="007C2DC2" w:rsidRPr="000915D0">
        <w:rPr>
          <w:rFonts w:ascii="Times New Roman" w:hAnsi="Times New Roman" w:cs="Times New Roman"/>
          <w:sz w:val="24"/>
          <w:szCs w:val="24"/>
        </w:rPr>
        <w:t xml:space="preserve"> </w:t>
      </w:r>
      <w:r w:rsidR="00223ABD" w:rsidRPr="000915D0">
        <w:rPr>
          <w:rFonts w:ascii="Times New Roman" w:hAnsi="Times New Roman" w:cs="Times New Roman"/>
          <w:sz w:val="24"/>
          <w:szCs w:val="24"/>
        </w:rPr>
        <w:t>ainsi que</w:t>
      </w:r>
      <w:r w:rsidR="007C2DC2" w:rsidRPr="000915D0">
        <w:rPr>
          <w:rFonts w:ascii="Times New Roman" w:hAnsi="Times New Roman" w:cs="Times New Roman"/>
          <w:sz w:val="24"/>
          <w:szCs w:val="24"/>
        </w:rPr>
        <w:t xml:space="preserve"> les lois </w:t>
      </w:r>
      <w:r w:rsidR="00721722" w:rsidRPr="000915D0">
        <w:rPr>
          <w:rFonts w:ascii="Times New Roman" w:hAnsi="Times New Roman" w:cs="Times New Roman"/>
          <w:sz w:val="24"/>
          <w:szCs w:val="24"/>
        </w:rPr>
        <w:t xml:space="preserve">consécutives </w:t>
      </w:r>
      <w:r w:rsidR="007C2DC2" w:rsidRPr="000915D0">
        <w:rPr>
          <w:rFonts w:ascii="Times New Roman" w:hAnsi="Times New Roman" w:cs="Times New Roman"/>
          <w:sz w:val="24"/>
          <w:szCs w:val="24"/>
        </w:rPr>
        <w:t>adoptées sous les présidences de François Hollande</w:t>
      </w:r>
      <w:r w:rsidR="00721722" w:rsidRPr="000915D0">
        <w:rPr>
          <w:rFonts w:ascii="Times New Roman" w:hAnsi="Times New Roman" w:cs="Times New Roman"/>
          <w:sz w:val="24"/>
          <w:szCs w:val="24"/>
        </w:rPr>
        <w:t xml:space="preserve"> en 2013</w:t>
      </w:r>
      <w:r w:rsidR="005A2816" w:rsidRPr="000915D0">
        <w:rPr>
          <w:rFonts w:ascii="Times New Roman" w:hAnsi="Times New Roman" w:cs="Times New Roman"/>
          <w:sz w:val="24"/>
          <w:szCs w:val="24"/>
        </w:rPr>
        <w:t xml:space="preserve"> et 2015</w:t>
      </w:r>
      <w:r w:rsidR="007C2DC2" w:rsidRPr="000915D0">
        <w:rPr>
          <w:rFonts w:ascii="Times New Roman" w:hAnsi="Times New Roman" w:cs="Times New Roman"/>
          <w:sz w:val="24"/>
          <w:szCs w:val="24"/>
        </w:rPr>
        <w:t xml:space="preserve"> puis d’Emmanuel Macron</w:t>
      </w:r>
      <w:r w:rsidR="005A2816" w:rsidRPr="000915D0">
        <w:rPr>
          <w:rFonts w:ascii="Times New Roman" w:hAnsi="Times New Roman" w:cs="Times New Roman"/>
          <w:sz w:val="24"/>
          <w:szCs w:val="24"/>
        </w:rPr>
        <w:t xml:space="preserve"> en 2019</w:t>
      </w:r>
      <w:r w:rsidR="007C2DC2" w:rsidRPr="000915D0">
        <w:rPr>
          <w:rFonts w:ascii="Times New Roman" w:hAnsi="Times New Roman" w:cs="Times New Roman"/>
          <w:sz w:val="24"/>
          <w:szCs w:val="24"/>
        </w:rPr>
        <w:t>.</w:t>
      </w:r>
    </w:p>
    <w:p w14:paraId="68123F3F" w14:textId="69513487" w:rsidR="009A3037" w:rsidRPr="000915D0" w:rsidRDefault="00C13A68" w:rsidP="005A2601">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L</w:t>
      </w:r>
      <w:r w:rsidR="000457A7" w:rsidRPr="000915D0">
        <w:rPr>
          <w:rFonts w:ascii="Times New Roman" w:hAnsi="Times New Roman" w:cs="Times New Roman"/>
          <w:sz w:val="24"/>
          <w:szCs w:val="24"/>
        </w:rPr>
        <w:t>es intérêts des acteurs n</w:t>
      </w:r>
      <w:r w:rsidR="00CA1811" w:rsidRPr="000915D0">
        <w:rPr>
          <w:rFonts w:ascii="Times New Roman" w:hAnsi="Times New Roman" w:cs="Times New Roman"/>
          <w:sz w:val="24"/>
          <w:szCs w:val="24"/>
        </w:rPr>
        <w:t>’ont</w:t>
      </w:r>
      <w:r w:rsidR="000457A7" w:rsidRPr="000915D0">
        <w:rPr>
          <w:rFonts w:ascii="Times New Roman" w:hAnsi="Times New Roman" w:cs="Times New Roman"/>
          <w:sz w:val="24"/>
          <w:szCs w:val="24"/>
        </w:rPr>
        <w:t xml:space="preserve"> </w:t>
      </w:r>
      <w:r w:rsidR="007E223C" w:rsidRPr="000915D0">
        <w:rPr>
          <w:rFonts w:ascii="Times New Roman" w:hAnsi="Times New Roman" w:cs="Times New Roman"/>
          <w:sz w:val="24"/>
          <w:szCs w:val="24"/>
        </w:rPr>
        <w:t xml:space="preserve">donc </w:t>
      </w:r>
      <w:r w:rsidR="00CA1811" w:rsidRPr="000915D0">
        <w:rPr>
          <w:rFonts w:ascii="Times New Roman" w:hAnsi="Times New Roman" w:cs="Times New Roman"/>
          <w:sz w:val="24"/>
          <w:szCs w:val="24"/>
        </w:rPr>
        <w:t xml:space="preserve">jamais véritablement </w:t>
      </w:r>
      <w:r w:rsidR="000457A7" w:rsidRPr="000915D0">
        <w:rPr>
          <w:rFonts w:ascii="Times New Roman" w:hAnsi="Times New Roman" w:cs="Times New Roman"/>
          <w:sz w:val="24"/>
          <w:szCs w:val="24"/>
        </w:rPr>
        <w:t>converg</w:t>
      </w:r>
      <w:r w:rsidR="00CA1811" w:rsidRPr="000915D0">
        <w:rPr>
          <w:rFonts w:ascii="Times New Roman" w:hAnsi="Times New Roman" w:cs="Times New Roman"/>
          <w:sz w:val="24"/>
          <w:szCs w:val="24"/>
        </w:rPr>
        <w:t>é</w:t>
      </w:r>
      <w:r w:rsidR="000457A7" w:rsidRPr="000915D0">
        <w:rPr>
          <w:rFonts w:ascii="Times New Roman" w:hAnsi="Times New Roman" w:cs="Times New Roman"/>
          <w:sz w:val="24"/>
          <w:szCs w:val="24"/>
        </w:rPr>
        <w:t xml:space="preserve"> </w:t>
      </w:r>
      <w:r w:rsidR="00785C7C" w:rsidRPr="000915D0">
        <w:rPr>
          <w:rFonts w:ascii="Times New Roman" w:hAnsi="Times New Roman" w:cs="Times New Roman"/>
          <w:sz w:val="24"/>
          <w:szCs w:val="24"/>
        </w:rPr>
        <w:t>vers l’adoption de la codétermination.</w:t>
      </w:r>
      <w:r w:rsidR="009A10A3" w:rsidRPr="000915D0">
        <w:rPr>
          <w:rFonts w:ascii="Times New Roman" w:hAnsi="Times New Roman" w:cs="Times New Roman"/>
          <w:sz w:val="24"/>
          <w:szCs w:val="24"/>
        </w:rPr>
        <w:t xml:space="preserve"> Les syndicats</w:t>
      </w:r>
      <w:r w:rsidR="00FC210C" w:rsidRPr="000915D0">
        <w:rPr>
          <w:rFonts w:ascii="Times New Roman" w:hAnsi="Times New Roman" w:cs="Times New Roman"/>
          <w:sz w:val="24"/>
          <w:szCs w:val="24"/>
        </w:rPr>
        <w:t xml:space="preserve"> de</w:t>
      </w:r>
      <w:r w:rsidR="009A10A3" w:rsidRPr="000915D0">
        <w:rPr>
          <w:rFonts w:ascii="Times New Roman" w:hAnsi="Times New Roman" w:cs="Times New Roman"/>
          <w:sz w:val="24"/>
          <w:szCs w:val="24"/>
        </w:rPr>
        <w:t xml:space="preserve"> salariés et patronaux sont les principaux acteurs concernés</w:t>
      </w:r>
      <w:r w:rsidR="00B75016" w:rsidRPr="000915D0">
        <w:rPr>
          <w:rFonts w:ascii="Times New Roman" w:hAnsi="Times New Roman" w:cs="Times New Roman"/>
          <w:sz w:val="24"/>
          <w:szCs w:val="24"/>
        </w:rPr>
        <w:t xml:space="preserve">. A quelques exceptions et nuances près, ils </w:t>
      </w:r>
      <w:proofErr w:type="gramStart"/>
      <w:r w:rsidR="00C30EA1" w:rsidRPr="000915D0">
        <w:rPr>
          <w:rFonts w:ascii="Times New Roman" w:hAnsi="Times New Roman" w:cs="Times New Roman"/>
          <w:sz w:val="24"/>
          <w:szCs w:val="24"/>
        </w:rPr>
        <w:t>étaient</w:t>
      </w:r>
      <w:proofErr w:type="gramEnd"/>
      <w:r w:rsidR="00B75016" w:rsidRPr="000915D0">
        <w:rPr>
          <w:rFonts w:ascii="Times New Roman" w:hAnsi="Times New Roman" w:cs="Times New Roman"/>
          <w:sz w:val="24"/>
          <w:szCs w:val="24"/>
        </w:rPr>
        <w:t xml:space="preserve"> opposés la codétermination</w:t>
      </w:r>
      <w:r w:rsidR="009A10A3" w:rsidRPr="000915D0">
        <w:rPr>
          <w:rFonts w:ascii="Times New Roman" w:hAnsi="Times New Roman" w:cs="Times New Roman"/>
          <w:sz w:val="24"/>
          <w:szCs w:val="24"/>
        </w:rPr>
        <w:t xml:space="preserve">. </w:t>
      </w:r>
      <w:r w:rsidR="00B75016" w:rsidRPr="000915D0">
        <w:rPr>
          <w:rFonts w:ascii="Times New Roman" w:hAnsi="Times New Roman" w:cs="Times New Roman"/>
          <w:sz w:val="24"/>
          <w:szCs w:val="24"/>
        </w:rPr>
        <w:t xml:space="preserve">Cette opposition est </w:t>
      </w:r>
      <w:r w:rsidR="00FF7F71" w:rsidRPr="000915D0">
        <w:rPr>
          <w:rFonts w:ascii="Times New Roman" w:hAnsi="Times New Roman" w:cs="Times New Roman"/>
          <w:sz w:val="24"/>
          <w:szCs w:val="24"/>
        </w:rPr>
        <w:t xml:space="preserve">notamment </w:t>
      </w:r>
      <w:r w:rsidR="00B75016" w:rsidRPr="000915D0">
        <w:rPr>
          <w:rFonts w:ascii="Times New Roman" w:hAnsi="Times New Roman" w:cs="Times New Roman"/>
          <w:sz w:val="24"/>
          <w:szCs w:val="24"/>
        </w:rPr>
        <w:t>très marquée pour le patronat et la CGT</w:t>
      </w:r>
      <w:r w:rsidR="00C679A3" w:rsidRPr="000915D0">
        <w:rPr>
          <w:rFonts w:ascii="Times New Roman" w:hAnsi="Times New Roman" w:cs="Times New Roman"/>
          <w:sz w:val="24"/>
          <w:szCs w:val="24"/>
        </w:rPr>
        <w:t xml:space="preserve"> </w:t>
      </w:r>
      <w:r w:rsidR="00906A56" w:rsidRPr="000915D0">
        <w:rPr>
          <w:rFonts w:ascii="Times New Roman" w:hAnsi="Times New Roman" w:cs="Times New Roman"/>
          <w:sz w:val="24"/>
          <w:szCs w:val="24"/>
        </w:rPr>
        <w:t>lors de</w:t>
      </w:r>
      <w:r w:rsidR="00B75016" w:rsidRPr="000915D0">
        <w:rPr>
          <w:rFonts w:ascii="Times New Roman" w:hAnsi="Times New Roman" w:cs="Times New Roman"/>
          <w:sz w:val="24"/>
          <w:szCs w:val="24"/>
        </w:rPr>
        <w:t xml:space="preserve"> la publication des rapports Lasserre </w:t>
      </w:r>
      <w:r w:rsidR="00DD00C8" w:rsidRPr="000915D0">
        <w:rPr>
          <w:rFonts w:ascii="Times New Roman" w:hAnsi="Times New Roman" w:cs="Times New Roman"/>
          <w:sz w:val="24"/>
          <w:szCs w:val="24"/>
        </w:rPr>
        <w:t xml:space="preserve">en 1950 </w:t>
      </w:r>
      <w:r w:rsidR="00B75016" w:rsidRPr="000915D0">
        <w:rPr>
          <w:rFonts w:ascii="Times New Roman" w:hAnsi="Times New Roman" w:cs="Times New Roman"/>
          <w:sz w:val="24"/>
          <w:szCs w:val="24"/>
        </w:rPr>
        <w:t>et Sudreau</w:t>
      </w:r>
      <w:r w:rsidR="00DD00C8" w:rsidRPr="000915D0">
        <w:rPr>
          <w:rFonts w:ascii="Times New Roman" w:hAnsi="Times New Roman" w:cs="Times New Roman"/>
          <w:sz w:val="24"/>
          <w:szCs w:val="24"/>
        </w:rPr>
        <w:t xml:space="preserve"> en 1975</w:t>
      </w:r>
      <w:r w:rsidR="00B75016" w:rsidRPr="000915D0">
        <w:rPr>
          <w:rFonts w:ascii="Times New Roman" w:hAnsi="Times New Roman" w:cs="Times New Roman"/>
          <w:sz w:val="24"/>
          <w:szCs w:val="24"/>
        </w:rPr>
        <w:t xml:space="preserve">. </w:t>
      </w:r>
      <w:r w:rsidR="009A10A3" w:rsidRPr="000915D0">
        <w:rPr>
          <w:rFonts w:ascii="Times New Roman" w:hAnsi="Times New Roman" w:cs="Times New Roman"/>
          <w:sz w:val="24"/>
          <w:szCs w:val="24"/>
        </w:rPr>
        <w:t xml:space="preserve">La CFDT avait défendu l’autogestion dans les années </w:t>
      </w:r>
      <w:r w:rsidR="007E223C" w:rsidRPr="000915D0">
        <w:rPr>
          <w:rFonts w:ascii="Times New Roman" w:hAnsi="Times New Roman" w:cs="Times New Roman"/>
          <w:sz w:val="24"/>
          <w:szCs w:val="24"/>
        </w:rPr>
        <w:t>19</w:t>
      </w:r>
      <w:r w:rsidR="009A10A3" w:rsidRPr="000915D0">
        <w:rPr>
          <w:rFonts w:ascii="Times New Roman" w:hAnsi="Times New Roman" w:cs="Times New Roman"/>
          <w:sz w:val="24"/>
          <w:szCs w:val="24"/>
        </w:rPr>
        <w:t xml:space="preserve">70 aux côtés du parti socialiste unifié (PSU) de Michel Rocard </w:t>
      </w:r>
      <w:r w:rsidR="002A069B" w:rsidRPr="000915D0">
        <w:rPr>
          <w:rFonts w:ascii="Times New Roman" w:hAnsi="Times New Roman" w:cs="Times New Roman"/>
          <w:sz w:val="24"/>
          <w:szCs w:val="24"/>
        </w:rPr>
        <w:t>et avec l’appui d’un intellectuel comme Pierre Rosanvallon. Mais l’autogestion demeurait éloignée de la codétermination</w:t>
      </w:r>
      <w:r w:rsidR="009118BD" w:rsidRPr="000915D0">
        <w:rPr>
          <w:rFonts w:ascii="Times New Roman" w:hAnsi="Times New Roman" w:cs="Times New Roman"/>
          <w:sz w:val="24"/>
          <w:szCs w:val="24"/>
        </w:rPr>
        <w:t>,</w:t>
      </w:r>
      <w:r w:rsidR="002A069B" w:rsidRPr="000915D0">
        <w:rPr>
          <w:rFonts w:ascii="Times New Roman" w:hAnsi="Times New Roman" w:cs="Times New Roman"/>
          <w:sz w:val="24"/>
          <w:szCs w:val="24"/>
        </w:rPr>
        <w:t xml:space="preserve"> même si les deux </w:t>
      </w:r>
      <w:r w:rsidR="00337A81" w:rsidRPr="000915D0">
        <w:rPr>
          <w:rFonts w:ascii="Times New Roman" w:hAnsi="Times New Roman" w:cs="Times New Roman"/>
          <w:sz w:val="24"/>
          <w:szCs w:val="24"/>
        </w:rPr>
        <w:t>pratiques supposent avec des degrés divers une participation plus importante que dans l’entreprise capitaliste traditionnelle.</w:t>
      </w:r>
      <w:r w:rsidR="00915550" w:rsidRPr="000915D0">
        <w:rPr>
          <w:rFonts w:ascii="Times New Roman" w:hAnsi="Times New Roman" w:cs="Times New Roman"/>
          <w:sz w:val="24"/>
          <w:szCs w:val="24"/>
        </w:rPr>
        <w:t xml:space="preserve"> Les syndicats </w:t>
      </w:r>
      <w:r w:rsidR="000265F0" w:rsidRPr="000915D0">
        <w:rPr>
          <w:rFonts w:ascii="Times New Roman" w:hAnsi="Times New Roman" w:cs="Times New Roman"/>
          <w:sz w:val="24"/>
          <w:szCs w:val="24"/>
        </w:rPr>
        <w:t>ouvriers</w:t>
      </w:r>
      <w:r w:rsidR="00915550" w:rsidRPr="000915D0">
        <w:rPr>
          <w:rFonts w:ascii="Times New Roman" w:hAnsi="Times New Roman" w:cs="Times New Roman"/>
          <w:sz w:val="24"/>
          <w:szCs w:val="24"/>
        </w:rPr>
        <w:t xml:space="preserve"> n’ont ainsi jamais pu former un </w:t>
      </w:r>
      <w:r w:rsidR="008631FE" w:rsidRPr="000915D0">
        <w:rPr>
          <w:rFonts w:ascii="Times New Roman" w:hAnsi="Times New Roman" w:cs="Times New Roman"/>
          <w:sz w:val="24"/>
          <w:szCs w:val="24"/>
        </w:rPr>
        <w:t>front uni</w:t>
      </w:r>
      <w:r w:rsidR="000265F0" w:rsidRPr="000915D0">
        <w:rPr>
          <w:rFonts w:ascii="Times New Roman" w:hAnsi="Times New Roman" w:cs="Times New Roman"/>
          <w:sz w:val="24"/>
          <w:szCs w:val="24"/>
        </w:rPr>
        <w:t xml:space="preserve"> et fort</w:t>
      </w:r>
      <w:r w:rsidR="008631FE" w:rsidRPr="000915D0">
        <w:rPr>
          <w:rFonts w:ascii="Times New Roman" w:hAnsi="Times New Roman" w:cs="Times New Roman"/>
          <w:sz w:val="24"/>
          <w:szCs w:val="24"/>
        </w:rPr>
        <w:t xml:space="preserve"> en faveur d’une mobilisation pour la codétermination</w:t>
      </w:r>
      <w:r w:rsidR="000265F0" w:rsidRPr="000915D0">
        <w:rPr>
          <w:rFonts w:ascii="Times New Roman" w:hAnsi="Times New Roman" w:cs="Times New Roman"/>
          <w:sz w:val="24"/>
          <w:szCs w:val="24"/>
        </w:rPr>
        <w:t xml:space="preserve"> en France.</w:t>
      </w:r>
      <w:r w:rsidR="001B52C6" w:rsidRPr="000915D0">
        <w:rPr>
          <w:rFonts w:ascii="Times New Roman" w:hAnsi="Times New Roman" w:cs="Times New Roman"/>
          <w:sz w:val="24"/>
          <w:szCs w:val="24"/>
        </w:rPr>
        <w:t xml:space="preserve"> </w:t>
      </w:r>
      <w:r w:rsidR="00D110AF" w:rsidRPr="000915D0">
        <w:rPr>
          <w:rFonts w:ascii="Times New Roman" w:hAnsi="Times New Roman" w:cs="Times New Roman"/>
          <w:sz w:val="24"/>
          <w:szCs w:val="24"/>
        </w:rPr>
        <w:t>En conséquence</w:t>
      </w:r>
      <w:r w:rsidR="00254101" w:rsidRPr="000915D0">
        <w:rPr>
          <w:rFonts w:ascii="Times New Roman" w:hAnsi="Times New Roman" w:cs="Times New Roman"/>
          <w:sz w:val="24"/>
          <w:szCs w:val="24"/>
        </w:rPr>
        <w:t>, les idées de réforme en la matière</w:t>
      </w:r>
      <w:r w:rsidR="00D66CCB" w:rsidRPr="000915D0">
        <w:rPr>
          <w:rFonts w:ascii="Times New Roman" w:hAnsi="Times New Roman" w:cs="Times New Roman"/>
          <w:sz w:val="24"/>
          <w:szCs w:val="24"/>
        </w:rPr>
        <w:t xml:space="preserve"> n’ont pas bénéficié de l’appui d’une infrastructure </w:t>
      </w:r>
      <w:r w:rsidR="009C7099" w:rsidRPr="000915D0">
        <w:rPr>
          <w:rFonts w:ascii="Times New Roman" w:hAnsi="Times New Roman" w:cs="Times New Roman"/>
          <w:sz w:val="24"/>
          <w:szCs w:val="24"/>
        </w:rPr>
        <w:t xml:space="preserve">organisationnelle pour soutenir un éventuel </w:t>
      </w:r>
      <w:r w:rsidR="00B17CF8" w:rsidRPr="000915D0">
        <w:rPr>
          <w:rFonts w:ascii="Times New Roman" w:hAnsi="Times New Roman" w:cs="Times New Roman"/>
          <w:sz w:val="24"/>
          <w:szCs w:val="24"/>
        </w:rPr>
        <w:t>effort de mobilisation.</w:t>
      </w:r>
      <w:r w:rsidR="00337A81" w:rsidRPr="000915D0">
        <w:rPr>
          <w:rFonts w:ascii="Times New Roman" w:hAnsi="Times New Roman" w:cs="Times New Roman"/>
          <w:sz w:val="24"/>
          <w:szCs w:val="24"/>
        </w:rPr>
        <w:t xml:space="preserve"> </w:t>
      </w:r>
      <w:r w:rsidR="00FF7F71" w:rsidRPr="000915D0">
        <w:rPr>
          <w:rFonts w:ascii="Times New Roman" w:hAnsi="Times New Roman" w:cs="Times New Roman"/>
          <w:sz w:val="24"/>
          <w:szCs w:val="24"/>
        </w:rPr>
        <w:t>Du côté patronal</w:t>
      </w:r>
      <w:r w:rsidR="00D4670A" w:rsidRPr="000915D0">
        <w:rPr>
          <w:rFonts w:ascii="Times New Roman" w:hAnsi="Times New Roman" w:cs="Times New Roman"/>
          <w:sz w:val="24"/>
          <w:szCs w:val="24"/>
        </w:rPr>
        <w:t>,</w:t>
      </w:r>
      <w:r w:rsidR="000A4DE6" w:rsidRPr="000915D0">
        <w:rPr>
          <w:rFonts w:ascii="Times New Roman" w:hAnsi="Times New Roman" w:cs="Times New Roman"/>
          <w:sz w:val="24"/>
          <w:szCs w:val="24"/>
        </w:rPr>
        <w:t xml:space="preserve"> seul</w:t>
      </w:r>
      <w:r w:rsidR="00FF7F71" w:rsidRPr="000915D0">
        <w:rPr>
          <w:rFonts w:ascii="Times New Roman" w:hAnsi="Times New Roman" w:cs="Times New Roman"/>
          <w:sz w:val="24"/>
          <w:szCs w:val="24"/>
        </w:rPr>
        <w:t xml:space="preserve"> le </w:t>
      </w:r>
      <w:r w:rsidR="00D4670A" w:rsidRPr="000915D0">
        <w:rPr>
          <w:rFonts w:ascii="Times New Roman" w:hAnsi="Times New Roman" w:cs="Times New Roman"/>
          <w:sz w:val="24"/>
          <w:szCs w:val="24"/>
        </w:rPr>
        <w:t>cercle Entreprise et Progrès se singularise avec une position plutôt favorable.</w:t>
      </w:r>
      <w:r w:rsidR="002F36EF" w:rsidRPr="000915D0">
        <w:rPr>
          <w:rFonts w:ascii="Times New Roman" w:hAnsi="Times New Roman" w:cs="Times New Roman"/>
          <w:sz w:val="24"/>
          <w:szCs w:val="24"/>
        </w:rPr>
        <w:t xml:space="preserve"> </w:t>
      </w:r>
      <w:r w:rsidR="007D3D40" w:rsidRPr="000915D0">
        <w:rPr>
          <w:rFonts w:ascii="Times New Roman" w:hAnsi="Times New Roman" w:cs="Times New Roman"/>
          <w:sz w:val="24"/>
          <w:szCs w:val="24"/>
        </w:rPr>
        <w:t>Les intérêts des différents acteurs</w:t>
      </w:r>
      <w:r w:rsidR="00E37A93" w:rsidRPr="000915D0">
        <w:rPr>
          <w:rFonts w:ascii="Times New Roman" w:hAnsi="Times New Roman" w:cs="Times New Roman"/>
          <w:sz w:val="24"/>
          <w:szCs w:val="24"/>
        </w:rPr>
        <w:t xml:space="preserve"> sociaux</w:t>
      </w:r>
      <w:r w:rsidR="007D3D40" w:rsidRPr="000915D0">
        <w:rPr>
          <w:rFonts w:ascii="Times New Roman" w:hAnsi="Times New Roman" w:cs="Times New Roman"/>
          <w:sz w:val="24"/>
          <w:szCs w:val="24"/>
        </w:rPr>
        <w:t xml:space="preserve"> </w:t>
      </w:r>
      <w:r w:rsidR="00566AFB" w:rsidRPr="000915D0">
        <w:rPr>
          <w:rFonts w:ascii="Times New Roman" w:hAnsi="Times New Roman" w:cs="Times New Roman"/>
          <w:sz w:val="24"/>
          <w:szCs w:val="24"/>
        </w:rPr>
        <w:t>apparaissent donc comme fractionnés</w:t>
      </w:r>
      <w:r w:rsidR="00E37A93" w:rsidRPr="000915D0">
        <w:rPr>
          <w:rFonts w:ascii="Times New Roman" w:hAnsi="Times New Roman" w:cs="Times New Roman"/>
          <w:sz w:val="24"/>
          <w:szCs w:val="24"/>
        </w:rPr>
        <w:t>.</w:t>
      </w:r>
    </w:p>
    <w:p w14:paraId="0FC39655" w14:textId="69D1310D" w:rsidR="005A629D" w:rsidRPr="000915D0" w:rsidRDefault="001C4E1E" w:rsidP="006F2D12">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Certains réseaux ont</w:t>
      </w:r>
      <w:r w:rsidR="007E2424" w:rsidRPr="000915D0">
        <w:rPr>
          <w:rFonts w:ascii="Times New Roman" w:hAnsi="Times New Roman" w:cs="Times New Roman"/>
          <w:sz w:val="24"/>
          <w:szCs w:val="24"/>
        </w:rPr>
        <w:t xml:space="preserve"> certes</w:t>
      </w:r>
      <w:r w:rsidRPr="000915D0">
        <w:rPr>
          <w:rFonts w:ascii="Times New Roman" w:hAnsi="Times New Roman" w:cs="Times New Roman"/>
          <w:sz w:val="24"/>
          <w:szCs w:val="24"/>
        </w:rPr>
        <w:t xml:space="preserve"> fonctionné</w:t>
      </w:r>
      <w:r w:rsidR="00E37A93" w:rsidRPr="000915D0">
        <w:rPr>
          <w:rFonts w:ascii="Times New Roman" w:hAnsi="Times New Roman" w:cs="Times New Roman"/>
          <w:sz w:val="24"/>
          <w:szCs w:val="24"/>
        </w:rPr>
        <w:t>,</w:t>
      </w:r>
      <w:r w:rsidRPr="000915D0">
        <w:rPr>
          <w:rFonts w:ascii="Times New Roman" w:hAnsi="Times New Roman" w:cs="Times New Roman"/>
          <w:sz w:val="24"/>
          <w:szCs w:val="24"/>
        </w:rPr>
        <w:t xml:space="preserve"> mais sans réelle capacité à mobiliser au-delà des clivages traditionnels</w:t>
      </w:r>
      <w:r w:rsidR="00594DA5" w:rsidRPr="000915D0">
        <w:rPr>
          <w:rFonts w:ascii="Times New Roman" w:hAnsi="Times New Roman" w:cs="Times New Roman"/>
          <w:sz w:val="24"/>
          <w:szCs w:val="24"/>
        </w:rPr>
        <w:t xml:space="preserve">. </w:t>
      </w:r>
      <w:r w:rsidR="00C06901" w:rsidRPr="000915D0">
        <w:rPr>
          <w:rFonts w:ascii="Times New Roman" w:hAnsi="Times New Roman" w:cs="Times New Roman"/>
          <w:sz w:val="24"/>
          <w:szCs w:val="24"/>
        </w:rPr>
        <w:t xml:space="preserve">La codétermination a </w:t>
      </w:r>
      <w:r w:rsidR="00594DA5" w:rsidRPr="000915D0">
        <w:rPr>
          <w:rFonts w:ascii="Times New Roman" w:hAnsi="Times New Roman" w:cs="Times New Roman"/>
          <w:sz w:val="24"/>
          <w:szCs w:val="24"/>
        </w:rPr>
        <w:t>donc</w:t>
      </w:r>
      <w:r w:rsidR="00C06901" w:rsidRPr="000915D0">
        <w:rPr>
          <w:rFonts w:ascii="Times New Roman" w:hAnsi="Times New Roman" w:cs="Times New Roman"/>
          <w:sz w:val="24"/>
          <w:szCs w:val="24"/>
        </w:rPr>
        <w:t xml:space="preserve"> manqué d’une infrastructure sociale </w:t>
      </w:r>
      <w:r w:rsidR="00616AE1" w:rsidRPr="000915D0">
        <w:rPr>
          <w:rFonts w:ascii="Times New Roman" w:hAnsi="Times New Roman" w:cs="Times New Roman"/>
          <w:sz w:val="24"/>
          <w:szCs w:val="24"/>
        </w:rPr>
        <w:t>qui l’a</w:t>
      </w:r>
      <w:r w:rsidR="00135379" w:rsidRPr="000915D0">
        <w:rPr>
          <w:rFonts w:ascii="Times New Roman" w:hAnsi="Times New Roman" w:cs="Times New Roman"/>
          <w:sz w:val="24"/>
          <w:szCs w:val="24"/>
        </w:rPr>
        <w:t>urait</w:t>
      </w:r>
      <w:r w:rsidR="00616AE1" w:rsidRPr="000915D0">
        <w:rPr>
          <w:rFonts w:ascii="Times New Roman" w:hAnsi="Times New Roman" w:cs="Times New Roman"/>
          <w:sz w:val="24"/>
          <w:szCs w:val="24"/>
        </w:rPr>
        <w:t xml:space="preserve"> soutenu</w:t>
      </w:r>
      <w:r w:rsidR="00594DA5" w:rsidRPr="000915D0">
        <w:rPr>
          <w:rFonts w:ascii="Times New Roman" w:hAnsi="Times New Roman" w:cs="Times New Roman"/>
          <w:sz w:val="24"/>
          <w:szCs w:val="24"/>
        </w:rPr>
        <w:t>e</w:t>
      </w:r>
      <w:r w:rsidR="009D005E" w:rsidRPr="000915D0">
        <w:rPr>
          <w:rFonts w:ascii="Times New Roman" w:hAnsi="Times New Roman" w:cs="Times New Roman"/>
          <w:sz w:val="24"/>
          <w:szCs w:val="24"/>
        </w:rPr>
        <w:t xml:space="preserve">. Elle a </w:t>
      </w:r>
      <w:r w:rsidR="00594DA5" w:rsidRPr="000915D0">
        <w:rPr>
          <w:rFonts w:ascii="Times New Roman" w:hAnsi="Times New Roman" w:cs="Times New Roman"/>
          <w:sz w:val="24"/>
          <w:szCs w:val="24"/>
        </w:rPr>
        <w:t>toutefois</w:t>
      </w:r>
      <w:r w:rsidR="009D005E" w:rsidRPr="000915D0">
        <w:rPr>
          <w:rFonts w:ascii="Times New Roman" w:hAnsi="Times New Roman" w:cs="Times New Roman"/>
          <w:sz w:val="24"/>
          <w:szCs w:val="24"/>
        </w:rPr>
        <w:t xml:space="preserve"> pu compter sur</w:t>
      </w:r>
      <w:r w:rsidR="00616AE1" w:rsidRPr="000915D0">
        <w:rPr>
          <w:rFonts w:ascii="Times New Roman" w:hAnsi="Times New Roman" w:cs="Times New Roman"/>
          <w:sz w:val="24"/>
          <w:szCs w:val="24"/>
        </w:rPr>
        <w:t xml:space="preserve"> le soutien </w:t>
      </w:r>
      <w:r w:rsidR="00C20220" w:rsidRPr="000915D0">
        <w:rPr>
          <w:rFonts w:ascii="Times New Roman" w:hAnsi="Times New Roman" w:cs="Times New Roman"/>
          <w:sz w:val="24"/>
          <w:szCs w:val="24"/>
        </w:rPr>
        <w:t>plus ou moins direct de courants politiques</w:t>
      </w:r>
      <w:r w:rsidR="002E2CE1" w:rsidRPr="000915D0">
        <w:rPr>
          <w:rFonts w:ascii="Times New Roman" w:hAnsi="Times New Roman" w:cs="Times New Roman"/>
          <w:sz w:val="24"/>
          <w:szCs w:val="24"/>
        </w:rPr>
        <w:t xml:space="preserve"> </w:t>
      </w:r>
      <w:r w:rsidR="00B70C91" w:rsidRPr="000915D0">
        <w:rPr>
          <w:rFonts w:ascii="Times New Roman" w:hAnsi="Times New Roman" w:cs="Times New Roman"/>
          <w:sz w:val="24"/>
          <w:szCs w:val="24"/>
        </w:rPr>
        <w:t>différents</w:t>
      </w:r>
      <w:r w:rsidR="00C20220" w:rsidRPr="000915D0">
        <w:rPr>
          <w:rFonts w:ascii="Times New Roman" w:hAnsi="Times New Roman" w:cs="Times New Roman"/>
          <w:sz w:val="24"/>
          <w:szCs w:val="24"/>
        </w:rPr>
        <w:t xml:space="preserve"> dont l’influence </w:t>
      </w:r>
      <w:r w:rsidR="009D005E" w:rsidRPr="000915D0">
        <w:rPr>
          <w:rFonts w:ascii="Times New Roman" w:hAnsi="Times New Roman" w:cs="Times New Roman"/>
          <w:sz w:val="24"/>
          <w:szCs w:val="24"/>
        </w:rPr>
        <w:t>sur la vie politique française a été</w:t>
      </w:r>
      <w:r w:rsidR="00C20220" w:rsidRPr="000915D0">
        <w:rPr>
          <w:rFonts w:ascii="Times New Roman" w:hAnsi="Times New Roman" w:cs="Times New Roman"/>
          <w:sz w:val="24"/>
          <w:szCs w:val="24"/>
        </w:rPr>
        <w:t xml:space="preserve"> considérable.</w:t>
      </w:r>
      <w:r w:rsidR="002E2CE1" w:rsidRPr="000915D0">
        <w:rPr>
          <w:rFonts w:ascii="Times New Roman" w:hAnsi="Times New Roman" w:cs="Times New Roman"/>
          <w:sz w:val="24"/>
          <w:szCs w:val="24"/>
        </w:rPr>
        <w:t xml:space="preserve"> Le soutien des gaullistes sociaux </w:t>
      </w:r>
      <w:r w:rsidR="00B70C91" w:rsidRPr="000915D0">
        <w:rPr>
          <w:rFonts w:ascii="Times New Roman" w:hAnsi="Times New Roman" w:cs="Times New Roman"/>
          <w:sz w:val="24"/>
          <w:szCs w:val="24"/>
        </w:rPr>
        <w:t xml:space="preserve">a été le plus direct. </w:t>
      </w:r>
      <w:r w:rsidR="004A1E0E" w:rsidRPr="000915D0">
        <w:rPr>
          <w:rFonts w:ascii="Times New Roman" w:hAnsi="Times New Roman" w:cs="Times New Roman"/>
          <w:sz w:val="24"/>
          <w:szCs w:val="24"/>
        </w:rPr>
        <w:t>Celui</w:t>
      </w:r>
      <w:r w:rsidR="00474E5D" w:rsidRPr="000915D0">
        <w:rPr>
          <w:rFonts w:ascii="Times New Roman" w:hAnsi="Times New Roman" w:cs="Times New Roman"/>
          <w:sz w:val="24"/>
          <w:szCs w:val="24"/>
        </w:rPr>
        <w:t xml:space="preserve"> de </w:t>
      </w:r>
      <w:r w:rsidR="0014030E" w:rsidRPr="000915D0">
        <w:rPr>
          <w:rFonts w:ascii="Times New Roman" w:hAnsi="Times New Roman" w:cs="Times New Roman"/>
          <w:sz w:val="24"/>
          <w:szCs w:val="24"/>
        </w:rPr>
        <w:t xml:space="preserve">la deuxième gauche </w:t>
      </w:r>
      <w:r w:rsidR="000E6A90" w:rsidRPr="000915D0">
        <w:rPr>
          <w:rFonts w:ascii="Times New Roman" w:hAnsi="Times New Roman" w:cs="Times New Roman"/>
          <w:sz w:val="24"/>
          <w:szCs w:val="24"/>
        </w:rPr>
        <w:t xml:space="preserve">et de la CFDT </w:t>
      </w:r>
      <w:r w:rsidR="00771ECE" w:rsidRPr="000915D0">
        <w:rPr>
          <w:rFonts w:ascii="Times New Roman" w:hAnsi="Times New Roman" w:cs="Times New Roman"/>
          <w:sz w:val="24"/>
          <w:szCs w:val="24"/>
        </w:rPr>
        <w:t>a</w:t>
      </w:r>
      <w:r w:rsidR="00474E5D" w:rsidRPr="000915D0">
        <w:rPr>
          <w:rFonts w:ascii="Times New Roman" w:hAnsi="Times New Roman" w:cs="Times New Roman"/>
          <w:sz w:val="24"/>
          <w:szCs w:val="24"/>
        </w:rPr>
        <w:t xml:space="preserve"> été moins direct</w:t>
      </w:r>
      <w:r w:rsidR="000E6A90" w:rsidRPr="000915D0">
        <w:rPr>
          <w:rFonts w:ascii="Times New Roman" w:hAnsi="Times New Roman" w:cs="Times New Roman"/>
          <w:sz w:val="24"/>
          <w:szCs w:val="24"/>
        </w:rPr>
        <w:t xml:space="preserve"> car </w:t>
      </w:r>
      <w:r w:rsidR="00771ECE" w:rsidRPr="000915D0">
        <w:rPr>
          <w:rFonts w:ascii="Times New Roman" w:hAnsi="Times New Roman" w:cs="Times New Roman"/>
          <w:sz w:val="24"/>
          <w:szCs w:val="24"/>
        </w:rPr>
        <w:t>elles</w:t>
      </w:r>
      <w:r w:rsidR="000E6A90" w:rsidRPr="000915D0">
        <w:rPr>
          <w:rFonts w:ascii="Times New Roman" w:hAnsi="Times New Roman" w:cs="Times New Roman"/>
          <w:sz w:val="24"/>
          <w:szCs w:val="24"/>
        </w:rPr>
        <w:t xml:space="preserve"> </w:t>
      </w:r>
      <w:r w:rsidR="00FA7A96" w:rsidRPr="000915D0">
        <w:rPr>
          <w:rFonts w:ascii="Times New Roman" w:hAnsi="Times New Roman" w:cs="Times New Roman"/>
          <w:sz w:val="24"/>
          <w:szCs w:val="24"/>
        </w:rPr>
        <w:t>prônaient</w:t>
      </w:r>
      <w:r w:rsidR="000E6A90" w:rsidRPr="000915D0">
        <w:rPr>
          <w:rFonts w:ascii="Times New Roman" w:hAnsi="Times New Roman" w:cs="Times New Roman"/>
          <w:sz w:val="24"/>
          <w:szCs w:val="24"/>
        </w:rPr>
        <w:t xml:space="preserve"> davantage l’autogestion </w:t>
      </w:r>
      <w:r w:rsidR="00CA4C97" w:rsidRPr="000915D0">
        <w:rPr>
          <w:rFonts w:ascii="Times New Roman" w:hAnsi="Times New Roman" w:cs="Times New Roman"/>
          <w:sz w:val="24"/>
          <w:szCs w:val="24"/>
        </w:rPr>
        <w:t>jusqu’à la fin de</w:t>
      </w:r>
      <w:r w:rsidR="000E6A90" w:rsidRPr="000915D0">
        <w:rPr>
          <w:rFonts w:ascii="Times New Roman" w:hAnsi="Times New Roman" w:cs="Times New Roman"/>
          <w:sz w:val="24"/>
          <w:szCs w:val="24"/>
        </w:rPr>
        <w:t>s années 1970</w:t>
      </w:r>
      <w:r w:rsidR="00FA7A96" w:rsidRPr="000915D0">
        <w:rPr>
          <w:rFonts w:ascii="Times New Roman" w:hAnsi="Times New Roman" w:cs="Times New Roman"/>
          <w:sz w:val="24"/>
          <w:szCs w:val="24"/>
        </w:rPr>
        <w:t xml:space="preserve">. </w:t>
      </w:r>
      <w:r w:rsidR="00190409" w:rsidRPr="000915D0">
        <w:rPr>
          <w:rFonts w:ascii="Times New Roman" w:hAnsi="Times New Roman" w:cs="Times New Roman"/>
          <w:sz w:val="24"/>
          <w:szCs w:val="24"/>
        </w:rPr>
        <w:t xml:space="preserve">La CFDT soutient toujours </w:t>
      </w:r>
      <w:r w:rsidR="00966CB1" w:rsidRPr="000915D0">
        <w:rPr>
          <w:rFonts w:ascii="Times New Roman" w:hAnsi="Times New Roman" w:cs="Times New Roman"/>
          <w:sz w:val="24"/>
          <w:szCs w:val="24"/>
        </w:rPr>
        <w:t>une</w:t>
      </w:r>
      <w:r w:rsidR="00190409" w:rsidRPr="000915D0">
        <w:rPr>
          <w:rFonts w:ascii="Times New Roman" w:hAnsi="Times New Roman" w:cs="Times New Roman"/>
          <w:sz w:val="24"/>
          <w:szCs w:val="24"/>
        </w:rPr>
        <w:t xml:space="preserve"> codétermination </w:t>
      </w:r>
      <w:r w:rsidR="00966CB1" w:rsidRPr="000915D0">
        <w:rPr>
          <w:rFonts w:ascii="Times New Roman" w:hAnsi="Times New Roman" w:cs="Times New Roman"/>
          <w:sz w:val="24"/>
          <w:szCs w:val="24"/>
        </w:rPr>
        <w:t xml:space="preserve">proche du modèle allemand. </w:t>
      </w:r>
      <w:r w:rsidR="00816150" w:rsidRPr="000915D0">
        <w:rPr>
          <w:rFonts w:ascii="Times New Roman" w:hAnsi="Times New Roman" w:cs="Times New Roman"/>
          <w:sz w:val="24"/>
          <w:szCs w:val="24"/>
        </w:rPr>
        <w:t xml:space="preserve">Enfin, </w:t>
      </w:r>
      <w:r w:rsidR="0015500B" w:rsidRPr="000915D0">
        <w:rPr>
          <w:rFonts w:ascii="Times New Roman" w:hAnsi="Times New Roman" w:cs="Times New Roman"/>
          <w:sz w:val="24"/>
          <w:szCs w:val="24"/>
        </w:rPr>
        <w:t xml:space="preserve">après avoir créé le comité </w:t>
      </w:r>
      <w:r w:rsidR="00877129" w:rsidRPr="000915D0">
        <w:rPr>
          <w:rFonts w:ascii="Times New Roman" w:hAnsi="Times New Roman" w:cs="Times New Roman"/>
          <w:sz w:val="24"/>
          <w:szCs w:val="24"/>
        </w:rPr>
        <w:t>pour la réforme de l’entreprise</w:t>
      </w:r>
      <w:r w:rsidR="0015500B" w:rsidRPr="000915D0">
        <w:rPr>
          <w:rFonts w:ascii="Times New Roman" w:hAnsi="Times New Roman" w:cs="Times New Roman"/>
          <w:sz w:val="24"/>
          <w:szCs w:val="24"/>
        </w:rPr>
        <w:t xml:space="preserve">, </w:t>
      </w:r>
      <w:r w:rsidR="00816150" w:rsidRPr="000915D0">
        <w:rPr>
          <w:rFonts w:ascii="Times New Roman" w:hAnsi="Times New Roman" w:cs="Times New Roman"/>
          <w:sz w:val="24"/>
          <w:szCs w:val="24"/>
        </w:rPr>
        <w:t xml:space="preserve">les centristes n’ont pas </w:t>
      </w:r>
      <w:r w:rsidR="0056213F" w:rsidRPr="000915D0">
        <w:rPr>
          <w:rFonts w:ascii="Times New Roman" w:hAnsi="Times New Roman" w:cs="Times New Roman"/>
          <w:sz w:val="24"/>
          <w:szCs w:val="24"/>
        </w:rPr>
        <w:t>été en mesure ou n’ont pas souhaité mettre</w:t>
      </w:r>
      <w:r w:rsidR="00594DA5" w:rsidRPr="000915D0">
        <w:rPr>
          <w:rFonts w:ascii="Times New Roman" w:hAnsi="Times New Roman" w:cs="Times New Roman"/>
          <w:sz w:val="24"/>
          <w:szCs w:val="24"/>
        </w:rPr>
        <w:t xml:space="preserve"> en œuvre </w:t>
      </w:r>
      <w:r w:rsidR="00DC5010" w:rsidRPr="000915D0">
        <w:rPr>
          <w:rFonts w:ascii="Times New Roman" w:hAnsi="Times New Roman" w:cs="Times New Roman"/>
          <w:sz w:val="24"/>
          <w:szCs w:val="24"/>
        </w:rPr>
        <w:t>la cosurveillance</w:t>
      </w:r>
      <w:r w:rsidR="0056213F" w:rsidRPr="000915D0">
        <w:rPr>
          <w:rFonts w:ascii="Times New Roman" w:hAnsi="Times New Roman" w:cs="Times New Roman"/>
          <w:sz w:val="24"/>
          <w:szCs w:val="24"/>
        </w:rPr>
        <w:t xml:space="preserve"> qui soulevai</w:t>
      </w:r>
      <w:r w:rsidR="00DC5010" w:rsidRPr="000915D0">
        <w:rPr>
          <w:rFonts w:ascii="Times New Roman" w:hAnsi="Times New Roman" w:cs="Times New Roman"/>
          <w:sz w:val="24"/>
          <w:szCs w:val="24"/>
        </w:rPr>
        <w:t>t</w:t>
      </w:r>
      <w:r w:rsidR="0056213F" w:rsidRPr="000915D0">
        <w:rPr>
          <w:rFonts w:ascii="Times New Roman" w:hAnsi="Times New Roman" w:cs="Times New Roman"/>
          <w:sz w:val="24"/>
          <w:szCs w:val="24"/>
        </w:rPr>
        <w:t xml:space="preserve"> l’</w:t>
      </w:r>
      <w:r w:rsidR="00DC5010" w:rsidRPr="000915D0">
        <w:rPr>
          <w:rFonts w:ascii="Times New Roman" w:hAnsi="Times New Roman" w:cs="Times New Roman"/>
          <w:sz w:val="24"/>
          <w:szCs w:val="24"/>
        </w:rPr>
        <w:t>opposition de la majorité du patronat et des syndicats</w:t>
      </w:r>
      <w:r w:rsidR="00594DA5" w:rsidRPr="000915D0">
        <w:rPr>
          <w:rFonts w:ascii="Times New Roman" w:hAnsi="Times New Roman" w:cs="Times New Roman"/>
          <w:sz w:val="24"/>
          <w:szCs w:val="24"/>
        </w:rPr>
        <w:t>.</w:t>
      </w:r>
      <w:r w:rsidR="009E1009" w:rsidRPr="000915D0">
        <w:rPr>
          <w:rFonts w:ascii="Times New Roman" w:hAnsi="Times New Roman" w:cs="Times New Roman"/>
          <w:sz w:val="24"/>
          <w:szCs w:val="24"/>
        </w:rPr>
        <w:t xml:space="preserve"> </w:t>
      </w:r>
      <w:r w:rsidR="001C1E0F" w:rsidRPr="000915D0">
        <w:rPr>
          <w:rFonts w:ascii="Times New Roman" w:hAnsi="Times New Roman" w:cs="Times New Roman"/>
          <w:sz w:val="24"/>
          <w:szCs w:val="24"/>
        </w:rPr>
        <w:t xml:space="preserve">Le </w:t>
      </w:r>
      <w:r w:rsidR="004719C8" w:rsidRPr="000915D0">
        <w:rPr>
          <w:rFonts w:ascii="Times New Roman" w:hAnsi="Times New Roman" w:cs="Times New Roman"/>
          <w:sz w:val="24"/>
          <w:szCs w:val="24"/>
        </w:rPr>
        <w:t>comité</w:t>
      </w:r>
      <w:r w:rsidR="001C1E0F" w:rsidRPr="000915D0">
        <w:rPr>
          <w:rFonts w:ascii="Times New Roman" w:hAnsi="Times New Roman" w:cs="Times New Roman"/>
          <w:sz w:val="24"/>
          <w:szCs w:val="24"/>
        </w:rPr>
        <w:t xml:space="preserve"> Sudreau avait pourtant réuni des personnalités issues d</w:t>
      </w:r>
      <w:r w:rsidR="004719C8" w:rsidRPr="000915D0">
        <w:rPr>
          <w:rFonts w:ascii="Times New Roman" w:hAnsi="Times New Roman" w:cs="Times New Roman"/>
          <w:sz w:val="24"/>
          <w:szCs w:val="24"/>
        </w:rPr>
        <w:t>e la majorité des partenaires sociaux</w:t>
      </w:r>
      <w:r w:rsidR="00C05C6F" w:rsidRPr="000915D0">
        <w:rPr>
          <w:rFonts w:ascii="Times New Roman" w:hAnsi="Times New Roman" w:cs="Times New Roman"/>
          <w:sz w:val="24"/>
          <w:szCs w:val="24"/>
        </w:rPr>
        <w:t>. Mais elles</w:t>
      </w:r>
      <w:r w:rsidR="002F2F2F" w:rsidRPr="000915D0">
        <w:rPr>
          <w:rFonts w:ascii="Times New Roman" w:hAnsi="Times New Roman" w:cs="Times New Roman"/>
          <w:sz w:val="24"/>
          <w:szCs w:val="24"/>
        </w:rPr>
        <w:t xml:space="preserve"> n’avai</w:t>
      </w:r>
      <w:r w:rsidR="00EE5C03" w:rsidRPr="000915D0">
        <w:rPr>
          <w:rFonts w:ascii="Times New Roman" w:hAnsi="Times New Roman" w:cs="Times New Roman"/>
          <w:sz w:val="24"/>
          <w:szCs w:val="24"/>
        </w:rPr>
        <w:t>en</w:t>
      </w:r>
      <w:r w:rsidR="002F2F2F" w:rsidRPr="000915D0">
        <w:rPr>
          <w:rFonts w:ascii="Times New Roman" w:hAnsi="Times New Roman" w:cs="Times New Roman"/>
          <w:sz w:val="24"/>
          <w:szCs w:val="24"/>
        </w:rPr>
        <w:t>t pas mandat pour engager leurs organisations</w:t>
      </w:r>
      <w:r w:rsidR="00C15D85" w:rsidRPr="000915D0">
        <w:rPr>
          <w:rFonts w:ascii="Times New Roman" w:hAnsi="Times New Roman" w:cs="Times New Roman"/>
          <w:sz w:val="24"/>
          <w:szCs w:val="24"/>
        </w:rPr>
        <w:t xml:space="preserve"> et le manque de portage politique par une majorité à l’Assemblée se fit criant. </w:t>
      </w:r>
    </w:p>
    <w:p w14:paraId="1BAB6A33" w14:textId="17D58D7D" w:rsidR="008B6FF5" w:rsidRPr="000915D0" w:rsidRDefault="0091782A" w:rsidP="00162ECC">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lastRenderedPageBreak/>
        <w:t>Historiquement, i</w:t>
      </w:r>
      <w:r w:rsidR="0034456B" w:rsidRPr="000915D0">
        <w:rPr>
          <w:rFonts w:ascii="Times New Roman" w:hAnsi="Times New Roman" w:cs="Times New Roman"/>
          <w:sz w:val="24"/>
          <w:szCs w:val="24"/>
        </w:rPr>
        <w:t>l n’y a pas eu de véritable</w:t>
      </w:r>
      <w:r w:rsidR="00724BD1" w:rsidRPr="000915D0">
        <w:rPr>
          <w:rFonts w:ascii="Times New Roman" w:hAnsi="Times New Roman" w:cs="Times New Roman"/>
          <w:sz w:val="24"/>
          <w:szCs w:val="24"/>
        </w:rPr>
        <w:t xml:space="preserve"> mobilisation</w:t>
      </w:r>
      <w:r w:rsidR="000B1DD1" w:rsidRPr="000915D0">
        <w:rPr>
          <w:rFonts w:ascii="Times New Roman" w:hAnsi="Times New Roman" w:cs="Times New Roman"/>
          <w:sz w:val="24"/>
          <w:szCs w:val="24"/>
        </w:rPr>
        <w:t xml:space="preserve"> </w:t>
      </w:r>
      <w:r w:rsidRPr="000915D0">
        <w:rPr>
          <w:rFonts w:ascii="Times New Roman" w:hAnsi="Times New Roman" w:cs="Times New Roman"/>
          <w:sz w:val="24"/>
          <w:szCs w:val="24"/>
        </w:rPr>
        <w:t>en France,</w:t>
      </w:r>
      <w:r w:rsidR="00724BD1" w:rsidRPr="000915D0">
        <w:rPr>
          <w:rFonts w:ascii="Times New Roman" w:hAnsi="Times New Roman" w:cs="Times New Roman"/>
          <w:sz w:val="24"/>
          <w:szCs w:val="24"/>
        </w:rPr>
        <w:t xml:space="preserve"> </w:t>
      </w:r>
      <w:r w:rsidR="00FE386F" w:rsidRPr="000915D0">
        <w:rPr>
          <w:rFonts w:ascii="Times New Roman" w:hAnsi="Times New Roman" w:cs="Times New Roman"/>
          <w:sz w:val="24"/>
          <w:szCs w:val="24"/>
        </w:rPr>
        <w:t>faute d</w:t>
      </w:r>
      <w:r w:rsidR="00DB1AA3" w:rsidRPr="000915D0">
        <w:rPr>
          <w:rFonts w:ascii="Times New Roman" w:hAnsi="Times New Roman" w:cs="Times New Roman"/>
          <w:sz w:val="24"/>
          <w:szCs w:val="24"/>
        </w:rPr>
        <w:t>’un</w:t>
      </w:r>
      <w:r w:rsidR="00724BD1" w:rsidRPr="000915D0">
        <w:rPr>
          <w:rFonts w:ascii="Times New Roman" w:hAnsi="Times New Roman" w:cs="Times New Roman"/>
          <w:sz w:val="24"/>
          <w:szCs w:val="24"/>
        </w:rPr>
        <w:t xml:space="preserve"> </w:t>
      </w:r>
      <w:r w:rsidR="00B24324" w:rsidRPr="000915D0">
        <w:rPr>
          <w:rFonts w:ascii="Times New Roman" w:hAnsi="Times New Roman" w:cs="Times New Roman"/>
          <w:i/>
          <w:iCs/>
          <w:sz w:val="24"/>
          <w:szCs w:val="24"/>
        </w:rPr>
        <w:t>leader</w:t>
      </w:r>
      <w:r w:rsidR="00B24324" w:rsidRPr="000915D0">
        <w:rPr>
          <w:rFonts w:ascii="Times New Roman" w:hAnsi="Times New Roman" w:cs="Times New Roman"/>
          <w:sz w:val="24"/>
          <w:szCs w:val="24"/>
        </w:rPr>
        <w:t xml:space="preserve"> charismatique</w:t>
      </w:r>
      <w:r w:rsidRPr="000915D0">
        <w:rPr>
          <w:rFonts w:ascii="Times New Roman" w:hAnsi="Times New Roman" w:cs="Times New Roman"/>
          <w:sz w:val="24"/>
          <w:szCs w:val="24"/>
        </w:rPr>
        <w:t>,</w:t>
      </w:r>
      <w:r w:rsidR="00B24324" w:rsidRPr="000915D0">
        <w:rPr>
          <w:rFonts w:ascii="Times New Roman" w:hAnsi="Times New Roman" w:cs="Times New Roman"/>
          <w:sz w:val="24"/>
          <w:szCs w:val="24"/>
        </w:rPr>
        <w:t xml:space="preserve"> </w:t>
      </w:r>
      <w:r w:rsidR="00724BD1" w:rsidRPr="000915D0">
        <w:rPr>
          <w:rFonts w:ascii="Times New Roman" w:hAnsi="Times New Roman" w:cs="Times New Roman"/>
          <w:sz w:val="24"/>
          <w:szCs w:val="24"/>
        </w:rPr>
        <w:t>politique ou syndical</w:t>
      </w:r>
      <w:r w:rsidRPr="000915D0">
        <w:rPr>
          <w:rFonts w:ascii="Times New Roman" w:hAnsi="Times New Roman" w:cs="Times New Roman"/>
          <w:sz w:val="24"/>
          <w:szCs w:val="24"/>
        </w:rPr>
        <w:t>,</w:t>
      </w:r>
      <w:r w:rsidR="00724BD1" w:rsidRPr="000915D0">
        <w:rPr>
          <w:rFonts w:ascii="Times New Roman" w:hAnsi="Times New Roman" w:cs="Times New Roman"/>
          <w:sz w:val="24"/>
          <w:szCs w:val="24"/>
        </w:rPr>
        <w:t xml:space="preserve"> </w:t>
      </w:r>
      <w:r w:rsidR="005F00F5" w:rsidRPr="000915D0">
        <w:rPr>
          <w:rFonts w:ascii="Times New Roman" w:hAnsi="Times New Roman" w:cs="Times New Roman"/>
          <w:sz w:val="24"/>
          <w:szCs w:val="24"/>
        </w:rPr>
        <w:t>qui</w:t>
      </w:r>
      <w:r w:rsidR="0076635D" w:rsidRPr="000915D0">
        <w:rPr>
          <w:rFonts w:ascii="Times New Roman" w:hAnsi="Times New Roman" w:cs="Times New Roman"/>
          <w:sz w:val="24"/>
          <w:szCs w:val="24"/>
        </w:rPr>
        <w:t xml:space="preserve">, </w:t>
      </w:r>
      <w:r w:rsidR="002D5284" w:rsidRPr="000915D0">
        <w:rPr>
          <w:rFonts w:ascii="Times New Roman" w:hAnsi="Times New Roman" w:cs="Times New Roman"/>
          <w:sz w:val="24"/>
          <w:szCs w:val="24"/>
        </w:rPr>
        <w:t>avec l’appui</w:t>
      </w:r>
      <w:r w:rsidR="004B2032" w:rsidRPr="000915D0">
        <w:rPr>
          <w:rFonts w:ascii="Times New Roman" w:hAnsi="Times New Roman" w:cs="Times New Roman"/>
          <w:sz w:val="24"/>
          <w:szCs w:val="24"/>
        </w:rPr>
        <w:t xml:space="preserve"> </w:t>
      </w:r>
      <w:r w:rsidR="002D5284" w:rsidRPr="000915D0">
        <w:rPr>
          <w:rFonts w:ascii="Times New Roman" w:hAnsi="Times New Roman" w:cs="Times New Roman"/>
          <w:sz w:val="24"/>
          <w:szCs w:val="24"/>
        </w:rPr>
        <w:t xml:space="preserve">d’une </w:t>
      </w:r>
      <w:r w:rsidR="004B2032" w:rsidRPr="000915D0">
        <w:rPr>
          <w:rFonts w:ascii="Times New Roman" w:hAnsi="Times New Roman" w:cs="Times New Roman"/>
          <w:sz w:val="24"/>
          <w:szCs w:val="24"/>
        </w:rPr>
        <w:t>organisation</w:t>
      </w:r>
      <w:r w:rsidR="0076635D" w:rsidRPr="000915D0">
        <w:rPr>
          <w:rFonts w:ascii="Times New Roman" w:hAnsi="Times New Roman" w:cs="Times New Roman"/>
          <w:sz w:val="24"/>
          <w:szCs w:val="24"/>
        </w:rPr>
        <w:t xml:space="preserve"> forte</w:t>
      </w:r>
      <w:r w:rsidR="002D5284" w:rsidRPr="000915D0">
        <w:rPr>
          <w:rFonts w:ascii="Times New Roman" w:hAnsi="Times New Roman" w:cs="Times New Roman"/>
          <w:sz w:val="24"/>
          <w:szCs w:val="24"/>
        </w:rPr>
        <w:t xml:space="preserve"> et </w:t>
      </w:r>
      <w:r w:rsidR="0076635D" w:rsidRPr="000915D0">
        <w:rPr>
          <w:rFonts w:ascii="Times New Roman" w:hAnsi="Times New Roman" w:cs="Times New Roman"/>
          <w:sz w:val="24"/>
          <w:szCs w:val="24"/>
        </w:rPr>
        <w:t>s</w:t>
      </w:r>
      <w:r w:rsidR="002D5284" w:rsidRPr="000915D0">
        <w:rPr>
          <w:rFonts w:ascii="Times New Roman" w:hAnsi="Times New Roman" w:cs="Times New Roman"/>
          <w:sz w:val="24"/>
          <w:szCs w:val="24"/>
        </w:rPr>
        <w:t>es réseaux sociaux</w:t>
      </w:r>
      <w:r w:rsidR="00015234" w:rsidRPr="000915D0">
        <w:rPr>
          <w:rFonts w:ascii="Times New Roman" w:hAnsi="Times New Roman" w:cs="Times New Roman"/>
          <w:sz w:val="24"/>
          <w:szCs w:val="24"/>
        </w:rPr>
        <w:t>,</w:t>
      </w:r>
      <w:r w:rsidR="002D5284" w:rsidRPr="000915D0">
        <w:rPr>
          <w:rFonts w:ascii="Times New Roman" w:hAnsi="Times New Roman" w:cs="Times New Roman"/>
          <w:sz w:val="24"/>
          <w:szCs w:val="24"/>
        </w:rPr>
        <w:t xml:space="preserve"> aurait p</w:t>
      </w:r>
      <w:r w:rsidR="00015234" w:rsidRPr="000915D0">
        <w:rPr>
          <w:rFonts w:ascii="Times New Roman" w:hAnsi="Times New Roman" w:cs="Times New Roman"/>
          <w:sz w:val="24"/>
          <w:szCs w:val="24"/>
        </w:rPr>
        <w:t xml:space="preserve">u construire </w:t>
      </w:r>
      <w:r w:rsidR="0054309C" w:rsidRPr="000915D0">
        <w:rPr>
          <w:rFonts w:ascii="Times New Roman" w:hAnsi="Times New Roman" w:cs="Times New Roman"/>
          <w:sz w:val="24"/>
          <w:szCs w:val="24"/>
        </w:rPr>
        <w:t xml:space="preserve">un consensus </w:t>
      </w:r>
      <w:r w:rsidR="0059538B" w:rsidRPr="000915D0">
        <w:rPr>
          <w:rFonts w:ascii="Times New Roman" w:hAnsi="Times New Roman" w:cs="Times New Roman"/>
          <w:sz w:val="24"/>
          <w:szCs w:val="24"/>
        </w:rPr>
        <w:t>fondé sur un</w:t>
      </w:r>
      <w:r w:rsidR="00847553" w:rsidRPr="000915D0">
        <w:rPr>
          <w:rFonts w:ascii="Times New Roman" w:hAnsi="Times New Roman" w:cs="Times New Roman"/>
          <w:sz w:val="24"/>
          <w:szCs w:val="24"/>
        </w:rPr>
        <w:t xml:space="preserve"> discours </w:t>
      </w:r>
      <w:r w:rsidR="00D82D58" w:rsidRPr="000915D0">
        <w:rPr>
          <w:rFonts w:ascii="Times New Roman" w:hAnsi="Times New Roman" w:cs="Times New Roman"/>
          <w:sz w:val="24"/>
          <w:szCs w:val="24"/>
        </w:rPr>
        <w:t>démontrant</w:t>
      </w:r>
      <w:r w:rsidR="0054309C" w:rsidRPr="000915D0">
        <w:rPr>
          <w:rFonts w:ascii="Times New Roman" w:hAnsi="Times New Roman" w:cs="Times New Roman"/>
          <w:sz w:val="24"/>
          <w:szCs w:val="24"/>
        </w:rPr>
        <w:t xml:space="preserve"> </w:t>
      </w:r>
      <w:r w:rsidR="00D82D58" w:rsidRPr="000915D0">
        <w:rPr>
          <w:rFonts w:ascii="Times New Roman" w:hAnsi="Times New Roman" w:cs="Times New Roman"/>
          <w:sz w:val="24"/>
          <w:szCs w:val="24"/>
        </w:rPr>
        <w:t xml:space="preserve">l’existence d’un </w:t>
      </w:r>
      <w:r w:rsidR="0054309C" w:rsidRPr="000915D0">
        <w:rPr>
          <w:rFonts w:ascii="Times New Roman" w:hAnsi="Times New Roman" w:cs="Times New Roman"/>
          <w:sz w:val="24"/>
          <w:szCs w:val="24"/>
        </w:rPr>
        <w:t xml:space="preserve">intérêt largement </w:t>
      </w:r>
      <w:r w:rsidR="001136F1" w:rsidRPr="000915D0">
        <w:rPr>
          <w:rFonts w:ascii="Times New Roman" w:hAnsi="Times New Roman" w:cs="Times New Roman"/>
          <w:sz w:val="24"/>
          <w:szCs w:val="24"/>
        </w:rPr>
        <w:t>partagé</w:t>
      </w:r>
      <w:r w:rsidR="004B2032" w:rsidRPr="000915D0">
        <w:rPr>
          <w:rFonts w:ascii="Times New Roman" w:hAnsi="Times New Roman" w:cs="Times New Roman"/>
          <w:sz w:val="24"/>
          <w:szCs w:val="24"/>
        </w:rPr>
        <w:t>. L</w:t>
      </w:r>
      <w:r w:rsidR="00C24D4F" w:rsidRPr="000915D0">
        <w:rPr>
          <w:rFonts w:ascii="Times New Roman" w:hAnsi="Times New Roman" w:cs="Times New Roman"/>
          <w:sz w:val="24"/>
          <w:szCs w:val="24"/>
        </w:rPr>
        <w:t xml:space="preserve">es propositions </w:t>
      </w:r>
      <w:r w:rsidR="004B2032" w:rsidRPr="000915D0">
        <w:rPr>
          <w:rFonts w:ascii="Times New Roman" w:hAnsi="Times New Roman" w:cs="Times New Roman"/>
          <w:sz w:val="24"/>
          <w:szCs w:val="24"/>
        </w:rPr>
        <w:t>du courant de</w:t>
      </w:r>
      <w:r w:rsidR="00C24D4F" w:rsidRPr="000915D0">
        <w:rPr>
          <w:rFonts w:ascii="Times New Roman" w:hAnsi="Times New Roman" w:cs="Times New Roman"/>
          <w:sz w:val="24"/>
          <w:szCs w:val="24"/>
        </w:rPr>
        <w:t xml:space="preserve"> la </w:t>
      </w:r>
      <w:r w:rsidR="004B2032" w:rsidRPr="000915D0">
        <w:rPr>
          <w:rFonts w:ascii="Times New Roman" w:hAnsi="Times New Roman" w:cs="Times New Roman"/>
          <w:sz w:val="24"/>
          <w:szCs w:val="24"/>
        </w:rPr>
        <w:t>r</w:t>
      </w:r>
      <w:r w:rsidR="00C24D4F" w:rsidRPr="000915D0">
        <w:rPr>
          <w:rFonts w:ascii="Times New Roman" w:hAnsi="Times New Roman" w:cs="Times New Roman"/>
          <w:sz w:val="24"/>
          <w:szCs w:val="24"/>
        </w:rPr>
        <w:t>éforme de l’entreprise éman</w:t>
      </w:r>
      <w:r w:rsidR="003112B8" w:rsidRPr="000915D0">
        <w:rPr>
          <w:rFonts w:ascii="Times New Roman" w:hAnsi="Times New Roman" w:cs="Times New Roman"/>
          <w:sz w:val="24"/>
          <w:szCs w:val="24"/>
        </w:rPr>
        <w:t>aie</w:t>
      </w:r>
      <w:r w:rsidR="00C24D4F" w:rsidRPr="000915D0">
        <w:rPr>
          <w:rFonts w:ascii="Times New Roman" w:hAnsi="Times New Roman" w:cs="Times New Roman"/>
          <w:sz w:val="24"/>
          <w:szCs w:val="24"/>
        </w:rPr>
        <w:t>nt</w:t>
      </w:r>
      <w:r w:rsidR="003112B8" w:rsidRPr="000915D0">
        <w:rPr>
          <w:rFonts w:ascii="Times New Roman" w:hAnsi="Times New Roman" w:cs="Times New Roman"/>
          <w:sz w:val="24"/>
          <w:szCs w:val="24"/>
        </w:rPr>
        <w:t>, au contraire,</w:t>
      </w:r>
      <w:r w:rsidR="00C24D4F" w:rsidRPr="000915D0">
        <w:rPr>
          <w:rFonts w:ascii="Times New Roman" w:hAnsi="Times New Roman" w:cs="Times New Roman"/>
          <w:sz w:val="24"/>
          <w:szCs w:val="24"/>
        </w:rPr>
        <w:t xml:space="preserve"> souvent d’individus se situant à la marge de leur parti ou de leur organisation. Cela </w:t>
      </w:r>
      <w:r w:rsidR="00174C6F" w:rsidRPr="000915D0">
        <w:rPr>
          <w:rFonts w:ascii="Times New Roman" w:hAnsi="Times New Roman" w:cs="Times New Roman"/>
          <w:sz w:val="24"/>
          <w:szCs w:val="24"/>
        </w:rPr>
        <w:t xml:space="preserve">a </w:t>
      </w:r>
      <w:r w:rsidR="00C24D4F" w:rsidRPr="000915D0">
        <w:rPr>
          <w:rFonts w:ascii="Times New Roman" w:hAnsi="Times New Roman" w:cs="Times New Roman"/>
          <w:sz w:val="24"/>
          <w:szCs w:val="24"/>
        </w:rPr>
        <w:t>constitu</w:t>
      </w:r>
      <w:r w:rsidR="00174C6F" w:rsidRPr="000915D0">
        <w:rPr>
          <w:rFonts w:ascii="Times New Roman" w:hAnsi="Times New Roman" w:cs="Times New Roman"/>
          <w:sz w:val="24"/>
          <w:szCs w:val="24"/>
        </w:rPr>
        <w:t>é</w:t>
      </w:r>
      <w:r w:rsidR="00C24D4F" w:rsidRPr="000915D0">
        <w:rPr>
          <w:rFonts w:ascii="Times New Roman" w:hAnsi="Times New Roman" w:cs="Times New Roman"/>
          <w:sz w:val="24"/>
          <w:szCs w:val="24"/>
        </w:rPr>
        <w:t xml:space="preserve"> un handicap dans la diffusion de leurs idées et de leurs propositions.</w:t>
      </w:r>
      <w:r w:rsidR="00174C6F" w:rsidRPr="000915D0">
        <w:rPr>
          <w:rFonts w:ascii="Times New Roman" w:hAnsi="Times New Roman" w:cs="Times New Roman"/>
          <w:sz w:val="24"/>
          <w:szCs w:val="24"/>
        </w:rPr>
        <w:t xml:space="preserve"> </w:t>
      </w:r>
      <w:r w:rsidR="00F273DD" w:rsidRPr="000915D0">
        <w:rPr>
          <w:rFonts w:ascii="Times New Roman" w:hAnsi="Times New Roman" w:cs="Times New Roman"/>
          <w:sz w:val="24"/>
          <w:szCs w:val="24"/>
        </w:rPr>
        <w:t>L</w:t>
      </w:r>
      <w:r w:rsidR="006C3EA3" w:rsidRPr="000915D0">
        <w:rPr>
          <w:rFonts w:ascii="Times New Roman" w:hAnsi="Times New Roman" w:cs="Times New Roman"/>
          <w:sz w:val="24"/>
          <w:szCs w:val="24"/>
        </w:rPr>
        <w:t>es différents porteurs des réformes de l’entreprise évolu</w:t>
      </w:r>
      <w:r w:rsidR="0068414C" w:rsidRPr="000915D0">
        <w:rPr>
          <w:rFonts w:ascii="Times New Roman" w:hAnsi="Times New Roman" w:cs="Times New Roman"/>
          <w:sz w:val="24"/>
          <w:szCs w:val="24"/>
        </w:rPr>
        <w:t>ai</w:t>
      </w:r>
      <w:r w:rsidR="006C3EA3" w:rsidRPr="000915D0">
        <w:rPr>
          <w:rFonts w:ascii="Times New Roman" w:hAnsi="Times New Roman" w:cs="Times New Roman"/>
          <w:sz w:val="24"/>
          <w:szCs w:val="24"/>
        </w:rPr>
        <w:t xml:space="preserve">ent au sein d’une aile de leur formation syndicale ou politique </w:t>
      </w:r>
      <w:r w:rsidR="00F273DD" w:rsidRPr="000915D0">
        <w:rPr>
          <w:rFonts w:ascii="Times New Roman" w:hAnsi="Times New Roman" w:cs="Times New Roman"/>
          <w:sz w:val="24"/>
          <w:szCs w:val="24"/>
        </w:rPr>
        <w:t xml:space="preserve">et y </w:t>
      </w:r>
      <w:r w:rsidR="00187AA6" w:rsidRPr="000915D0">
        <w:rPr>
          <w:rFonts w:ascii="Times New Roman" w:hAnsi="Times New Roman" w:cs="Times New Roman"/>
          <w:sz w:val="24"/>
          <w:szCs w:val="24"/>
        </w:rPr>
        <w:t>étaient</w:t>
      </w:r>
      <w:r w:rsidR="00F273DD" w:rsidRPr="000915D0">
        <w:rPr>
          <w:rFonts w:ascii="Times New Roman" w:hAnsi="Times New Roman" w:cs="Times New Roman"/>
          <w:sz w:val="24"/>
          <w:szCs w:val="24"/>
        </w:rPr>
        <w:t xml:space="preserve"> parfois</w:t>
      </w:r>
      <w:r w:rsidR="006C3EA3" w:rsidRPr="000915D0">
        <w:rPr>
          <w:rFonts w:ascii="Times New Roman" w:hAnsi="Times New Roman" w:cs="Times New Roman"/>
          <w:sz w:val="24"/>
          <w:szCs w:val="24"/>
        </w:rPr>
        <w:t xml:space="preserve"> marginalisés. Bacon</w:t>
      </w:r>
      <w:r w:rsidR="00187AA6" w:rsidRPr="000915D0">
        <w:rPr>
          <w:rFonts w:ascii="Times New Roman" w:hAnsi="Times New Roman" w:cs="Times New Roman"/>
          <w:sz w:val="24"/>
          <w:szCs w:val="24"/>
        </w:rPr>
        <w:t>, par exemple,</w:t>
      </w:r>
      <w:r w:rsidR="006C3EA3" w:rsidRPr="000915D0">
        <w:rPr>
          <w:rFonts w:ascii="Times New Roman" w:hAnsi="Times New Roman" w:cs="Times New Roman"/>
          <w:sz w:val="24"/>
          <w:szCs w:val="24"/>
        </w:rPr>
        <w:t xml:space="preserve"> ne représente qu’une fraction du MRP</w:t>
      </w:r>
      <w:r w:rsidR="008B06DB" w:rsidRPr="000915D0">
        <w:rPr>
          <w:rFonts w:ascii="Times New Roman" w:hAnsi="Times New Roman" w:cs="Times New Roman"/>
          <w:sz w:val="24"/>
          <w:szCs w:val="24"/>
        </w:rPr>
        <w:t xml:space="preserve"> en dépit de </w:t>
      </w:r>
      <w:r w:rsidR="006C3EA3" w:rsidRPr="000915D0">
        <w:rPr>
          <w:rFonts w:ascii="Times New Roman" w:hAnsi="Times New Roman" w:cs="Times New Roman"/>
          <w:sz w:val="24"/>
          <w:szCs w:val="24"/>
        </w:rPr>
        <w:t>sa double qualité de syndicaliste et d’homme politique</w:t>
      </w:r>
      <w:r w:rsidR="008B06DB" w:rsidRPr="000915D0">
        <w:rPr>
          <w:rFonts w:ascii="Times New Roman" w:hAnsi="Times New Roman" w:cs="Times New Roman"/>
          <w:sz w:val="24"/>
          <w:szCs w:val="24"/>
        </w:rPr>
        <w:t>.</w:t>
      </w:r>
      <w:r w:rsidR="006C3EA3" w:rsidRPr="000915D0">
        <w:rPr>
          <w:rFonts w:ascii="Times New Roman" w:hAnsi="Times New Roman" w:cs="Times New Roman"/>
          <w:sz w:val="24"/>
          <w:szCs w:val="24"/>
        </w:rPr>
        <w:t xml:space="preserve"> </w:t>
      </w:r>
      <w:r w:rsidR="00F60ED8" w:rsidRPr="000915D0">
        <w:rPr>
          <w:rFonts w:ascii="Times New Roman" w:hAnsi="Times New Roman" w:cs="Times New Roman"/>
          <w:sz w:val="24"/>
          <w:szCs w:val="24"/>
        </w:rPr>
        <w:t xml:space="preserve">Louis </w:t>
      </w:r>
      <w:r w:rsidR="006C3EA3" w:rsidRPr="000915D0">
        <w:rPr>
          <w:rFonts w:ascii="Times New Roman" w:hAnsi="Times New Roman" w:cs="Times New Roman"/>
          <w:sz w:val="24"/>
          <w:szCs w:val="24"/>
        </w:rPr>
        <w:t xml:space="preserve">Vallon, </w:t>
      </w:r>
      <w:r w:rsidR="00F60ED8" w:rsidRPr="000915D0">
        <w:rPr>
          <w:rFonts w:ascii="Times New Roman" w:hAnsi="Times New Roman" w:cs="Times New Roman"/>
          <w:sz w:val="24"/>
          <w:szCs w:val="24"/>
        </w:rPr>
        <w:t xml:space="preserve">René </w:t>
      </w:r>
      <w:r w:rsidR="006C3EA3" w:rsidRPr="000915D0">
        <w:rPr>
          <w:rFonts w:ascii="Times New Roman" w:hAnsi="Times New Roman" w:cs="Times New Roman"/>
          <w:sz w:val="24"/>
          <w:szCs w:val="24"/>
        </w:rPr>
        <w:t xml:space="preserve">Capitant et </w:t>
      </w:r>
      <w:r w:rsidR="00F60ED8" w:rsidRPr="000915D0">
        <w:rPr>
          <w:rFonts w:ascii="Times New Roman" w:hAnsi="Times New Roman" w:cs="Times New Roman"/>
          <w:sz w:val="24"/>
          <w:szCs w:val="24"/>
        </w:rPr>
        <w:t xml:space="preserve">François </w:t>
      </w:r>
      <w:r w:rsidR="006C3EA3" w:rsidRPr="000915D0">
        <w:rPr>
          <w:rFonts w:ascii="Times New Roman" w:hAnsi="Times New Roman" w:cs="Times New Roman"/>
          <w:sz w:val="24"/>
          <w:szCs w:val="24"/>
        </w:rPr>
        <w:t xml:space="preserve">Bloch-Lainé </w:t>
      </w:r>
      <w:r w:rsidR="00944674" w:rsidRPr="000915D0">
        <w:rPr>
          <w:rFonts w:ascii="Times New Roman" w:hAnsi="Times New Roman" w:cs="Times New Roman"/>
          <w:sz w:val="24"/>
          <w:szCs w:val="24"/>
        </w:rPr>
        <w:t>sont souvent classés dans le</w:t>
      </w:r>
      <w:r w:rsidR="006C3EA3" w:rsidRPr="000915D0">
        <w:rPr>
          <w:rFonts w:ascii="Times New Roman" w:hAnsi="Times New Roman" w:cs="Times New Roman"/>
          <w:sz w:val="24"/>
          <w:szCs w:val="24"/>
        </w:rPr>
        <w:t xml:space="preserve"> courant minoritaire</w:t>
      </w:r>
      <w:r w:rsidR="007C7A47" w:rsidRPr="000915D0">
        <w:rPr>
          <w:rFonts w:ascii="Times New Roman" w:hAnsi="Times New Roman" w:cs="Times New Roman"/>
          <w:sz w:val="24"/>
          <w:szCs w:val="24"/>
        </w:rPr>
        <w:t xml:space="preserve"> des gaullistes</w:t>
      </w:r>
      <w:r w:rsidR="006C3EA3" w:rsidRPr="000915D0">
        <w:rPr>
          <w:rFonts w:ascii="Times New Roman" w:hAnsi="Times New Roman" w:cs="Times New Roman"/>
          <w:sz w:val="24"/>
          <w:szCs w:val="24"/>
        </w:rPr>
        <w:t xml:space="preserve"> </w:t>
      </w:r>
      <w:r w:rsidR="00944674" w:rsidRPr="000915D0">
        <w:rPr>
          <w:rFonts w:ascii="Times New Roman" w:hAnsi="Times New Roman" w:cs="Times New Roman"/>
          <w:sz w:val="24"/>
          <w:szCs w:val="24"/>
        </w:rPr>
        <w:t xml:space="preserve">dits </w:t>
      </w:r>
      <w:r w:rsidR="006C3EA3" w:rsidRPr="000915D0">
        <w:rPr>
          <w:rFonts w:ascii="Times New Roman" w:hAnsi="Times New Roman" w:cs="Times New Roman"/>
          <w:sz w:val="24"/>
          <w:szCs w:val="24"/>
        </w:rPr>
        <w:t>sociaux.</w:t>
      </w:r>
      <w:r w:rsidR="00944674" w:rsidRPr="000915D0">
        <w:rPr>
          <w:rFonts w:ascii="Times New Roman" w:hAnsi="Times New Roman" w:cs="Times New Roman"/>
          <w:sz w:val="24"/>
          <w:szCs w:val="24"/>
        </w:rPr>
        <w:t xml:space="preserve"> </w:t>
      </w:r>
      <w:r w:rsidR="006C3EA3" w:rsidRPr="000915D0">
        <w:rPr>
          <w:rFonts w:ascii="Times New Roman" w:hAnsi="Times New Roman" w:cs="Times New Roman"/>
          <w:sz w:val="24"/>
          <w:szCs w:val="24"/>
        </w:rPr>
        <w:t xml:space="preserve">Pierre Sudreau, classé au centre-droit n’appartient pas à un parti politique de poids. </w:t>
      </w:r>
      <w:r w:rsidR="003152B4" w:rsidRPr="000915D0">
        <w:rPr>
          <w:rFonts w:ascii="Times New Roman" w:hAnsi="Times New Roman" w:cs="Times New Roman"/>
          <w:sz w:val="24"/>
          <w:szCs w:val="24"/>
        </w:rPr>
        <w:t>I</w:t>
      </w:r>
      <w:r w:rsidR="006C3EA3" w:rsidRPr="000915D0">
        <w:rPr>
          <w:rFonts w:ascii="Times New Roman" w:hAnsi="Times New Roman" w:cs="Times New Roman"/>
          <w:sz w:val="24"/>
          <w:szCs w:val="24"/>
        </w:rPr>
        <w:t>l ne bénéficie pas non plus d’un soutien suffisant auprès de la majorité présidentielle. Conscient de ce handicap, il tente</w:t>
      </w:r>
      <w:r w:rsidR="00D257BE" w:rsidRPr="000915D0">
        <w:rPr>
          <w:rFonts w:ascii="Times New Roman" w:hAnsi="Times New Roman" w:cs="Times New Roman"/>
          <w:sz w:val="24"/>
          <w:szCs w:val="24"/>
        </w:rPr>
        <w:t xml:space="preserve"> d’ailleurs</w:t>
      </w:r>
      <w:r w:rsidR="006C3EA3" w:rsidRPr="000915D0">
        <w:rPr>
          <w:rFonts w:ascii="Times New Roman" w:hAnsi="Times New Roman" w:cs="Times New Roman"/>
          <w:sz w:val="24"/>
          <w:szCs w:val="24"/>
        </w:rPr>
        <w:t xml:space="preserve"> de médiatiser largement son rapport </w:t>
      </w:r>
      <w:r w:rsidR="005F14BE" w:rsidRPr="000915D0">
        <w:rPr>
          <w:rFonts w:ascii="Times New Roman" w:hAnsi="Times New Roman" w:cs="Times New Roman"/>
          <w:sz w:val="24"/>
          <w:szCs w:val="24"/>
        </w:rPr>
        <w:t xml:space="preserve">et son contenu. Il </w:t>
      </w:r>
      <w:r w:rsidR="005C309F" w:rsidRPr="000915D0">
        <w:rPr>
          <w:rFonts w:ascii="Times New Roman" w:hAnsi="Times New Roman" w:cs="Times New Roman"/>
          <w:sz w:val="24"/>
          <w:szCs w:val="24"/>
        </w:rPr>
        <w:t>espère</w:t>
      </w:r>
      <w:r w:rsidR="005F14BE" w:rsidRPr="000915D0">
        <w:rPr>
          <w:rFonts w:ascii="Times New Roman" w:hAnsi="Times New Roman" w:cs="Times New Roman"/>
          <w:sz w:val="24"/>
          <w:szCs w:val="24"/>
        </w:rPr>
        <w:t xml:space="preserve"> « dépasser » les partis politique en prenant la société à témoin. Il </w:t>
      </w:r>
      <w:r w:rsidR="006C3EA3" w:rsidRPr="000915D0">
        <w:rPr>
          <w:rFonts w:ascii="Times New Roman" w:hAnsi="Times New Roman" w:cs="Times New Roman"/>
          <w:sz w:val="24"/>
          <w:szCs w:val="24"/>
        </w:rPr>
        <w:t>entam</w:t>
      </w:r>
      <w:r w:rsidR="005F14BE" w:rsidRPr="000915D0">
        <w:rPr>
          <w:rFonts w:ascii="Times New Roman" w:hAnsi="Times New Roman" w:cs="Times New Roman"/>
          <w:sz w:val="24"/>
          <w:szCs w:val="24"/>
        </w:rPr>
        <w:t>e alors</w:t>
      </w:r>
      <w:r w:rsidR="006C3EA3" w:rsidRPr="000915D0">
        <w:rPr>
          <w:rFonts w:ascii="Times New Roman" w:hAnsi="Times New Roman" w:cs="Times New Roman"/>
          <w:sz w:val="24"/>
          <w:szCs w:val="24"/>
        </w:rPr>
        <w:t xml:space="preserve"> une grande tournée dans le pays et</w:t>
      </w:r>
      <w:r w:rsidR="004B3917" w:rsidRPr="000915D0">
        <w:rPr>
          <w:rFonts w:ascii="Times New Roman" w:hAnsi="Times New Roman" w:cs="Times New Roman"/>
          <w:sz w:val="24"/>
          <w:szCs w:val="24"/>
        </w:rPr>
        <w:t xml:space="preserve"> </w:t>
      </w:r>
      <w:r w:rsidR="006C3EA3" w:rsidRPr="000915D0">
        <w:rPr>
          <w:rFonts w:ascii="Times New Roman" w:hAnsi="Times New Roman" w:cs="Times New Roman"/>
          <w:sz w:val="24"/>
          <w:szCs w:val="24"/>
        </w:rPr>
        <w:t xml:space="preserve">répond favorablement à de nombreuses sollicitations pour présenter le rapport et </w:t>
      </w:r>
      <w:r w:rsidR="004B3917" w:rsidRPr="000915D0">
        <w:rPr>
          <w:rFonts w:ascii="Times New Roman" w:hAnsi="Times New Roman" w:cs="Times New Roman"/>
          <w:sz w:val="24"/>
          <w:szCs w:val="24"/>
        </w:rPr>
        <w:t>s</w:t>
      </w:r>
      <w:r w:rsidR="006C3EA3" w:rsidRPr="000915D0">
        <w:rPr>
          <w:rFonts w:ascii="Times New Roman" w:hAnsi="Times New Roman" w:cs="Times New Roman"/>
          <w:sz w:val="24"/>
          <w:szCs w:val="24"/>
        </w:rPr>
        <w:t>es propositions devant des étudiants, des citoyens, des salariés, des chefs d’entreprise (Bourlange, 2017).</w:t>
      </w:r>
      <w:r w:rsidR="00BB22EF" w:rsidRPr="000915D0">
        <w:rPr>
          <w:rFonts w:ascii="Times New Roman" w:hAnsi="Times New Roman" w:cs="Times New Roman"/>
          <w:sz w:val="24"/>
          <w:szCs w:val="24"/>
        </w:rPr>
        <w:t xml:space="preserve"> </w:t>
      </w:r>
      <w:r w:rsidR="008B6FF5" w:rsidRPr="000915D0">
        <w:rPr>
          <w:rFonts w:ascii="Times New Roman" w:hAnsi="Times New Roman" w:cs="Times New Roman"/>
          <w:sz w:val="24"/>
          <w:szCs w:val="24"/>
        </w:rPr>
        <w:t xml:space="preserve">Comme le souligne </w:t>
      </w:r>
      <w:r w:rsidR="00BB22EF" w:rsidRPr="000915D0">
        <w:rPr>
          <w:rFonts w:ascii="Times New Roman" w:hAnsi="Times New Roman" w:cs="Times New Roman"/>
          <w:sz w:val="24"/>
          <w:szCs w:val="24"/>
        </w:rPr>
        <w:t xml:space="preserve">Jean-Claude </w:t>
      </w:r>
      <w:r w:rsidR="008B6FF5" w:rsidRPr="000915D0">
        <w:rPr>
          <w:rFonts w:ascii="Times New Roman" w:hAnsi="Times New Roman" w:cs="Times New Roman"/>
          <w:sz w:val="24"/>
          <w:szCs w:val="24"/>
        </w:rPr>
        <w:t xml:space="preserve">Guibal (cité </w:t>
      </w:r>
      <w:r w:rsidR="00BB22EF" w:rsidRPr="000915D0">
        <w:rPr>
          <w:rFonts w:ascii="Times New Roman" w:hAnsi="Times New Roman" w:cs="Times New Roman"/>
          <w:sz w:val="24"/>
          <w:szCs w:val="24"/>
        </w:rPr>
        <w:t>par</w:t>
      </w:r>
      <w:r w:rsidR="008B6FF5" w:rsidRPr="000915D0">
        <w:rPr>
          <w:rFonts w:ascii="Times New Roman" w:hAnsi="Times New Roman" w:cs="Times New Roman"/>
          <w:sz w:val="24"/>
          <w:szCs w:val="24"/>
        </w:rPr>
        <w:t xml:space="preserve"> Rimbaud, 2004), le rapport Sudreau est sans doute le dernier exemple de rapport guidé par une idéologie sous-jacente, d’essence sociale-démocrate et qui visait à changer les structures de l’entreprise pour modifier les mentalités et donc les pratiques, de gouvernance et de partage de pouvoir.</w:t>
      </w:r>
    </w:p>
    <w:p w14:paraId="38102CB8" w14:textId="0795F3D1" w:rsidR="007E379F" w:rsidRPr="000915D0" w:rsidRDefault="00915140" w:rsidP="00A75EDE">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 xml:space="preserve">Enfin, </w:t>
      </w:r>
      <w:r w:rsidR="00DF5480" w:rsidRPr="000915D0">
        <w:rPr>
          <w:rFonts w:ascii="Times New Roman" w:hAnsi="Times New Roman" w:cs="Times New Roman"/>
          <w:sz w:val="24"/>
          <w:szCs w:val="24"/>
        </w:rPr>
        <w:t>aucune institution française n’a joué le rôle d’institution socle</w:t>
      </w:r>
      <w:r w:rsidR="00162ECC" w:rsidRPr="000915D0">
        <w:rPr>
          <w:rFonts w:ascii="Times New Roman" w:hAnsi="Times New Roman" w:cs="Times New Roman"/>
          <w:sz w:val="24"/>
          <w:szCs w:val="24"/>
        </w:rPr>
        <w:t xml:space="preserve"> en France pour faciliter l’</w:t>
      </w:r>
      <w:r w:rsidR="002748E9" w:rsidRPr="000915D0">
        <w:rPr>
          <w:rFonts w:ascii="Times New Roman" w:hAnsi="Times New Roman" w:cs="Times New Roman"/>
          <w:sz w:val="24"/>
          <w:szCs w:val="24"/>
        </w:rPr>
        <w:t>institutionnalisation</w:t>
      </w:r>
      <w:r w:rsidR="00162ECC" w:rsidRPr="000915D0">
        <w:rPr>
          <w:rFonts w:ascii="Times New Roman" w:hAnsi="Times New Roman" w:cs="Times New Roman"/>
          <w:sz w:val="24"/>
          <w:szCs w:val="24"/>
        </w:rPr>
        <w:t xml:space="preserve"> de la codétermination.</w:t>
      </w:r>
      <w:r w:rsidR="002748E9" w:rsidRPr="000915D0">
        <w:rPr>
          <w:rFonts w:ascii="Times New Roman" w:hAnsi="Times New Roman" w:cs="Times New Roman"/>
          <w:sz w:val="24"/>
          <w:szCs w:val="24"/>
        </w:rPr>
        <w:t xml:space="preserve"> Les grands corps de l’Etat, si important</w:t>
      </w:r>
      <w:r w:rsidR="00694572" w:rsidRPr="000915D0">
        <w:rPr>
          <w:rFonts w:ascii="Times New Roman" w:hAnsi="Times New Roman" w:cs="Times New Roman"/>
          <w:sz w:val="24"/>
          <w:szCs w:val="24"/>
        </w:rPr>
        <w:t>s</w:t>
      </w:r>
      <w:r w:rsidR="002748E9" w:rsidRPr="000915D0">
        <w:rPr>
          <w:rFonts w:ascii="Times New Roman" w:hAnsi="Times New Roman" w:cs="Times New Roman"/>
          <w:sz w:val="24"/>
          <w:szCs w:val="24"/>
        </w:rPr>
        <w:t xml:space="preserve"> </w:t>
      </w:r>
      <w:r w:rsidR="003A71B6" w:rsidRPr="000915D0">
        <w:rPr>
          <w:rFonts w:ascii="Times New Roman" w:hAnsi="Times New Roman" w:cs="Times New Roman"/>
          <w:sz w:val="24"/>
          <w:szCs w:val="24"/>
        </w:rPr>
        <w:t xml:space="preserve">dans le </w:t>
      </w:r>
      <w:r w:rsidR="00A43F8F" w:rsidRPr="000915D0">
        <w:rPr>
          <w:rFonts w:ascii="Times New Roman" w:hAnsi="Times New Roman" w:cs="Times New Roman"/>
          <w:sz w:val="24"/>
          <w:szCs w:val="24"/>
        </w:rPr>
        <w:t>paysage institutionnel français</w:t>
      </w:r>
      <w:r w:rsidR="003A71B6" w:rsidRPr="000915D0">
        <w:rPr>
          <w:rFonts w:ascii="Times New Roman" w:hAnsi="Times New Roman" w:cs="Times New Roman"/>
          <w:sz w:val="24"/>
          <w:szCs w:val="24"/>
        </w:rPr>
        <w:t>,</w:t>
      </w:r>
      <w:r w:rsidR="002748E9" w:rsidRPr="000915D0">
        <w:rPr>
          <w:rFonts w:ascii="Times New Roman" w:hAnsi="Times New Roman" w:cs="Times New Roman"/>
          <w:sz w:val="24"/>
          <w:szCs w:val="24"/>
        </w:rPr>
        <w:t xml:space="preserve"> aurai</w:t>
      </w:r>
      <w:r w:rsidR="00475E92" w:rsidRPr="000915D0">
        <w:rPr>
          <w:rFonts w:ascii="Times New Roman" w:hAnsi="Times New Roman" w:cs="Times New Roman"/>
          <w:sz w:val="24"/>
          <w:szCs w:val="24"/>
        </w:rPr>
        <w:t>en</w:t>
      </w:r>
      <w:r w:rsidR="002748E9" w:rsidRPr="000915D0">
        <w:rPr>
          <w:rFonts w:ascii="Times New Roman" w:hAnsi="Times New Roman" w:cs="Times New Roman"/>
          <w:sz w:val="24"/>
          <w:szCs w:val="24"/>
        </w:rPr>
        <w:t>t pu occuper cette place</w:t>
      </w:r>
      <w:r w:rsidR="003A71B6" w:rsidRPr="000915D0">
        <w:rPr>
          <w:rFonts w:ascii="Times New Roman" w:hAnsi="Times New Roman" w:cs="Times New Roman"/>
          <w:sz w:val="24"/>
          <w:szCs w:val="24"/>
        </w:rPr>
        <w:t>.</w:t>
      </w:r>
      <w:r w:rsidR="00881984" w:rsidRPr="000915D0">
        <w:rPr>
          <w:rFonts w:ascii="Times New Roman" w:hAnsi="Times New Roman" w:cs="Times New Roman"/>
          <w:sz w:val="24"/>
          <w:szCs w:val="24"/>
        </w:rPr>
        <w:t xml:space="preserve"> En effet, l’Etat par le truchement notamment de ses hauts fonctionnaires avait la capacité à arbitrer </w:t>
      </w:r>
      <w:r w:rsidR="00634148" w:rsidRPr="000915D0">
        <w:rPr>
          <w:rFonts w:ascii="Times New Roman" w:hAnsi="Times New Roman" w:cs="Times New Roman"/>
          <w:sz w:val="24"/>
          <w:szCs w:val="24"/>
        </w:rPr>
        <w:t xml:space="preserve">(alternativement) </w:t>
      </w:r>
      <w:r w:rsidR="00881984" w:rsidRPr="000915D0">
        <w:rPr>
          <w:rFonts w:ascii="Times New Roman" w:hAnsi="Times New Roman" w:cs="Times New Roman"/>
          <w:sz w:val="24"/>
          <w:szCs w:val="24"/>
        </w:rPr>
        <w:t>entre les demandes ou besoins des entreprises ou des travailleurs e</w:t>
      </w:r>
      <w:r w:rsidR="00634148" w:rsidRPr="000915D0">
        <w:rPr>
          <w:rFonts w:ascii="Times New Roman" w:hAnsi="Times New Roman" w:cs="Times New Roman"/>
          <w:sz w:val="24"/>
          <w:szCs w:val="24"/>
        </w:rPr>
        <w:t>t des syndicats.</w:t>
      </w:r>
      <w:r w:rsidR="003A71B6" w:rsidRPr="000915D0">
        <w:rPr>
          <w:rFonts w:ascii="Times New Roman" w:hAnsi="Times New Roman" w:cs="Times New Roman"/>
          <w:sz w:val="24"/>
          <w:szCs w:val="24"/>
        </w:rPr>
        <w:t xml:space="preserve"> Les </w:t>
      </w:r>
      <w:r w:rsidR="002D241D" w:rsidRPr="000915D0">
        <w:rPr>
          <w:rFonts w:ascii="Times New Roman" w:hAnsi="Times New Roman" w:cs="Times New Roman"/>
          <w:sz w:val="24"/>
          <w:szCs w:val="24"/>
        </w:rPr>
        <w:t>promoteurs</w:t>
      </w:r>
      <w:r w:rsidR="003A71B6" w:rsidRPr="000915D0">
        <w:rPr>
          <w:rFonts w:ascii="Times New Roman" w:hAnsi="Times New Roman" w:cs="Times New Roman"/>
          <w:sz w:val="24"/>
          <w:szCs w:val="24"/>
        </w:rPr>
        <w:t xml:space="preserve"> de la réforme de l’entreprise ont </w:t>
      </w:r>
      <w:r w:rsidR="002D241D" w:rsidRPr="000915D0">
        <w:rPr>
          <w:rFonts w:ascii="Times New Roman" w:hAnsi="Times New Roman" w:cs="Times New Roman"/>
          <w:sz w:val="24"/>
          <w:szCs w:val="24"/>
        </w:rPr>
        <w:t xml:space="preserve">souvent eu en commun d’exercer des fonctions dans la haute fonction publique </w:t>
      </w:r>
      <w:r w:rsidR="00A75EDE" w:rsidRPr="000915D0">
        <w:rPr>
          <w:rFonts w:ascii="Times New Roman" w:hAnsi="Times New Roman" w:cs="Times New Roman"/>
          <w:sz w:val="24"/>
          <w:szCs w:val="24"/>
        </w:rPr>
        <w:t>et d’appartenir à une élite sociale.</w:t>
      </w:r>
      <w:r w:rsidR="004632FB" w:rsidRPr="000915D0">
        <w:rPr>
          <w:rFonts w:ascii="Times New Roman" w:hAnsi="Times New Roman" w:cs="Times New Roman"/>
          <w:sz w:val="24"/>
          <w:szCs w:val="24"/>
        </w:rPr>
        <w:t xml:space="preserve"> </w:t>
      </w:r>
    </w:p>
    <w:p w14:paraId="6E73E79F" w14:textId="26F99835" w:rsidR="00167DDF" w:rsidRPr="000915D0" w:rsidRDefault="00167DDF" w:rsidP="00167DDF">
      <w:pPr>
        <w:rPr>
          <w:rFonts w:ascii="Times New Roman" w:hAnsi="Times New Roman" w:cs="Times New Roman"/>
          <w:b/>
          <w:sz w:val="24"/>
          <w:szCs w:val="24"/>
        </w:rPr>
      </w:pPr>
    </w:p>
    <w:p w14:paraId="55D698FD" w14:textId="35AC912E" w:rsidR="00085B48" w:rsidRPr="000915D0" w:rsidRDefault="00085B48" w:rsidP="006F3209">
      <w:pPr>
        <w:pStyle w:val="Paragraphedeliste"/>
        <w:numPr>
          <w:ilvl w:val="1"/>
          <w:numId w:val="7"/>
        </w:numPr>
        <w:spacing w:line="360" w:lineRule="auto"/>
        <w:jc w:val="both"/>
        <w:rPr>
          <w:rFonts w:ascii="Times New Roman" w:hAnsi="Times New Roman" w:cs="Times New Roman"/>
          <w:b/>
          <w:sz w:val="24"/>
          <w:szCs w:val="24"/>
        </w:rPr>
      </w:pPr>
      <w:r w:rsidRPr="000915D0">
        <w:rPr>
          <w:rFonts w:ascii="Times New Roman" w:hAnsi="Times New Roman" w:cs="Times New Roman"/>
          <w:b/>
          <w:sz w:val="24"/>
          <w:szCs w:val="24"/>
        </w:rPr>
        <w:t>Comparaison avec le cas allemand</w:t>
      </w:r>
    </w:p>
    <w:p w14:paraId="2FAEAFCD" w14:textId="048205BD" w:rsidR="00164489" w:rsidRPr="000915D0" w:rsidRDefault="00393513" w:rsidP="00EE2671">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Une co</w:t>
      </w:r>
      <w:r w:rsidR="0032604F" w:rsidRPr="000915D0">
        <w:rPr>
          <w:rFonts w:ascii="Times New Roman" w:hAnsi="Times New Roman" w:cs="Times New Roman"/>
          <w:sz w:val="24"/>
          <w:szCs w:val="24"/>
        </w:rPr>
        <w:t>mparaison des trajectoires de la France et de l’Allemagne en matière de codétermination</w:t>
      </w:r>
      <w:r w:rsidR="006A6798" w:rsidRPr="000915D0">
        <w:rPr>
          <w:rFonts w:ascii="Times New Roman" w:hAnsi="Times New Roman" w:cs="Times New Roman"/>
          <w:sz w:val="24"/>
          <w:szCs w:val="24"/>
        </w:rPr>
        <w:t xml:space="preserve"> </w:t>
      </w:r>
      <w:r w:rsidR="00CF1ACD" w:rsidRPr="000915D0">
        <w:rPr>
          <w:rFonts w:ascii="Times New Roman" w:hAnsi="Times New Roman" w:cs="Times New Roman"/>
          <w:sz w:val="24"/>
          <w:szCs w:val="24"/>
        </w:rPr>
        <w:t xml:space="preserve">selon les dimensions de la théorie de la mobilisation donne une image contrastée (cf. </w:t>
      </w:r>
      <w:r w:rsidR="00E219C9" w:rsidRPr="000915D0">
        <w:rPr>
          <w:rFonts w:ascii="Times New Roman" w:hAnsi="Times New Roman" w:cs="Times New Roman"/>
          <w:sz w:val="24"/>
          <w:szCs w:val="24"/>
        </w:rPr>
        <w:t>tableau 2</w:t>
      </w:r>
      <w:r w:rsidR="00D42989" w:rsidRPr="000915D0">
        <w:rPr>
          <w:rFonts w:ascii="Times New Roman" w:hAnsi="Times New Roman" w:cs="Times New Roman"/>
          <w:sz w:val="24"/>
          <w:szCs w:val="24"/>
        </w:rPr>
        <w:t xml:space="preserve">). </w:t>
      </w:r>
      <w:r w:rsidR="004824BB" w:rsidRPr="000915D0">
        <w:rPr>
          <w:rFonts w:ascii="Times New Roman" w:hAnsi="Times New Roman" w:cs="Times New Roman"/>
          <w:sz w:val="24"/>
          <w:szCs w:val="24"/>
        </w:rPr>
        <w:t xml:space="preserve">Ce qui </w:t>
      </w:r>
      <w:r w:rsidR="00B27A58" w:rsidRPr="000915D0">
        <w:rPr>
          <w:rFonts w:ascii="Times New Roman" w:hAnsi="Times New Roman" w:cs="Times New Roman"/>
          <w:sz w:val="24"/>
          <w:szCs w:val="24"/>
        </w:rPr>
        <w:t xml:space="preserve">caractérise l’Allemagne est un parfait alignement des quatre dimensions de la </w:t>
      </w:r>
      <w:r w:rsidR="00B27A58" w:rsidRPr="000915D0">
        <w:rPr>
          <w:rFonts w:ascii="Times New Roman" w:hAnsi="Times New Roman" w:cs="Times New Roman"/>
          <w:sz w:val="24"/>
          <w:szCs w:val="24"/>
        </w:rPr>
        <w:lastRenderedPageBreak/>
        <w:t xml:space="preserve">mobilisation, qui a </w:t>
      </w:r>
      <w:r w:rsidR="00D8227D" w:rsidRPr="000915D0">
        <w:rPr>
          <w:rFonts w:ascii="Times New Roman" w:hAnsi="Times New Roman" w:cs="Times New Roman"/>
          <w:sz w:val="24"/>
          <w:szCs w:val="24"/>
        </w:rPr>
        <w:t xml:space="preserve">pu s’appuyer sur une institution-socle dont la légitimité </w:t>
      </w:r>
      <w:r w:rsidR="000B565F" w:rsidRPr="000915D0">
        <w:rPr>
          <w:rFonts w:ascii="Times New Roman" w:hAnsi="Times New Roman" w:cs="Times New Roman"/>
          <w:sz w:val="24"/>
          <w:szCs w:val="24"/>
        </w:rPr>
        <w:t>est largement reconnue et partagée dans l’Allemagne d’après-guerre</w:t>
      </w:r>
      <w:r w:rsidR="006C54D2" w:rsidRPr="000915D0">
        <w:rPr>
          <w:rFonts w:ascii="Times New Roman" w:hAnsi="Times New Roman" w:cs="Times New Roman"/>
          <w:sz w:val="24"/>
          <w:szCs w:val="24"/>
        </w:rPr>
        <w:t>, alors que la « réforme de l’entreprise</w:t>
      </w:r>
      <w:r w:rsidR="002D64D3" w:rsidRPr="000915D0">
        <w:rPr>
          <w:rFonts w:ascii="Times New Roman" w:hAnsi="Times New Roman" w:cs="Times New Roman"/>
          <w:sz w:val="24"/>
          <w:szCs w:val="24"/>
        </w:rPr>
        <w:t xml:space="preserve"> » </w:t>
      </w:r>
      <w:r w:rsidR="00CF55A0" w:rsidRPr="000915D0">
        <w:rPr>
          <w:rFonts w:ascii="Times New Roman" w:hAnsi="Times New Roman" w:cs="Times New Roman"/>
          <w:sz w:val="24"/>
          <w:szCs w:val="24"/>
        </w:rPr>
        <w:t xml:space="preserve">semble être cantonnée à une discussion </w:t>
      </w:r>
      <w:r w:rsidR="003E34E1" w:rsidRPr="000915D0">
        <w:rPr>
          <w:rFonts w:ascii="Times New Roman" w:hAnsi="Times New Roman" w:cs="Times New Roman"/>
          <w:sz w:val="24"/>
          <w:szCs w:val="24"/>
        </w:rPr>
        <w:t>au sein de cercles intellectuels</w:t>
      </w:r>
      <w:r w:rsidR="002E6607" w:rsidRPr="000915D0">
        <w:rPr>
          <w:rFonts w:ascii="Times New Roman" w:hAnsi="Times New Roman" w:cs="Times New Roman"/>
          <w:sz w:val="24"/>
          <w:szCs w:val="24"/>
        </w:rPr>
        <w:t xml:space="preserve"> relativement élitistes.</w:t>
      </w:r>
      <w:r w:rsidR="005F1585" w:rsidRPr="000915D0">
        <w:rPr>
          <w:rFonts w:ascii="Times New Roman" w:hAnsi="Times New Roman" w:cs="Times New Roman"/>
          <w:sz w:val="24"/>
          <w:szCs w:val="24"/>
        </w:rPr>
        <w:t xml:space="preserve"> Le contexte d’opportunité politique est à lui seul insuffisant </w:t>
      </w:r>
      <w:r w:rsidR="00CB6B9D" w:rsidRPr="000915D0">
        <w:rPr>
          <w:rFonts w:ascii="Times New Roman" w:hAnsi="Times New Roman" w:cs="Times New Roman"/>
          <w:sz w:val="24"/>
          <w:szCs w:val="24"/>
        </w:rPr>
        <w:t>pour permettre un véritable mouvement de mobilisation sociale</w:t>
      </w:r>
      <w:r w:rsidR="00FE5D43" w:rsidRPr="000915D0">
        <w:rPr>
          <w:rFonts w:ascii="Times New Roman" w:hAnsi="Times New Roman" w:cs="Times New Roman"/>
          <w:sz w:val="24"/>
          <w:szCs w:val="24"/>
        </w:rPr>
        <w:t>. L’absence d</w:t>
      </w:r>
      <w:r w:rsidR="00AB18FA" w:rsidRPr="000915D0">
        <w:rPr>
          <w:rFonts w:ascii="Times New Roman" w:hAnsi="Times New Roman" w:cs="Times New Roman"/>
          <w:sz w:val="24"/>
          <w:szCs w:val="24"/>
        </w:rPr>
        <w:t xml:space="preserve">e recours efficace à une </w:t>
      </w:r>
      <w:r w:rsidR="00FE5D43" w:rsidRPr="000915D0">
        <w:rPr>
          <w:rFonts w:ascii="Times New Roman" w:hAnsi="Times New Roman" w:cs="Times New Roman"/>
          <w:sz w:val="24"/>
          <w:szCs w:val="24"/>
        </w:rPr>
        <w:t>institution</w:t>
      </w:r>
      <w:r w:rsidR="00AB18FA" w:rsidRPr="000915D0">
        <w:rPr>
          <w:rFonts w:ascii="Times New Roman" w:hAnsi="Times New Roman" w:cs="Times New Roman"/>
          <w:sz w:val="24"/>
          <w:szCs w:val="24"/>
        </w:rPr>
        <w:t>-socle pouvant conférer un sens d’intérêt commun</w:t>
      </w:r>
      <w:r w:rsidR="004007B6" w:rsidRPr="000915D0">
        <w:rPr>
          <w:rFonts w:ascii="Times New Roman" w:hAnsi="Times New Roman" w:cs="Times New Roman"/>
          <w:sz w:val="24"/>
          <w:szCs w:val="24"/>
        </w:rPr>
        <w:t xml:space="preserve"> ainsi qu’une caution morale</w:t>
      </w:r>
      <w:r w:rsidR="00983775" w:rsidRPr="000915D0">
        <w:rPr>
          <w:rFonts w:ascii="Times New Roman" w:hAnsi="Times New Roman" w:cs="Times New Roman"/>
          <w:sz w:val="24"/>
          <w:szCs w:val="24"/>
        </w:rPr>
        <w:t xml:space="preserve"> et donner accès à des réseaux étendus</w:t>
      </w:r>
      <w:r w:rsidR="004007B6" w:rsidRPr="000915D0">
        <w:rPr>
          <w:rFonts w:ascii="Times New Roman" w:hAnsi="Times New Roman" w:cs="Times New Roman"/>
          <w:sz w:val="24"/>
          <w:szCs w:val="24"/>
        </w:rPr>
        <w:t xml:space="preserve"> </w:t>
      </w:r>
      <w:r w:rsidR="006C0C73" w:rsidRPr="000915D0">
        <w:rPr>
          <w:rFonts w:ascii="Times New Roman" w:hAnsi="Times New Roman" w:cs="Times New Roman"/>
          <w:sz w:val="24"/>
          <w:szCs w:val="24"/>
        </w:rPr>
        <w:t>est pendant longtemps</w:t>
      </w:r>
      <w:r w:rsidR="005F51B3" w:rsidRPr="000915D0">
        <w:rPr>
          <w:rFonts w:ascii="Times New Roman" w:hAnsi="Times New Roman" w:cs="Times New Roman"/>
          <w:sz w:val="24"/>
          <w:szCs w:val="24"/>
        </w:rPr>
        <w:t xml:space="preserve"> un frein à une mobilisation effective</w:t>
      </w:r>
      <w:r w:rsidR="006C0C73" w:rsidRPr="000915D0">
        <w:rPr>
          <w:rFonts w:ascii="Times New Roman" w:hAnsi="Times New Roman" w:cs="Times New Roman"/>
          <w:sz w:val="24"/>
          <w:szCs w:val="24"/>
        </w:rPr>
        <w:t xml:space="preserve">, qui aurait pu permettre </w:t>
      </w:r>
      <w:r w:rsidR="00F35002" w:rsidRPr="000915D0">
        <w:rPr>
          <w:rFonts w:ascii="Times New Roman" w:hAnsi="Times New Roman" w:cs="Times New Roman"/>
          <w:sz w:val="24"/>
          <w:szCs w:val="24"/>
        </w:rPr>
        <w:t xml:space="preserve">à la </w:t>
      </w:r>
      <w:r w:rsidR="00AF275C" w:rsidRPr="000915D0">
        <w:rPr>
          <w:rFonts w:ascii="Times New Roman" w:hAnsi="Times New Roman" w:cs="Times New Roman"/>
          <w:sz w:val="24"/>
          <w:szCs w:val="24"/>
        </w:rPr>
        <w:t>« </w:t>
      </w:r>
      <w:r w:rsidR="00F35002" w:rsidRPr="000915D0">
        <w:rPr>
          <w:rFonts w:ascii="Times New Roman" w:hAnsi="Times New Roman" w:cs="Times New Roman"/>
          <w:sz w:val="24"/>
          <w:szCs w:val="24"/>
        </w:rPr>
        <w:t>réforme de l’entreprise</w:t>
      </w:r>
      <w:r w:rsidR="00AF275C" w:rsidRPr="000915D0">
        <w:rPr>
          <w:rFonts w:ascii="Times New Roman" w:hAnsi="Times New Roman" w:cs="Times New Roman"/>
          <w:sz w:val="24"/>
          <w:szCs w:val="24"/>
        </w:rPr>
        <w:t> »</w:t>
      </w:r>
      <w:r w:rsidR="00F35002" w:rsidRPr="000915D0">
        <w:rPr>
          <w:rFonts w:ascii="Times New Roman" w:hAnsi="Times New Roman" w:cs="Times New Roman"/>
          <w:sz w:val="24"/>
          <w:szCs w:val="24"/>
        </w:rPr>
        <w:t xml:space="preserve"> française de dépasser le simple stade d’idées</w:t>
      </w:r>
      <w:r w:rsidR="00DF6D9F" w:rsidRPr="000915D0">
        <w:rPr>
          <w:rFonts w:ascii="Times New Roman" w:hAnsi="Times New Roman" w:cs="Times New Roman"/>
          <w:sz w:val="24"/>
          <w:szCs w:val="24"/>
        </w:rPr>
        <w:t>.</w:t>
      </w:r>
      <w:r w:rsidR="00D3676E" w:rsidRPr="000915D0">
        <w:rPr>
          <w:rFonts w:ascii="Times New Roman" w:hAnsi="Times New Roman" w:cs="Times New Roman"/>
          <w:sz w:val="24"/>
          <w:szCs w:val="24"/>
        </w:rPr>
        <w:t xml:space="preserve"> Par rapport à la situation allemande</w:t>
      </w:r>
      <w:r w:rsidR="00E76C02" w:rsidRPr="000915D0">
        <w:rPr>
          <w:rFonts w:ascii="Times New Roman" w:hAnsi="Times New Roman" w:cs="Times New Roman"/>
          <w:sz w:val="24"/>
          <w:szCs w:val="24"/>
        </w:rPr>
        <w:t>, on peut aussi souligner deux divisions importantes. Les syndicats sont tout d’abord divisés entre eux</w:t>
      </w:r>
      <w:r w:rsidR="00F95C5D" w:rsidRPr="000915D0">
        <w:rPr>
          <w:rFonts w:ascii="Times New Roman" w:hAnsi="Times New Roman" w:cs="Times New Roman"/>
          <w:sz w:val="24"/>
          <w:szCs w:val="24"/>
        </w:rPr>
        <w:t xml:space="preserve">. Les positions idéologiques de la CGT </w:t>
      </w:r>
      <w:r w:rsidR="00F06951" w:rsidRPr="000915D0">
        <w:rPr>
          <w:rFonts w:ascii="Times New Roman" w:hAnsi="Times New Roman" w:cs="Times New Roman"/>
          <w:sz w:val="24"/>
          <w:szCs w:val="24"/>
        </w:rPr>
        <w:t xml:space="preserve">s’opposent </w:t>
      </w:r>
      <w:r w:rsidR="00015EEA" w:rsidRPr="000915D0">
        <w:rPr>
          <w:rFonts w:ascii="Times New Roman" w:hAnsi="Times New Roman" w:cs="Times New Roman"/>
          <w:sz w:val="24"/>
          <w:szCs w:val="24"/>
        </w:rPr>
        <w:t xml:space="preserve">notamment </w:t>
      </w:r>
      <w:r w:rsidR="00F06951" w:rsidRPr="000915D0">
        <w:rPr>
          <w:rFonts w:ascii="Times New Roman" w:hAnsi="Times New Roman" w:cs="Times New Roman"/>
          <w:sz w:val="24"/>
          <w:szCs w:val="24"/>
        </w:rPr>
        <w:t xml:space="preserve">à celles de la CFTC puis de la </w:t>
      </w:r>
      <w:r w:rsidR="00F95C5D" w:rsidRPr="000915D0">
        <w:rPr>
          <w:rFonts w:ascii="Times New Roman" w:hAnsi="Times New Roman" w:cs="Times New Roman"/>
          <w:sz w:val="24"/>
          <w:szCs w:val="24"/>
        </w:rPr>
        <w:t>CFDT.</w:t>
      </w:r>
      <w:r w:rsidR="00D51EFE" w:rsidRPr="000915D0">
        <w:rPr>
          <w:rFonts w:ascii="Times New Roman" w:hAnsi="Times New Roman" w:cs="Times New Roman"/>
          <w:sz w:val="24"/>
          <w:szCs w:val="24"/>
        </w:rPr>
        <w:t xml:space="preserve"> </w:t>
      </w:r>
      <w:r w:rsidR="00C4556E" w:rsidRPr="000915D0">
        <w:rPr>
          <w:rFonts w:ascii="Times New Roman" w:hAnsi="Times New Roman" w:cs="Times New Roman"/>
          <w:sz w:val="24"/>
          <w:szCs w:val="24"/>
        </w:rPr>
        <w:t>La division règne aussi sur le sujet au sein des mouvements</w:t>
      </w:r>
      <w:r w:rsidR="00D51EFE" w:rsidRPr="000915D0">
        <w:rPr>
          <w:rFonts w:ascii="Times New Roman" w:hAnsi="Times New Roman" w:cs="Times New Roman"/>
          <w:sz w:val="24"/>
          <w:szCs w:val="24"/>
        </w:rPr>
        <w:t xml:space="preserve"> chrétiens patronaux et syndicaux</w:t>
      </w:r>
      <w:r w:rsidR="00B85294" w:rsidRPr="000915D0">
        <w:rPr>
          <w:rFonts w:ascii="Times New Roman" w:hAnsi="Times New Roman" w:cs="Times New Roman"/>
          <w:sz w:val="24"/>
          <w:szCs w:val="24"/>
        </w:rPr>
        <w:t>. La CFTC et le centre français du patronat chrétien (CFPC)</w:t>
      </w:r>
      <w:r w:rsidR="0083261F" w:rsidRPr="000915D0">
        <w:rPr>
          <w:rFonts w:ascii="Times New Roman" w:hAnsi="Times New Roman" w:cs="Times New Roman"/>
          <w:sz w:val="24"/>
          <w:szCs w:val="24"/>
        </w:rPr>
        <w:t xml:space="preserve"> n’ont pas de </w:t>
      </w:r>
      <w:r w:rsidR="00015EEA" w:rsidRPr="000915D0">
        <w:rPr>
          <w:rFonts w:ascii="Times New Roman" w:hAnsi="Times New Roman" w:cs="Times New Roman"/>
          <w:sz w:val="24"/>
          <w:szCs w:val="24"/>
        </w:rPr>
        <w:t>position commune</w:t>
      </w:r>
      <w:r w:rsidR="003F74F3" w:rsidRPr="000915D0">
        <w:rPr>
          <w:rFonts w:ascii="Times New Roman" w:hAnsi="Times New Roman" w:cs="Times New Roman"/>
          <w:sz w:val="24"/>
          <w:szCs w:val="24"/>
        </w:rPr>
        <w:t xml:space="preserve">. Même s’ils avaient </w:t>
      </w:r>
      <w:r w:rsidR="000928FE" w:rsidRPr="000915D0">
        <w:rPr>
          <w:rFonts w:ascii="Times New Roman" w:hAnsi="Times New Roman" w:cs="Times New Roman"/>
          <w:sz w:val="24"/>
          <w:szCs w:val="24"/>
        </w:rPr>
        <w:t xml:space="preserve">adopté </w:t>
      </w:r>
      <w:r w:rsidR="003F74F3" w:rsidRPr="000915D0">
        <w:rPr>
          <w:rFonts w:ascii="Times New Roman" w:hAnsi="Times New Roman" w:cs="Times New Roman"/>
          <w:sz w:val="24"/>
          <w:szCs w:val="24"/>
        </w:rPr>
        <w:t xml:space="preserve">une position commune, leur influence </w:t>
      </w:r>
      <w:r w:rsidR="00BC519A" w:rsidRPr="000915D0">
        <w:rPr>
          <w:rFonts w:ascii="Times New Roman" w:hAnsi="Times New Roman" w:cs="Times New Roman"/>
          <w:sz w:val="24"/>
          <w:szCs w:val="24"/>
        </w:rPr>
        <w:t>dans les années 70 était devenu négligeable</w:t>
      </w:r>
      <w:r w:rsidR="000928FE" w:rsidRPr="000915D0">
        <w:rPr>
          <w:rFonts w:ascii="Times New Roman" w:hAnsi="Times New Roman" w:cs="Times New Roman"/>
          <w:sz w:val="24"/>
          <w:szCs w:val="24"/>
        </w:rPr>
        <w:t xml:space="preserve"> par rapport </w:t>
      </w:r>
      <w:r w:rsidR="00022E7D" w:rsidRPr="000915D0">
        <w:rPr>
          <w:rFonts w:ascii="Times New Roman" w:hAnsi="Times New Roman" w:cs="Times New Roman"/>
          <w:sz w:val="24"/>
          <w:szCs w:val="24"/>
        </w:rPr>
        <w:t>à celle des mouvements syndicaux et patronaux allemands.</w:t>
      </w:r>
      <w:r w:rsidR="006340C3" w:rsidRPr="000915D0">
        <w:rPr>
          <w:rFonts w:ascii="Times New Roman" w:hAnsi="Times New Roman" w:cs="Times New Roman"/>
          <w:sz w:val="24"/>
          <w:szCs w:val="24"/>
        </w:rPr>
        <w:t xml:space="preserve"> Il est donc peu probable qu’une telle alliance eut été déterminante.</w:t>
      </w:r>
    </w:p>
    <w:p w14:paraId="0A955B28" w14:textId="77777777" w:rsidR="00DF6D9F" w:rsidRPr="000915D0" w:rsidRDefault="00DF6D9F" w:rsidP="005A2601">
      <w:pPr>
        <w:spacing w:line="360" w:lineRule="auto"/>
        <w:jc w:val="both"/>
        <w:rPr>
          <w:rFonts w:ascii="Times New Roman" w:hAnsi="Times New Roman" w:cs="Times New Roman"/>
          <w:sz w:val="24"/>
          <w:szCs w:val="24"/>
        </w:rPr>
      </w:pPr>
    </w:p>
    <w:p w14:paraId="441EC572" w14:textId="496297FA" w:rsidR="00085B48" w:rsidRPr="000915D0" w:rsidRDefault="00085B48" w:rsidP="00085B48">
      <w:pPr>
        <w:spacing w:line="360" w:lineRule="auto"/>
        <w:jc w:val="both"/>
        <w:rPr>
          <w:rFonts w:ascii="Times New Roman" w:hAnsi="Times New Roman" w:cs="Times New Roman"/>
          <w:b/>
          <w:sz w:val="24"/>
          <w:szCs w:val="24"/>
        </w:rPr>
      </w:pPr>
      <w:r w:rsidRPr="000915D0">
        <w:rPr>
          <w:rFonts w:ascii="Times New Roman" w:hAnsi="Times New Roman" w:cs="Times New Roman"/>
          <w:b/>
          <w:sz w:val="24"/>
          <w:szCs w:val="24"/>
        </w:rPr>
        <w:t xml:space="preserve">Tableau </w:t>
      </w:r>
      <w:r w:rsidR="00801E58" w:rsidRPr="000915D0">
        <w:rPr>
          <w:rFonts w:ascii="Times New Roman" w:hAnsi="Times New Roman" w:cs="Times New Roman"/>
          <w:b/>
          <w:sz w:val="24"/>
          <w:szCs w:val="24"/>
        </w:rPr>
        <w:t>2</w:t>
      </w:r>
      <w:r w:rsidRPr="000915D0">
        <w:rPr>
          <w:rFonts w:ascii="Times New Roman" w:hAnsi="Times New Roman" w:cs="Times New Roman"/>
          <w:b/>
          <w:sz w:val="24"/>
          <w:szCs w:val="24"/>
        </w:rPr>
        <w:t> : Comparaison des dimensions de la mobilisation de Davis et Thompson</w:t>
      </w:r>
      <w:r w:rsidR="002006C2" w:rsidRPr="000915D0">
        <w:rPr>
          <w:rFonts w:ascii="Times New Roman" w:hAnsi="Times New Roman" w:cs="Times New Roman"/>
          <w:b/>
          <w:sz w:val="24"/>
          <w:szCs w:val="24"/>
        </w:rPr>
        <w:t xml:space="preserve"> (1994)</w:t>
      </w:r>
    </w:p>
    <w:tbl>
      <w:tblPr>
        <w:tblStyle w:val="Grilledutableau"/>
        <w:tblW w:w="0" w:type="auto"/>
        <w:tblLook w:val="04A0" w:firstRow="1" w:lastRow="0" w:firstColumn="1" w:lastColumn="0" w:noHBand="0" w:noVBand="1"/>
      </w:tblPr>
      <w:tblGrid>
        <w:gridCol w:w="3020"/>
        <w:gridCol w:w="3021"/>
        <w:gridCol w:w="3021"/>
      </w:tblGrid>
      <w:tr w:rsidR="00085B48" w:rsidRPr="000915D0" w14:paraId="51D6F5CB" w14:textId="77777777" w:rsidTr="004632FB">
        <w:tc>
          <w:tcPr>
            <w:tcW w:w="3020" w:type="dxa"/>
            <w:shd w:val="clear" w:color="auto" w:fill="BFBFBF" w:themeFill="background1" w:themeFillShade="BF"/>
          </w:tcPr>
          <w:p w14:paraId="75FA3E66" w14:textId="7C9A06E3" w:rsidR="00085B48" w:rsidRPr="000915D0" w:rsidRDefault="00085B48" w:rsidP="004632FB">
            <w:pPr>
              <w:spacing w:line="360" w:lineRule="auto"/>
              <w:jc w:val="both"/>
              <w:rPr>
                <w:rFonts w:ascii="Times New Roman" w:hAnsi="Times New Roman" w:cs="Times New Roman"/>
                <w:b/>
                <w:bCs/>
                <w:sz w:val="18"/>
                <w:szCs w:val="18"/>
              </w:rPr>
            </w:pPr>
            <w:r w:rsidRPr="000915D0">
              <w:rPr>
                <w:rFonts w:ascii="Times New Roman" w:hAnsi="Times New Roman" w:cs="Times New Roman"/>
                <w:b/>
                <w:bCs/>
                <w:sz w:val="18"/>
                <w:szCs w:val="18"/>
              </w:rPr>
              <w:t>Dimensions</w:t>
            </w:r>
            <w:r w:rsidR="00C406F1" w:rsidRPr="000915D0">
              <w:rPr>
                <w:rFonts w:ascii="Times New Roman" w:hAnsi="Times New Roman" w:cs="Times New Roman"/>
                <w:b/>
                <w:bCs/>
                <w:sz w:val="18"/>
                <w:szCs w:val="18"/>
              </w:rPr>
              <w:t xml:space="preserve"> de la mobilisation</w:t>
            </w:r>
          </w:p>
        </w:tc>
        <w:tc>
          <w:tcPr>
            <w:tcW w:w="3021" w:type="dxa"/>
          </w:tcPr>
          <w:p w14:paraId="1C38D062" w14:textId="77777777" w:rsidR="00085B48" w:rsidRPr="000915D0" w:rsidRDefault="00085B48" w:rsidP="004632FB">
            <w:pPr>
              <w:spacing w:line="360" w:lineRule="auto"/>
              <w:jc w:val="both"/>
              <w:rPr>
                <w:rFonts w:ascii="Times New Roman" w:hAnsi="Times New Roman" w:cs="Times New Roman"/>
                <w:sz w:val="18"/>
                <w:szCs w:val="18"/>
              </w:rPr>
            </w:pPr>
            <w:r w:rsidRPr="000915D0">
              <w:rPr>
                <w:rFonts w:ascii="Times New Roman" w:hAnsi="Times New Roman" w:cs="Times New Roman"/>
                <w:sz w:val="18"/>
                <w:szCs w:val="18"/>
              </w:rPr>
              <w:t>Allemagne</w:t>
            </w:r>
          </w:p>
        </w:tc>
        <w:tc>
          <w:tcPr>
            <w:tcW w:w="3021" w:type="dxa"/>
          </w:tcPr>
          <w:p w14:paraId="4A9F06DC" w14:textId="77777777" w:rsidR="00085B48" w:rsidRPr="000915D0" w:rsidRDefault="00085B48" w:rsidP="004632FB">
            <w:pPr>
              <w:spacing w:line="360" w:lineRule="auto"/>
              <w:jc w:val="both"/>
              <w:rPr>
                <w:rFonts w:ascii="Times New Roman" w:hAnsi="Times New Roman" w:cs="Times New Roman"/>
                <w:sz w:val="18"/>
                <w:szCs w:val="18"/>
              </w:rPr>
            </w:pPr>
            <w:r w:rsidRPr="000915D0">
              <w:rPr>
                <w:rFonts w:ascii="Times New Roman" w:hAnsi="Times New Roman" w:cs="Times New Roman"/>
                <w:sz w:val="18"/>
                <w:szCs w:val="18"/>
              </w:rPr>
              <w:t>France</w:t>
            </w:r>
          </w:p>
        </w:tc>
      </w:tr>
      <w:tr w:rsidR="00085B48" w:rsidRPr="000915D0" w14:paraId="2212ADD3" w14:textId="77777777" w:rsidTr="004632FB">
        <w:tc>
          <w:tcPr>
            <w:tcW w:w="3020" w:type="dxa"/>
            <w:shd w:val="clear" w:color="auto" w:fill="BFBFBF" w:themeFill="background1" w:themeFillShade="BF"/>
          </w:tcPr>
          <w:p w14:paraId="3EA05EB6" w14:textId="77777777" w:rsidR="00085B48" w:rsidRPr="000915D0" w:rsidRDefault="00085B48" w:rsidP="004632FB">
            <w:pPr>
              <w:spacing w:line="360" w:lineRule="auto"/>
              <w:jc w:val="both"/>
              <w:rPr>
                <w:rFonts w:ascii="Times New Roman" w:hAnsi="Times New Roman" w:cs="Times New Roman"/>
                <w:b/>
                <w:bCs/>
                <w:sz w:val="18"/>
                <w:szCs w:val="18"/>
              </w:rPr>
            </w:pPr>
            <w:r w:rsidRPr="000915D0">
              <w:rPr>
                <w:rFonts w:ascii="Times New Roman" w:hAnsi="Times New Roman" w:cs="Times New Roman"/>
                <w:b/>
                <w:bCs/>
                <w:sz w:val="18"/>
                <w:szCs w:val="18"/>
              </w:rPr>
              <w:t>Contexte d’opportunité politique</w:t>
            </w:r>
          </w:p>
        </w:tc>
        <w:tc>
          <w:tcPr>
            <w:tcW w:w="3021" w:type="dxa"/>
          </w:tcPr>
          <w:p w14:paraId="295E5086" w14:textId="77777777" w:rsidR="00085B48" w:rsidRPr="000915D0" w:rsidRDefault="00085B48" w:rsidP="004632FB">
            <w:pPr>
              <w:spacing w:line="360" w:lineRule="auto"/>
              <w:jc w:val="both"/>
              <w:rPr>
                <w:rFonts w:ascii="Times New Roman" w:hAnsi="Times New Roman" w:cs="Times New Roman"/>
                <w:sz w:val="18"/>
                <w:szCs w:val="18"/>
              </w:rPr>
            </w:pPr>
            <w:r w:rsidRPr="000915D0">
              <w:rPr>
                <w:rFonts w:ascii="Times New Roman" w:hAnsi="Times New Roman" w:cs="Times New Roman"/>
                <w:sz w:val="18"/>
                <w:szCs w:val="18"/>
              </w:rPr>
              <w:t>Rupture très forte des institutions après la défaite (occupation, avènement de la RFA)</w:t>
            </w:r>
          </w:p>
        </w:tc>
        <w:tc>
          <w:tcPr>
            <w:tcW w:w="3021" w:type="dxa"/>
          </w:tcPr>
          <w:p w14:paraId="2243E771" w14:textId="77777777" w:rsidR="00085B48" w:rsidRPr="000915D0" w:rsidRDefault="00085B48" w:rsidP="004632FB">
            <w:pPr>
              <w:spacing w:line="360" w:lineRule="auto"/>
              <w:jc w:val="both"/>
              <w:rPr>
                <w:rFonts w:ascii="Times New Roman" w:hAnsi="Times New Roman" w:cs="Times New Roman"/>
                <w:sz w:val="18"/>
                <w:szCs w:val="18"/>
              </w:rPr>
            </w:pPr>
            <w:r w:rsidRPr="000915D0">
              <w:rPr>
                <w:rFonts w:ascii="Times New Roman" w:hAnsi="Times New Roman" w:cs="Times New Roman"/>
                <w:sz w:val="18"/>
                <w:szCs w:val="18"/>
              </w:rPr>
              <w:t>Rupture institutionnelle importante après la victoire (CNR, 4</w:t>
            </w:r>
            <w:r w:rsidRPr="000915D0">
              <w:rPr>
                <w:rFonts w:ascii="Times New Roman" w:hAnsi="Times New Roman" w:cs="Times New Roman"/>
                <w:sz w:val="18"/>
                <w:szCs w:val="18"/>
                <w:vertAlign w:val="superscript"/>
              </w:rPr>
              <w:t>ème</w:t>
            </w:r>
            <w:r w:rsidRPr="000915D0">
              <w:rPr>
                <w:rFonts w:ascii="Times New Roman" w:hAnsi="Times New Roman" w:cs="Times New Roman"/>
                <w:sz w:val="18"/>
                <w:szCs w:val="18"/>
              </w:rPr>
              <w:t>, puis 5</w:t>
            </w:r>
            <w:r w:rsidRPr="000915D0">
              <w:rPr>
                <w:rFonts w:ascii="Times New Roman" w:hAnsi="Times New Roman" w:cs="Times New Roman"/>
                <w:sz w:val="18"/>
                <w:szCs w:val="18"/>
                <w:vertAlign w:val="superscript"/>
              </w:rPr>
              <w:t>ème</w:t>
            </w:r>
            <w:r w:rsidRPr="000915D0">
              <w:rPr>
                <w:rFonts w:ascii="Times New Roman" w:hAnsi="Times New Roman" w:cs="Times New Roman"/>
                <w:sz w:val="18"/>
                <w:szCs w:val="18"/>
              </w:rPr>
              <w:t xml:space="preserve"> République). A la différence de l’Allemagne, les institutions principales sont restées en place.</w:t>
            </w:r>
          </w:p>
        </w:tc>
      </w:tr>
      <w:tr w:rsidR="00085B48" w:rsidRPr="000915D0" w14:paraId="2D95C2F4" w14:textId="77777777" w:rsidTr="004632FB">
        <w:tc>
          <w:tcPr>
            <w:tcW w:w="3020" w:type="dxa"/>
            <w:shd w:val="clear" w:color="auto" w:fill="BFBFBF" w:themeFill="background1" w:themeFillShade="BF"/>
          </w:tcPr>
          <w:p w14:paraId="41A32DFA" w14:textId="77777777" w:rsidR="00085B48" w:rsidRPr="000915D0" w:rsidRDefault="00085B48" w:rsidP="004632FB">
            <w:pPr>
              <w:spacing w:line="360" w:lineRule="auto"/>
              <w:jc w:val="both"/>
              <w:rPr>
                <w:rFonts w:ascii="Times New Roman" w:hAnsi="Times New Roman" w:cs="Times New Roman"/>
                <w:b/>
                <w:bCs/>
                <w:sz w:val="18"/>
                <w:szCs w:val="18"/>
              </w:rPr>
            </w:pPr>
            <w:r w:rsidRPr="000915D0">
              <w:rPr>
                <w:rFonts w:ascii="Times New Roman" w:hAnsi="Times New Roman" w:cs="Times New Roman"/>
                <w:b/>
                <w:bCs/>
                <w:sz w:val="18"/>
                <w:szCs w:val="18"/>
              </w:rPr>
              <w:t xml:space="preserve">Intérêts </w:t>
            </w:r>
          </w:p>
        </w:tc>
        <w:tc>
          <w:tcPr>
            <w:tcW w:w="3021" w:type="dxa"/>
          </w:tcPr>
          <w:p w14:paraId="2C279DBF" w14:textId="3180E8B9" w:rsidR="00085B48" w:rsidRPr="000915D0" w:rsidRDefault="00085B48" w:rsidP="004632FB">
            <w:pPr>
              <w:spacing w:line="360" w:lineRule="auto"/>
              <w:jc w:val="both"/>
              <w:rPr>
                <w:rFonts w:ascii="Times New Roman" w:hAnsi="Times New Roman" w:cs="Times New Roman"/>
                <w:sz w:val="18"/>
                <w:szCs w:val="18"/>
              </w:rPr>
            </w:pPr>
            <w:r w:rsidRPr="000915D0">
              <w:rPr>
                <w:rFonts w:ascii="Times New Roman" w:hAnsi="Times New Roman" w:cs="Times New Roman"/>
                <w:sz w:val="18"/>
                <w:szCs w:val="18"/>
              </w:rPr>
              <w:t>Partagés par une majorité</w:t>
            </w:r>
            <w:r w:rsidR="00546974" w:rsidRPr="000915D0">
              <w:rPr>
                <w:rFonts w:ascii="Times New Roman" w:hAnsi="Times New Roman" w:cs="Times New Roman"/>
                <w:sz w:val="18"/>
                <w:szCs w:val="18"/>
              </w:rPr>
              <w:t xml:space="preserve"> (</w:t>
            </w:r>
            <w:r w:rsidR="00F8798B" w:rsidRPr="000915D0">
              <w:rPr>
                <w:rFonts w:ascii="Times New Roman" w:hAnsi="Times New Roman" w:cs="Times New Roman"/>
                <w:sz w:val="18"/>
                <w:szCs w:val="18"/>
              </w:rPr>
              <w:t>au-delà de certains clivages</w:t>
            </w:r>
            <w:r w:rsidR="00F77FA9" w:rsidRPr="000915D0">
              <w:rPr>
                <w:rFonts w:ascii="Times New Roman" w:hAnsi="Times New Roman" w:cs="Times New Roman"/>
                <w:sz w:val="18"/>
                <w:szCs w:val="18"/>
              </w:rPr>
              <w:t xml:space="preserve"> syndicaux et politiques</w:t>
            </w:r>
            <w:r w:rsidR="00F8798B" w:rsidRPr="000915D0">
              <w:rPr>
                <w:rFonts w:ascii="Times New Roman" w:hAnsi="Times New Roman" w:cs="Times New Roman"/>
                <w:sz w:val="18"/>
                <w:szCs w:val="18"/>
              </w:rPr>
              <w:t xml:space="preserve"> historiques</w:t>
            </w:r>
            <w:r w:rsidR="00F77FA9" w:rsidRPr="000915D0">
              <w:rPr>
                <w:rFonts w:ascii="Times New Roman" w:hAnsi="Times New Roman" w:cs="Times New Roman"/>
                <w:sz w:val="18"/>
                <w:szCs w:val="18"/>
              </w:rPr>
              <w:t>)</w:t>
            </w:r>
          </w:p>
        </w:tc>
        <w:tc>
          <w:tcPr>
            <w:tcW w:w="3021" w:type="dxa"/>
          </w:tcPr>
          <w:p w14:paraId="06DB7EA2" w14:textId="2677EA3C" w:rsidR="00085B48" w:rsidRPr="000915D0" w:rsidRDefault="00085B48" w:rsidP="004632FB">
            <w:pPr>
              <w:spacing w:line="360" w:lineRule="auto"/>
              <w:jc w:val="both"/>
              <w:rPr>
                <w:rFonts w:ascii="Times New Roman" w:hAnsi="Times New Roman" w:cs="Times New Roman"/>
                <w:sz w:val="18"/>
                <w:szCs w:val="18"/>
              </w:rPr>
            </w:pPr>
            <w:r w:rsidRPr="000915D0">
              <w:rPr>
                <w:rFonts w:ascii="Times New Roman" w:hAnsi="Times New Roman" w:cs="Times New Roman"/>
                <w:sz w:val="18"/>
                <w:szCs w:val="18"/>
              </w:rPr>
              <w:t>Fractionnés</w:t>
            </w:r>
            <w:r w:rsidR="00B75D7E" w:rsidRPr="000915D0">
              <w:rPr>
                <w:rFonts w:ascii="Times New Roman" w:hAnsi="Times New Roman" w:cs="Times New Roman"/>
                <w:sz w:val="18"/>
                <w:szCs w:val="18"/>
              </w:rPr>
              <w:t xml:space="preserve"> (syndicats divisés </w:t>
            </w:r>
            <w:r w:rsidR="00087ABC" w:rsidRPr="000915D0">
              <w:rPr>
                <w:rFonts w:ascii="Times New Roman" w:hAnsi="Times New Roman" w:cs="Times New Roman"/>
                <w:sz w:val="18"/>
                <w:szCs w:val="18"/>
              </w:rPr>
              <w:t>sur la question)</w:t>
            </w:r>
          </w:p>
        </w:tc>
      </w:tr>
      <w:tr w:rsidR="00085B48" w:rsidRPr="000915D0" w14:paraId="14759132" w14:textId="77777777" w:rsidTr="004632FB">
        <w:tc>
          <w:tcPr>
            <w:tcW w:w="3020" w:type="dxa"/>
            <w:shd w:val="clear" w:color="auto" w:fill="BFBFBF" w:themeFill="background1" w:themeFillShade="BF"/>
          </w:tcPr>
          <w:p w14:paraId="6564C3A9" w14:textId="77777777" w:rsidR="00085B48" w:rsidRPr="000915D0" w:rsidRDefault="00085B48" w:rsidP="004632FB">
            <w:pPr>
              <w:spacing w:line="360" w:lineRule="auto"/>
              <w:jc w:val="both"/>
              <w:rPr>
                <w:rFonts w:ascii="Times New Roman" w:hAnsi="Times New Roman" w:cs="Times New Roman"/>
                <w:b/>
                <w:bCs/>
                <w:sz w:val="18"/>
                <w:szCs w:val="18"/>
              </w:rPr>
            </w:pPr>
            <w:r w:rsidRPr="000915D0">
              <w:rPr>
                <w:rFonts w:ascii="Times New Roman" w:hAnsi="Times New Roman" w:cs="Times New Roman"/>
                <w:b/>
                <w:bCs/>
                <w:sz w:val="18"/>
                <w:szCs w:val="18"/>
              </w:rPr>
              <w:t>Infrastructure organisationnelle</w:t>
            </w:r>
          </w:p>
        </w:tc>
        <w:tc>
          <w:tcPr>
            <w:tcW w:w="3021" w:type="dxa"/>
          </w:tcPr>
          <w:p w14:paraId="65B30D00" w14:textId="3E671D63" w:rsidR="00085B48" w:rsidRPr="000915D0" w:rsidRDefault="00085B48" w:rsidP="004632FB">
            <w:pPr>
              <w:spacing w:line="360" w:lineRule="auto"/>
              <w:jc w:val="both"/>
              <w:rPr>
                <w:rFonts w:ascii="Times New Roman" w:hAnsi="Times New Roman" w:cs="Times New Roman"/>
                <w:sz w:val="18"/>
                <w:szCs w:val="18"/>
              </w:rPr>
            </w:pPr>
            <w:r w:rsidRPr="000915D0">
              <w:rPr>
                <w:rFonts w:ascii="Times New Roman" w:hAnsi="Times New Roman" w:cs="Times New Roman"/>
                <w:sz w:val="18"/>
                <w:szCs w:val="18"/>
              </w:rPr>
              <w:t>Réseaux actifs et étendus qui permettent de dépasser certains clivages politico-sociaux</w:t>
            </w:r>
            <w:r w:rsidR="00A84617" w:rsidRPr="000915D0">
              <w:rPr>
                <w:rFonts w:ascii="Times New Roman" w:hAnsi="Times New Roman" w:cs="Times New Roman"/>
                <w:sz w:val="18"/>
                <w:szCs w:val="18"/>
              </w:rPr>
              <w:t xml:space="preserve"> </w:t>
            </w:r>
            <w:r w:rsidR="00E04352" w:rsidRPr="000915D0">
              <w:rPr>
                <w:rFonts w:ascii="Times New Roman" w:hAnsi="Times New Roman" w:cs="Times New Roman"/>
                <w:sz w:val="18"/>
                <w:szCs w:val="18"/>
              </w:rPr>
              <w:t>(syndicalisme catholique fusionné au sein du DGB</w:t>
            </w:r>
            <w:r w:rsidR="009E7A30" w:rsidRPr="000915D0">
              <w:rPr>
                <w:rFonts w:ascii="Times New Roman" w:hAnsi="Times New Roman" w:cs="Times New Roman"/>
                <w:sz w:val="18"/>
                <w:szCs w:val="18"/>
              </w:rPr>
              <w:t> ; frange catholique sociale de la CDU)</w:t>
            </w:r>
          </w:p>
        </w:tc>
        <w:tc>
          <w:tcPr>
            <w:tcW w:w="3021" w:type="dxa"/>
          </w:tcPr>
          <w:p w14:paraId="21069457" w14:textId="77777777" w:rsidR="00085B48" w:rsidRPr="000915D0" w:rsidRDefault="00085B48" w:rsidP="004632FB">
            <w:pPr>
              <w:spacing w:line="360" w:lineRule="auto"/>
              <w:jc w:val="both"/>
              <w:rPr>
                <w:rFonts w:ascii="Times New Roman" w:hAnsi="Times New Roman" w:cs="Times New Roman"/>
                <w:sz w:val="18"/>
                <w:szCs w:val="18"/>
              </w:rPr>
            </w:pPr>
            <w:r w:rsidRPr="000915D0">
              <w:rPr>
                <w:rFonts w:ascii="Times New Roman" w:hAnsi="Times New Roman" w:cs="Times New Roman"/>
                <w:sz w:val="18"/>
                <w:szCs w:val="18"/>
              </w:rPr>
              <w:t>Certains réseaux ont fonctionné mais sans réelle capacité à mobiliser au-delà des clivages traditionnels</w:t>
            </w:r>
          </w:p>
        </w:tc>
      </w:tr>
      <w:tr w:rsidR="00085B48" w:rsidRPr="000915D0" w14:paraId="51670440" w14:textId="77777777" w:rsidTr="004632FB">
        <w:tc>
          <w:tcPr>
            <w:tcW w:w="3020" w:type="dxa"/>
            <w:shd w:val="clear" w:color="auto" w:fill="BFBFBF" w:themeFill="background1" w:themeFillShade="BF"/>
          </w:tcPr>
          <w:p w14:paraId="7D4FD87E" w14:textId="77777777" w:rsidR="00085B48" w:rsidRPr="000915D0" w:rsidRDefault="00085B48" w:rsidP="004632FB">
            <w:pPr>
              <w:spacing w:line="360" w:lineRule="auto"/>
              <w:jc w:val="both"/>
              <w:rPr>
                <w:rFonts w:ascii="Times New Roman" w:hAnsi="Times New Roman" w:cs="Times New Roman"/>
                <w:b/>
                <w:bCs/>
                <w:sz w:val="18"/>
                <w:szCs w:val="18"/>
              </w:rPr>
            </w:pPr>
            <w:r w:rsidRPr="000915D0">
              <w:rPr>
                <w:rFonts w:ascii="Times New Roman" w:hAnsi="Times New Roman" w:cs="Times New Roman"/>
                <w:b/>
                <w:bCs/>
                <w:sz w:val="18"/>
                <w:szCs w:val="18"/>
              </w:rPr>
              <w:t>Dynamique de la mobilisation</w:t>
            </w:r>
          </w:p>
        </w:tc>
        <w:tc>
          <w:tcPr>
            <w:tcW w:w="3021" w:type="dxa"/>
          </w:tcPr>
          <w:p w14:paraId="7B3155DA" w14:textId="7892E461" w:rsidR="00085B48" w:rsidRPr="000915D0" w:rsidRDefault="00085B48" w:rsidP="004632FB">
            <w:pPr>
              <w:spacing w:line="360" w:lineRule="auto"/>
              <w:jc w:val="both"/>
              <w:rPr>
                <w:rFonts w:ascii="Times New Roman" w:hAnsi="Times New Roman" w:cs="Times New Roman"/>
                <w:sz w:val="18"/>
                <w:szCs w:val="18"/>
              </w:rPr>
            </w:pPr>
            <w:r w:rsidRPr="000915D0">
              <w:rPr>
                <w:rFonts w:ascii="Times New Roman" w:hAnsi="Times New Roman" w:cs="Times New Roman"/>
                <w:sz w:val="18"/>
                <w:szCs w:val="18"/>
              </w:rPr>
              <w:t>Menée par des acteurs visibles et engagés</w:t>
            </w:r>
            <w:r w:rsidR="00F40202" w:rsidRPr="000915D0">
              <w:rPr>
                <w:rFonts w:ascii="Times New Roman" w:hAnsi="Times New Roman" w:cs="Times New Roman"/>
                <w:sz w:val="18"/>
                <w:szCs w:val="18"/>
              </w:rPr>
              <w:t xml:space="preserve"> (Böckler et Föcher</w:t>
            </w:r>
            <w:r w:rsidR="0037187D" w:rsidRPr="000915D0">
              <w:rPr>
                <w:rFonts w:ascii="Times New Roman" w:hAnsi="Times New Roman" w:cs="Times New Roman"/>
                <w:sz w:val="18"/>
                <w:szCs w:val="18"/>
              </w:rPr>
              <w:t> ; menace crédible d’une gr</w:t>
            </w:r>
            <w:r w:rsidR="00823B3B" w:rsidRPr="000915D0">
              <w:rPr>
                <w:rFonts w:ascii="Times New Roman" w:hAnsi="Times New Roman" w:cs="Times New Roman"/>
                <w:sz w:val="18"/>
                <w:szCs w:val="18"/>
              </w:rPr>
              <w:t xml:space="preserve">ève lourde de </w:t>
            </w:r>
            <w:r w:rsidR="00823B3B" w:rsidRPr="000915D0">
              <w:rPr>
                <w:rFonts w:ascii="Times New Roman" w:hAnsi="Times New Roman" w:cs="Times New Roman"/>
                <w:sz w:val="18"/>
                <w:szCs w:val="18"/>
              </w:rPr>
              <w:lastRenderedPageBreak/>
              <w:t xml:space="preserve">conséquences pour la paix sociale de la jeune </w:t>
            </w:r>
            <w:r w:rsidR="00A84617" w:rsidRPr="000915D0">
              <w:rPr>
                <w:rFonts w:ascii="Times New Roman" w:hAnsi="Times New Roman" w:cs="Times New Roman"/>
                <w:sz w:val="18"/>
                <w:szCs w:val="18"/>
              </w:rPr>
              <w:t>République Fédérale</w:t>
            </w:r>
            <w:r w:rsidR="00F40202" w:rsidRPr="000915D0">
              <w:rPr>
                <w:rFonts w:ascii="Times New Roman" w:hAnsi="Times New Roman" w:cs="Times New Roman"/>
                <w:sz w:val="18"/>
                <w:szCs w:val="18"/>
              </w:rPr>
              <w:t>)</w:t>
            </w:r>
          </w:p>
        </w:tc>
        <w:tc>
          <w:tcPr>
            <w:tcW w:w="3021" w:type="dxa"/>
          </w:tcPr>
          <w:p w14:paraId="2EB7849B" w14:textId="77777777" w:rsidR="00085B48" w:rsidRPr="000915D0" w:rsidRDefault="00085B48" w:rsidP="004632FB">
            <w:pPr>
              <w:spacing w:line="360" w:lineRule="auto"/>
              <w:jc w:val="both"/>
              <w:rPr>
                <w:rFonts w:ascii="Times New Roman" w:hAnsi="Times New Roman" w:cs="Times New Roman"/>
                <w:sz w:val="18"/>
                <w:szCs w:val="18"/>
              </w:rPr>
            </w:pPr>
            <w:r w:rsidRPr="000915D0">
              <w:rPr>
                <w:rFonts w:ascii="Times New Roman" w:hAnsi="Times New Roman" w:cs="Times New Roman"/>
                <w:sz w:val="18"/>
                <w:szCs w:val="18"/>
              </w:rPr>
              <w:lastRenderedPageBreak/>
              <w:t>Absence de leader charismatique et puissant</w:t>
            </w:r>
          </w:p>
        </w:tc>
      </w:tr>
      <w:tr w:rsidR="00085B48" w:rsidRPr="000915D0" w14:paraId="58D06067" w14:textId="77777777" w:rsidTr="005A2601">
        <w:tc>
          <w:tcPr>
            <w:tcW w:w="3020" w:type="dxa"/>
            <w:shd w:val="clear" w:color="auto" w:fill="BFBFBF" w:themeFill="background1" w:themeFillShade="BF"/>
          </w:tcPr>
          <w:p w14:paraId="781AF233" w14:textId="77777777" w:rsidR="00085B48" w:rsidRPr="000915D0" w:rsidRDefault="00085B48" w:rsidP="004632FB">
            <w:pPr>
              <w:spacing w:line="360" w:lineRule="auto"/>
              <w:jc w:val="both"/>
              <w:rPr>
                <w:rFonts w:ascii="Times New Roman" w:hAnsi="Times New Roman" w:cs="Times New Roman"/>
                <w:b/>
                <w:bCs/>
                <w:sz w:val="18"/>
                <w:szCs w:val="18"/>
              </w:rPr>
            </w:pPr>
            <w:r w:rsidRPr="000915D0">
              <w:rPr>
                <w:rFonts w:ascii="Times New Roman" w:hAnsi="Times New Roman" w:cs="Times New Roman"/>
                <w:b/>
                <w:bCs/>
                <w:sz w:val="18"/>
                <w:szCs w:val="18"/>
              </w:rPr>
              <w:t>Institution socle</w:t>
            </w:r>
          </w:p>
        </w:tc>
        <w:tc>
          <w:tcPr>
            <w:tcW w:w="3021" w:type="dxa"/>
            <w:shd w:val="clear" w:color="auto" w:fill="BFBFBF" w:themeFill="background1" w:themeFillShade="BF"/>
          </w:tcPr>
          <w:p w14:paraId="3CCA7E65" w14:textId="5DEE0D1E" w:rsidR="00085B48" w:rsidRPr="000915D0" w:rsidRDefault="00085B48" w:rsidP="004632FB">
            <w:pPr>
              <w:spacing w:line="360" w:lineRule="auto"/>
              <w:jc w:val="both"/>
              <w:rPr>
                <w:rFonts w:ascii="Times New Roman" w:hAnsi="Times New Roman" w:cs="Times New Roman"/>
                <w:sz w:val="18"/>
                <w:szCs w:val="18"/>
              </w:rPr>
            </w:pPr>
            <w:r w:rsidRPr="000915D0">
              <w:rPr>
                <w:rFonts w:ascii="Times New Roman" w:hAnsi="Times New Roman" w:cs="Times New Roman"/>
                <w:sz w:val="18"/>
                <w:szCs w:val="18"/>
              </w:rPr>
              <w:t>Eglise catholique</w:t>
            </w:r>
            <w:r w:rsidR="00A2623D" w:rsidRPr="000915D0">
              <w:rPr>
                <w:rFonts w:ascii="Times New Roman" w:hAnsi="Times New Roman" w:cs="Times New Roman"/>
                <w:sz w:val="18"/>
                <w:szCs w:val="18"/>
              </w:rPr>
              <w:t xml:space="preserve"> (Katholikentag</w:t>
            </w:r>
            <w:r w:rsidR="00950480" w:rsidRPr="000915D0">
              <w:rPr>
                <w:rFonts w:ascii="Times New Roman" w:hAnsi="Times New Roman" w:cs="Times New Roman"/>
                <w:sz w:val="18"/>
                <w:szCs w:val="18"/>
              </w:rPr>
              <w:t>, archevêque de Cologne, encycliques sociales</w:t>
            </w:r>
            <w:r w:rsidR="0037187D" w:rsidRPr="000915D0">
              <w:rPr>
                <w:rFonts w:ascii="Times New Roman" w:hAnsi="Times New Roman" w:cs="Times New Roman"/>
                <w:sz w:val="18"/>
                <w:szCs w:val="18"/>
              </w:rPr>
              <w:t>, …</w:t>
            </w:r>
            <w:r w:rsidR="00950480" w:rsidRPr="000915D0">
              <w:rPr>
                <w:rFonts w:ascii="Times New Roman" w:hAnsi="Times New Roman" w:cs="Times New Roman"/>
                <w:sz w:val="18"/>
                <w:szCs w:val="18"/>
              </w:rPr>
              <w:t>)</w:t>
            </w:r>
          </w:p>
        </w:tc>
        <w:tc>
          <w:tcPr>
            <w:tcW w:w="3021" w:type="dxa"/>
            <w:shd w:val="clear" w:color="auto" w:fill="BFBFBF" w:themeFill="background1" w:themeFillShade="BF"/>
          </w:tcPr>
          <w:p w14:paraId="3F5FC9E0" w14:textId="1EB75B51" w:rsidR="00085B48" w:rsidRPr="000915D0" w:rsidRDefault="00085B48" w:rsidP="004632FB">
            <w:pPr>
              <w:spacing w:line="360" w:lineRule="auto"/>
              <w:jc w:val="both"/>
              <w:rPr>
                <w:rFonts w:ascii="Times New Roman" w:hAnsi="Times New Roman" w:cs="Times New Roman"/>
                <w:sz w:val="18"/>
                <w:szCs w:val="18"/>
              </w:rPr>
            </w:pPr>
            <w:r w:rsidRPr="000915D0">
              <w:rPr>
                <w:rFonts w:ascii="Times New Roman" w:hAnsi="Times New Roman" w:cs="Times New Roman"/>
                <w:sz w:val="18"/>
                <w:szCs w:val="18"/>
              </w:rPr>
              <w:t xml:space="preserve">Aucune </w:t>
            </w:r>
            <w:r w:rsidRPr="000915D0">
              <w:rPr>
                <w:rFonts w:ascii="Times New Roman" w:hAnsi="Times New Roman" w:cs="Times New Roman"/>
                <w:i/>
                <w:iCs/>
                <w:sz w:val="18"/>
                <w:szCs w:val="18"/>
              </w:rPr>
              <w:t>a priori</w:t>
            </w:r>
            <w:r w:rsidRPr="000915D0">
              <w:rPr>
                <w:rFonts w:ascii="Times New Roman" w:hAnsi="Times New Roman" w:cs="Times New Roman"/>
                <w:sz w:val="18"/>
                <w:szCs w:val="18"/>
              </w:rPr>
              <w:t xml:space="preserve"> – aurait pu être incarné</w:t>
            </w:r>
            <w:r w:rsidR="00DE74FC" w:rsidRPr="000915D0">
              <w:rPr>
                <w:rFonts w:ascii="Times New Roman" w:hAnsi="Times New Roman" w:cs="Times New Roman"/>
                <w:sz w:val="18"/>
                <w:szCs w:val="18"/>
              </w:rPr>
              <w:t>e</w:t>
            </w:r>
            <w:r w:rsidRPr="000915D0">
              <w:rPr>
                <w:rFonts w:ascii="Times New Roman" w:hAnsi="Times New Roman" w:cs="Times New Roman"/>
                <w:sz w:val="18"/>
                <w:szCs w:val="18"/>
              </w:rPr>
              <w:t xml:space="preserve"> par les grands corps de l’Etat</w:t>
            </w:r>
            <w:r w:rsidR="00DE74FC" w:rsidRPr="000915D0">
              <w:rPr>
                <w:rFonts w:ascii="Times New Roman" w:hAnsi="Times New Roman" w:cs="Times New Roman"/>
                <w:sz w:val="18"/>
                <w:szCs w:val="18"/>
              </w:rPr>
              <w:t xml:space="preserve"> mais n’a pas joué</w:t>
            </w:r>
            <w:r w:rsidR="004D67A8" w:rsidRPr="000915D0">
              <w:rPr>
                <w:rFonts w:ascii="Times New Roman" w:hAnsi="Times New Roman" w:cs="Times New Roman"/>
                <w:sz w:val="18"/>
                <w:szCs w:val="18"/>
              </w:rPr>
              <w:t xml:space="preserve"> pour légitimer la perception d’un intérêt partagé pour la codéterminat</w:t>
            </w:r>
            <w:r w:rsidR="006F1CD6" w:rsidRPr="000915D0">
              <w:rPr>
                <w:rFonts w:ascii="Times New Roman" w:hAnsi="Times New Roman" w:cs="Times New Roman"/>
                <w:sz w:val="18"/>
                <w:szCs w:val="18"/>
              </w:rPr>
              <w:t>ion</w:t>
            </w:r>
          </w:p>
        </w:tc>
      </w:tr>
    </w:tbl>
    <w:p w14:paraId="17B79411" w14:textId="77777777" w:rsidR="00026420" w:rsidRPr="000915D0" w:rsidRDefault="00026420" w:rsidP="00085B48">
      <w:pPr>
        <w:spacing w:line="360" w:lineRule="auto"/>
        <w:jc w:val="both"/>
        <w:rPr>
          <w:rFonts w:ascii="Times New Roman" w:hAnsi="Times New Roman" w:cs="Times New Roman"/>
          <w:sz w:val="24"/>
          <w:szCs w:val="24"/>
        </w:rPr>
      </w:pPr>
    </w:p>
    <w:p w14:paraId="12B70A0F" w14:textId="7D2AF319" w:rsidR="00085B48" w:rsidRPr="000915D0" w:rsidRDefault="00085B48" w:rsidP="006F3209">
      <w:pPr>
        <w:pStyle w:val="Paragraphedeliste"/>
        <w:numPr>
          <w:ilvl w:val="0"/>
          <w:numId w:val="7"/>
        </w:numPr>
        <w:spacing w:line="360" w:lineRule="auto"/>
        <w:jc w:val="both"/>
        <w:rPr>
          <w:rFonts w:ascii="Times New Roman" w:hAnsi="Times New Roman" w:cs="Times New Roman"/>
          <w:b/>
          <w:sz w:val="24"/>
          <w:szCs w:val="24"/>
        </w:rPr>
      </w:pPr>
      <w:r w:rsidRPr="000915D0">
        <w:rPr>
          <w:rFonts w:ascii="Times New Roman" w:hAnsi="Times New Roman" w:cs="Times New Roman"/>
          <w:b/>
          <w:sz w:val="24"/>
          <w:szCs w:val="24"/>
        </w:rPr>
        <w:t>Discussion</w:t>
      </w:r>
    </w:p>
    <w:p w14:paraId="57F38E54" w14:textId="00A989F7" w:rsidR="006A5016" w:rsidRPr="000915D0" w:rsidRDefault="00E9155B" w:rsidP="006A5016">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A la suite de notre travail empirique comparatif, il ressort</w:t>
      </w:r>
      <w:r w:rsidR="00CC51A3" w:rsidRPr="000915D0">
        <w:rPr>
          <w:rFonts w:ascii="Times New Roman" w:hAnsi="Times New Roman" w:cs="Times New Roman"/>
          <w:sz w:val="24"/>
          <w:szCs w:val="24"/>
        </w:rPr>
        <w:t xml:space="preserve"> que</w:t>
      </w:r>
      <w:r w:rsidRPr="000915D0">
        <w:rPr>
          <w:rFonts w:ascii="Times New Roman" w:hAnsi="Times New Roman" w:cs="Times New Roman"/>
          <w:sz w:val="24"/>
          <w:szCs w:val="24"/>
        </w:rPr>
        <w:t xml:space="preserve"> </w:t>
      </w:r>
      <w:r w:rsidR="00263504" w:rsidRPr="000915D0">
        <w:rPr>
          <w:rFonts w:ascii="Times New Roman" w:hAnsi="Times New Roman" w:cs="Times New Roman"/>
          <w:sz w:val="24"/>
          <w:szCs w:val="24"/>
        </w:rPr>
        <w:t>la</w:t>
      </w:r>
      <w:r w:rsidRPr="000915D0">
        <w:rPr>
          <w:rFonts w:ascii="Times New Roman" w:hAnsi="Times New Roman" w:cs="Times New Roman"/>
          <w:sz w:val="24"/>
          <w:szCs w:val="24"/>
        </w:rPr>
        <w:t xml:space="preserve"> codétermination </w:t>
      </w:r>
      <w:r w:rsidR="00263504" w:rsidRPr="000915D0">
        <w:rPr>
          <w:rFonts w:ascii="Times New Roman" w:hAnsi="Times New Roman" w:cs="Times New Roman"/>
          <w:sz w:val="24"/>
          <w:szCs w:val="24"/>
        </w:rPr>
        <w:t xml:space="preserve">ne </w:t>
      </w:r>
      <w:r w:rsidRPr="000915D0">
        <w:rPr>
          <w:rFonts w:ascii="Times New Roman" w:hAnsi="Times New Roman" w:cs="Times New Roman"/>
          <w:sz w:val="24"/>
          <w:szCs w:val="24"/>
        </w:rPr>
        <w:t xml:space="preserve">s’est </w:t>
      </w:r>
      <w:r w:rsidR="00263504" w:rsidRPr="000915D0">
        <w:rPr>
          <w:rFonts w:ascii="Times New Roman" w:hAnsi="Times New Roman" w:cs="Times New Roman"/>
          <w:sz w:val="24"/>
          <w:szCs w:val="24"/>
        </w:rPr>
        <w:t xml:space="preserve">pas </w:t>
      </w:r>
      <w:r w:rsidRPr="000915D0">
        <w:rPr>
          <w:rFonts w:ascii="Times New Roman" w:hAnsi="Times New Roman" w:cs="Times New Roman"/>
          <w:sz w:val="24"/>
          <w:szCs w:val="24"/>
        </w:rPr>
        <w:t>installé</w:t>
      </w:r>
      <w:r w:rsidR="00263504" w:rsidRPr="000915D0">
        <w:rPr>
          <w:rFonts w:ascii="Times New Roman" w:hAnsi="Times New Roman" w:cs="Times New Roman"/>
          <w:sz w:val="24"/>
          <w:szCs w:val="24"/>
        </w:rPr>
        <w:t>e</w:t>
      </w:r>
      <w:r w:rsidRPr="000915D0">
        <w:rPr>
          <w:rFonts w:ascii="Times New Roman" w:hAnsi="Times New Roman" w:cs="Times New Roman"/>
          <w:sz w:val="24"/>
          <w:szCs w:val="24"/>
        </w:rPr>
        <w:t xml:space="preserve"> en </w:t>
      </w:r>
      <w:r w:rsidR="00976BF1" w:rsidRPr="000915D0">
        <w:rPr>
          <w:rFonts w:ascii="Times New Roman" w:hAnsi="Times New Roman" w:cs="Times New Roman"/>
          <w:sz w:val="24"/>
          <w:szCs w:val="24"/>
        </w:rPr>
        <w:t>Allemagne de façon déterministe</w:t>
      </w:r>
      <w:r w:rsidR="00263504" w:rsidRPr="000915D0">
        <w:rPr>
          <w:rFonts w:ascii="Times New Roman" w:hAnsi="Times New Roman" w:cs="Times New Roman"/>
          <w:sz w:val="24"/>
          <w:szCs w:val="24"/>
        </w:rPr>
        <w:t xml:space="preserve"> en rai</w:t>
      </w:r>
      <w:r w:rsidR="00B650AA" w:rsidRPr="000915D0">
        <w:rPr>
          <w:rFonts w:ascii="Times New Roman" w:hAnsi="Times New Roman" w:cs="Times New Roman"/>
          <w:sz w:val="24"/>
          <w:szCs w:val="24"/>
        </w:rPr>
        <w:t>s</w:t>
      </w:r>
      <w:r w:rsidR="00263504" w:rsidRPr="000915D0">
        <w:rPr>
          <w:rFonts w:ascii="Times New Roman" w:hAnsi="Times New Roman" w:cs="Times New Roman"/>
          <w:sz w:val="24"/>
          <w:szCs w:val="24"/>
        </w:rPr>
        <w:t>on d’une spécificité culturelle</w:t>
      </w:r>
      <w:r w:rsidRPr="000915D0">
        <w:rPr>
          <w:rFonts w:ascii="Times New Roman" w:hAnsi="Times New Roman" w:cs="Times New Roman"/>
          <w:sz w:val="24"/>
          <w:szCs w:val="24"/>
        </w:rPr>
        <w:t xml:space="preserve"> mais </w:t>
      </w:r>
      <w:r w:rsidR="000B4386" w:rsidRPr="000915D0">
        <w:rPr>
          <w:rFonts w:ascii="Times New Roman" w:hAnsi="Times New Roman" w:cs="Times New Roman"/>
          <w:sz w:val="24"/>
          <w:szCs w:val="24"/>
        </w:rPr>
        <w:t>du fait de</w:t>
      </w:r>
      <w:r w:rsidR="00163811" w:rsidRPr="000915D0">
        <w:rPr>
          <w:rFonts w:ascii="Times New Roman" w:hAnsi="Times New Roman" w:cs="Times New Roman"/>
          <w:sz w:val="24"/>
          <w:szCs w:val="24"/>
        </w:rPr>
        <w:t xml:space="preserve"> facteurs</w:t>
      </w:r>
      <w:r w:rsidRPr="000915D0">
        <w:rPr>
          <w:rFonts w:ascii="Times New Roman" w:hAnsi="Times New Roman" w:cs="Times New Roman"/>
          <w:sz w:val="24"/>
          <w:szCs w:val="24"/>
        </w:rPr>
        <w:t xml:space="preserve"> </w:t>
      </w:r>
      <w:r w:rsidR="00163811" w:rsidRPr="000915D0">
        <w:rPr>
          <w:rFonts w:ascii="Times New Roman" w:hAnsi="Times New Roman" w:cs="Times New Roman"/>
          <w:sz w:val="24"/>
          <w:szCs w:val="24"/>
        </w:rPr>
        <w:t xml:space="preserve">de </w:t>
      </w:r>
      <w:r w:rsidRPr="000915D0">
        <w:rPr>
          <w:rFonts w:ascii="Times New Roman" w:hAnsi="Times New Roman" w:cs="Times New Roman"/>
          <w:sz w:val="24"/>
          <w:szCs w:val="24"/>
        </w:rPr>
        <w:t>mobilisation</w:t>
      </w:r>
      <w:r w:rsidR="000B4386" w:rsidRPr="000915D0">
        <w:rPr>
          <w:rFonts w:ascii="Times New Roman" w:hAnsi="Times New Roman" w:cs="Times New Roman"/>
          <w:sz w:val="24"/>
          <w:szCs w:val="24"/>
        </w:rPr>
        <w:t xml:space="preserve"> identifiés par Davis et Thompson (1994) et déjà mis en lumière par Gomez et Wirtz (2018)</w:t>
      </w:r>
      <w:r w:rsidRPr="000915D0">
        <w:rPr>
          <w:rFonts w:ascii="Times New Roman" w:hAnsi="Times New Roman" w:cs="Times New Roman"/>
          <w:sz w:val="24"/>
          <w:szCs w:val="24"/>
        </w:rPr>
        <w:t xml:space="preserve">. </w:t>
      </w:r>
      <w:r w:rsidR="00B976AB" w:rsidRPr="000915D0">
        <w:rPr>
          <w:rFonts w:ascii="Times New Roman" w:hAnsi="Times New Roman" w:cs="Times New Roman"/>
          <w:sz w:val="24"/>
          <w:szCs w:val="24"/>
        </w:rPr>
        <w:t>L</w:t>
      </w:r>
      <w:r w:rsidR="00080827" w:rsidRPr="000915D0">
        <w:rPr>
          <w:rFonts w:ascii="Times New Roman" w:hAnsi="Times New Roman" w:cs="Times New Roman"/>
          <w:sz w:val="24"/>
          <w:szCs w:val="24"/>
        </w:rPr>
        <w:t xml:space="preserve">’absence de </w:t>
      </w:r>
      <w:r w:rsidR="00B650AA" w:rsidRPr="000915D0">
        <w:rPr>
          <w:rFonts w:ascii="Times New Roman" w:hAnsi="Times New Roman" w:cs="Times New Roman"/>
          <w:sz w:val="24"/>
          <w:szCs w:val="24"/>
        </w:rPr>
        <w:t xml:space="preserve">plusieurs de ces </w:t>
      </w:r>
      <w:r w:rsidR="00080827" w:rsidRPr="000915D0">
        <w:rPr>
          <w:rFonts w:ascii="Times New Roman" w:hAnsi="Times New Roman" w:cs="Times New Roman"/>
          <w:sz w:val="24"/>
          <w:szCs w:val="24"/>
        </w:rPr>
        <w:t xml:space="preserve">facteurs de mobilisation a </w:t>
      </w:r>
      <w:r w:rsidR="00B650AA" w:rsidRPr="000915D0">
        <w:rPr>
          <w:rFonts w:ascii="Times New Roman" w:hAnsi="Times New Roman" w:cs="Times New Roman"/>
          <w:sz w:val="24"/>
          <w:szCs w:val="24"/>
        </w:rPr>
        <w:t>empêché</w:t>
      </w:r>
      <w:r w:rsidR="00080827" w:rsidRPr="000915D0">
        <w:rPr>
          <w:rFonts w:ascii="Times New Roman" w:hAnsi="Times New Roman" w:cs="Times New Roman"/>
          <w:sz w:val="24"/>
          <w:szCs w:val="24"/>
        </w:rPr>
        <w:t xml:space="preserve"> la codétermination de </w:t>
      </w:r>
      <w:r w:rsidR="00B976AB" w:rsidRPr="000915D0">
        <w:rPr>
          <w:rFonts w:ascii="Times New Roman" w:hAnsi="Times New Roman" w:cs="Times New Roman"/>
          <w:sz w:val="24"/>
          <w:szCs w:val="24"/>
        </w:rPr>
        <w:t>s’imposer en France en dépit d’</w:t>
      </w:r>
      <w:r w:rsidR="00C15B4F" w:rsidRPr="000915D0">
        <w:rPr>
          <w:rFonts w:ascii="Times New Roman" w:hAnsi="Times New Roman" w:cs="Times New Roman"/>
          <w:sz w:val="24"/>
          <w:szCs w:val="24"/>
        </w:rPr>
        <w:t>un contexte d’opportunité politique qui aurait pu être favorable</w:t>
      </w:r>
      <w:r w:rsidR="00B650AA" w:rsidRPr="000915D0">
        <w:rPr>
          <w:rFonts w:ascii="Times New Roman" w:hAnsi="Times New Roman" w:cs="Times New Roman"/>
          <w:sz w:val="24"/>
          <w:szCs w:val="24"/>
        </w:rPr>
        <w:t xml:space="preserve"> </w:t>
      </w:r>
      <w:r w:rsidR="00FE7349" w:rsidRPr="000915D0">
        <w:rPr>
          <w:rFonts w:ascii="Times New Roman" w:hAnsi="Times New Roman" w:cs="Times New Roman"/>
          <w:sz w:val="24"/>
          <w:szCs w:val="24"/>
        </w:rPr>
        <w:t>pendant</w:t>
      </w:r>
      <w:r w:rsidR="00B650AA" w:rsidRPr="000915D0">
        <w:rPr>
          <w:rFonts w:ascii="Times New Roman" w:hAnsi="Times New Roman" w:cs="Times New Roman"/>
          <w:sz w:val="24"/>
          <w:szCs w:val="24"/>
        </w:rPr>
        <w:t xml:space="preserve"> plusieurs périodes de son histoire</w:t>
      </w:r>
      <w:r w:rsidRPr="000915D0">
        <w:rPr>
          <w:rFonts w:ascii="Times New Roman" w:hAnsi="Times New Roman" w:cs="Times New Roman"/>
          <w:sz w:val="24"/>
          <w:szCs w:val="24"/>
        </w:rPr>
        <w:t>.</w:t>
      </w:r>
      <w:r w:rsidR="00264196" w:rsidRPr="000915D0">
        <w:rPr>
          <w:rFonts w:ascii="Times New Roman" w:hAnsi="Times New Roman" w:cs="Times New Roman"/>
          <w:sz w:val="24"/>
          <w:szCs w:val="24"/>
        </w:rPr>
        <w:t xml:space="preserve"> </w:t>
      </w:r>
      <w:r w:rsidR="000B3BF1" w:rsidRPr="000915D0">
        <w:rPr>
          <w:rFonts w:ascii="Times New Roman" w:hAnsi="Times New Roman" w:cs="Times New Roman"/>
          <w:sz w:val="24"/>
          <w:szCs w:val="24"/>
        </w:rPr>
        <w:t>Les intérêts des acteurs ne convergeaient pas</w:t>
      </w:r>
      <w:r w:rsidR="000B6DA8" w:rsidRPr="000915D0">
        <w:rPr>
          <w:rFonts w:ascii="Times New Roman" w:hAnsi="Times New Roman" w:cs="Times New Roman"/>
          <w:sz w:val="24"/>
          <w:szCs w:val="24"/>
        </w:rPr>
        <w:t>.</w:t>
      </w:r>
      <w:r w:rsidRPr="000915D0">
        <w:rPr>
          <w:rFonts w:ascii="Times New Roman" w:hAnsi="Times New Roman" w:cs="Times New Roman"/>
          <w:sz w:val="24"/>
          <w:szCs w:val="24"/>
        </w:rPr>
        <w:t xml:space="preserve"> </w:t>
      </w:r>
      <w:r w:rsidR="000F18F6" w:rsidRPr="000915D0">
        <w:rPr>
          <w:rFonts w:ascii="Times New Roman" w:hAnsi="Times New Roman" w:cs="Times New Roman"/>
          <w:sz w:val="24"/>
          <w:szCs w:val="24"/>
        </w:rPr>
        <w:t xml:space="preserve">La réforme de l’entreprise qui préconisait la codétermination ne disposait ni d’une </w:t>
      </w:r>
      <w:r w:rsidR="00B44385" w:rsidRPr="000915D0">
        <w:rPr>
          <w:rFonts w:ascii="Times New Roman" w:hAnsi="Times New Roman" w:cs="Times New Roman"/>
          <w:sz w:val="24"/>
          <w:szCs w:val="24"/>
        </w:rPr>
        <w:t>infrastructure organisation</w:t>
      </w:r>
      <w:r w:rsidR="000F18F6" w:rsidRPr="000915D0">
        <w:rPr>
          <w:rFonts w:ascii="Times New Roman" w:hAnsi="Times New Roman" w:cs="Times New Roman"/>
          <w:sz w:val="24"/>
          <w:szCs w:val="24"/>
        </w:rPr>
        <w:t>nelle ni d’une dynamique de mobilisation suffisamment établies</w:t>
      </w:r>
      <w:r w:rsidR="00B44385" w:rsidRPr="000915D0">
        <w:rPr>
          <w:rFonts w:ascii="Times New Roman" w:hAnsi="Times New Roman" w:cs="Times New Roman"/>
          <w:sz w:val="24"/>
          <w:szCs w:val="24"/>
        </w:rPr>
        <w:t xml:space="preserve"> </w:t>
      </w:r>
      <w:r w:rsidR="003D40DC" w:rsidRPr="000915D0">
        <w:rPr>
          <w:rFonts w:ascii="Times New Roman" w:hAnsi="Times New Roman" w:cs="Times New Roman"/>
          <w:sz w:val="24"/>
          <w:szCs w:val="24"/>
        </w:rPr>
        <w:t>e</w:t>
      </w:r>
      <w:r w:rsidR="00095074" w:rsidRPr="000915D0">
        <w:rPr>
          <w:rFonts w:ascii="Times New Roman" w:hAnsi="Times New Roman" w:cs="Times New Roman"/>
          <w:sz w:val="24"/>
          <w:szCs w:val="24"/>
        </w:rPr>
        <w:t>n France, où le dialogue social</w:t>
      </w:r>
      <w:r w:rsidR="00AA1E25" w:rsidRPr="000915D0">
        <w:rPr>
          <w:rFonts w:ascii="Times New Roman" w:hAnsi="Times New Roman" w:cs="Times New Roman"/>
          <w:sz w:val="24"/>
          <w:szCs w:val="24"/>
        </w:rPr>
        <w:t>,</w:t>
      </w:r>
      <w:r w:rsidR="00095074" w:rsidRPr="000915D0">
        <w:rPr>
          <w:rFonts w:ascii="Times New Roman" w:hAnsi="Times New Roman" w:cs="Times New Roman"/>
          <w:sz w:val="24"/>
          <w:szCs w:val="24"/>
        </w:rPr>
        <w:t xml:space="preserve"> comme les relations entre parties prenantes</w:t>
      </w:r>
      <w:r w:rsidR="00AA1E25" w:rsidRPr="000915D0">
        <w:rPr>
          <w:rFonts w:ascii="Times New Roman" w:hAnsi="Times New Roman" w:cs="Times New Roman"/>
          <w:sz w:val="24"/>
          <w:szCs w:val="24"/>
        </w:rPr>
        <w:t>,</w:t>
      </w:r>
      <w:r w:rsidR="00095074" w:rsidRPr="000915D0">
        <w:rPr>
          <w:rFonts w:ascii="Times New Roman" w:hAnsi="Times New Roman" w:cs="Times New Roman"/>
          <w:sz w:val="24"/>
          <w:szCs w:val="24"/>
        </w:rPr>
        <w:t xml:space="preserve"> sont marquées par une conflictualité plus ou moins exprimée ou latente. Et c’est sans doute à ce niveau que le courant de la Réforme entendait amener une approche novatrice au niveau de la conception de l’entreprise en tant que communauté humaine. </w:t>
      </w:r>
      <w:r w:rsidR="001811B3" w:rsidRPr="000915D0">
        <w:rPr>
          <w:rFonts w:ascii="Times New Roman" w:hAnsi="Times New Roman" w:cs="Times New Roman"/>
          <w:sz w:val="24"/>
          <w:szCs w:val="24"/>
        </w:rPr>
        <w:t xml:space="preserve">L’analyse de Gomez et Wirtz (2018) avait également permis d’identifier le rôle d’institution socle joué par l’Eglise catholique </w:t>
      </w:r>
      <w:r w:rsidR="001817C5" w:rsidRPr="000915D0">
        <w:rPr>
          <w:rFonts w:ascii="Times New Roman" w:hAnsi="Times New Roman" w:cs="Times New Roman"/>
          <w:sz w:val="24"/>
          <w:szCs w:val="24"/>
        </w:rPr>
        <w:t>dans</w:t>
      </w:r>
      <w:r w:rsidR="001811B3" w:rsidRPr="000915D0">
        <w:rPr>
          <w:rFonts w:ascii="Times New Roman" w:hAnsi="Times New Roman" w:cs="Times New Roman"/>
          <w:sz w:val="24"/>
          <w:szCs w:val="24"/>
        </w:rPr>
        <w:t xml:space="preserve"> </w:t>
      </w:r>
      <w:r w:rsidR="001817C5" w:rsidRPr="000915D0">
        <w:rPr>
          <w:rFonts w:ascii="Times New Roman" w:hAnsi="Times New Roman" w:cs="Times New Roman"/>
          <w:sz w:val="24"/>
          <w:szCs w:val="24"/>
        </w:rPr>
        <w:t>l’</w:t>
      </w:r>
      <w:r w:rsidR="001811B3" w:rsidRPr="000915D0">
        <w:rPr>
          <w:rFonts w:ascii="Times New Roman" w:hAnsi="Times New Roman" w:cs="Times New Roman"/>
          <w:sz w:val="24"/>
          <w:szCs w:val="24"/>
        </w:rPr>
        <w:t>Allemagne d’</w:t>
      </w:r>
      <w:r w:rsidR="00095074" w:rsidRPr="000915D0">
        <w:rPr>
          <w:rFonts w:ascii="Times New Roman" w:hAnsi="Times New Roman" w:cs="Times New Roman"/>
          <w:sz w:val="24"/>
          <w:szCs w:val="24"/>
        </w:rPr>
        <w:t>après-guerre</w:t>
      </w:r>
      <w:r w:rsidR="001817C5" w:rsidRPr="000915D0">
        <w:rPr>
          <w:rFonts w:ascii="Times New Roman" w:hAnsi="Times New Roman" w:cs="Times New Roman"/>
          <w:sz w:val="24"/>
          <w:szCs w:val="24"/>
        </w:rPr>
        <w:t>.</w:t>
      </w:r>
      <w:r w:rsidR="00A529F2" w:rsidRPr="000915D0">
        <w:rPr>
          <w:rFonts w:ascii="Times New Roman" w:hAnsi="Times New Roman" w:cs="Times New Roman"/>
          <w:sz w:val="24"/>
          <w:szCs w:val="24"/>
        </w:rPr>
        <w:t xml:space="preserve"> </w:t>
      </w:r>
      <w:r w:rsidR="007D2A7E" w:rsidRPr="000915D0">
        <w:rPr>
          <w:rFonts w:ascii="Times New Roman" w:hAnsi="Times New Roman" w:cs="Times New Roman"/>
          <w:sz w:val="24"/>
          <w:szCs w:val="24"/>
        </w:rPr>
        <w:t>Bien qu’éloignée</w:t>
      </w:r>
      <w:r w:rsidR="003475C7" w:rsidRPr="000915D0">
        <w:rPr>
          <w:rFonts w:ascii="Times New Roman" w:hAnsi="Times New Roman" w:cs="Times New Roman"/>
          <w:sz w:val="24"/>
          <w:szCs w:val="24"/>
        </w:rPr>
        <w:t xml:space="preserve"> de</w:t>
      </w:r>
      <w:r w:rsidR="007D2A7E" w:rsidRPr="000915D0">
        <w:rPr>
          <w:rFonts w:ascii="Times New Roman" w:hAnsi="Times New Roman" w:cs="Times New Roman"/>
          <w:sz w:val="24"/>
          <w:szCs w:val="24"/>
        </w:rPr>
        <w:t xml:space="preserve"> et non directement concernée</w:t>
      </w:r>
      <w:r w:rsidR="003475C7" w:rsidRPr="000915D0">
        <w:rPr>
          <w:rFonts w:ascii="Times New Roman" w:hAnsi="Times New Roman" w:cs="Times New Roman"/>
          <w:sz w:val="24"/>
          <w:szCs w:val="24"/>
        </w:rPr>
        <w:t xml:space="preserve"> par les</w:t>
      </w:r>
      <w:r w:rsidR="007D2A7E" w:rsidRPr="000915D0">
        <w:rPr>
          <w:rFonts w:ascii="Times New Roman" w:hAnsi="Times New Roman" w:cs="Times New Roman"/>
          <w:sz w:val="24"/>
          <w:szCs w:val="24"/>
        </w:rPr>
        <w:t xml:space="preserve"> préoccupations opérationnelles de la sphère économique et commerciale, e</w:t>
      </w:r>
      <w:r w:rsidR="00A529F2" w:rsidRPr="000915D0">
        <w:rPr>
          <w:rFonts w:ascii="Times New Roman" w:hAnsi="Times New Roman" w:cs="Times New Roman"/>
          <w:sz w:val="24"/>
          <w:szCs w:val="24"/>
        </w:rPr>
        <w:t xml:space="preserve">lle a été </w:t>
      </w:r>
      <w:r w:rsidR="00EC5244" w:rsidRPr="000915D0">
        <w:rPr>
          <w:rFonts w:ascii="Times New Roman" w:hAnsi="Times New Roman" w:cs="Times New Roman"/>
          <w:sz w:val="24"/>
          <w:szCs w:val="24"/>
        </w:rPr>
        <w:t>le catalyseur, dans l’immédiat après-guerre, de la perception d’un intérêt commun partagé</w:t>
      </w:r>
      <w:r w:rsidR="00C72DEF" w:rsidRPr="000915D0">
        <w:rPr>
          <w:rFonts w:ascii="Times New Roman" w:hAnsi="Times New Roman" w:cs="Times New Roman"/>
          <w:sz w:val="24"/>
          <w:szCs w:val="24"/>
        </w:rPr>
        <w:t xml:space="preserve"> de diverses franges de la population</w:t>
      </w:r>
      <w:r w:rsidR="00421671" w:rsidRPr="000915D0">
        <w:rPr>
          <w:rFonts w:ascii="Times New Roman" w:hAnsi="Times New Roman" w:cs="Times New Roman"/>
          <w:sz w:val="24"/>
          <w:szCs w:val="24"/>
        </w:rPr>
        <w:t>. Elle a à la fois permis (1) d’appuyer un discours légitimant l’intérêt partagé</w:t>
      </w:r>
      <w:r w:rsidR="0077535A" w:rsidRPr="000915D0">
        <w:rPr>
          <w:rFonts w:ascii="Times New Roman" w:hAnsi="Times New Roman" w:cs="Times New Roman"/>
          <w:sz w:val="24"/>
          <w:szCs w:val="24"/>
        </w:rPr>
        <w:t xml:space="preserve"> et (2) de fournir une infrastructure sociale</w:t>
      </w:r>
      <w:r w:rsidR="00F95A19" w:rsidRPr="000915D0">
        <w:rPr>
          <w:rFonts w:ascii="Times New Roman" w:hAnsi="Times New Roman" w:cs="Times New Roman"/>
          <w:sz w:val="24"/>
          <w:szCs w:val="24"/>
        </w:rPr>
        <w:t>,</w:t>
      </w:r>
      <w:r w:rsidR="0077535A" w:rsidRPr="000915D0">
        <w:rPr>
          <w:rFonts w:ascii="Times New Roman" w:hAnsi="Times New Roman" w:cs="Times New Roman"/>
          <w:sz w:val="24"/>
          <w:szCs w:val="24"/>
        </w:rPr>
        <w:t xml:space="preserve"> et</w:t>
      </w:r>
      <w:r w:rsidR="00BC4712" w:rsidRPr="000915D0">
        <w:rPr>
          <w:rFonts w:ascii="Times New Roman" w:hAnsi="Times New Roman" w:cs="Times New Roman"/>
          <w:sz w:val="24"/>
          <w:szCs w:val="24"/>
        </w:rPr>
        <w:t xml:space="preserve"> donc des ressources organisationnelles, à l’effort de mobilisation.</w:t>
      </w:r>
      <w:r w:rsidR="00095074" w:rsidRPr="000915D0">
        <w:rPr>
          <w:rFonts w:ascii="Times New Roman" w:hAnsi="Times New Roman" w:cs="Times New Roman"/>
          <w:sz w:val="24"/>
          <w:szCs w:val="24"/>
        </w:rPr>
        <w:t xml:space="preserve"> </w:t>
      </w:r>
      <w:r w:rsidR="006A5016" w:rsidRPr="000915D0">
        <w:rPr>
          <w:rFonts w:ascii="Times New Roman" w:hAnsi="Times New Roman" w:cs="Times New Roman"/>
          <w:sz w:val="24"/>
          <w:szCs w:val="24"/>
        </w:rPr>
        <w:t xml:space="preserve">C’est sans doute sur ce point que le cas allemand nous enseigne la nécessite et le rôle précieux joué par l’institution socle (tel que Gomez et Wirtz (2018) l’ont mis en évidence) pour permettre aux quatre dimensions de la mobilisation de disposer d’un appui pour converger. </w:t>
      </w:r>
    </w:p>
    <w:p w14:paraId="13099D9F" w14:textId="031E8A39" w:rsidR="00085B48" w:rsidRPr="000915D0" w:rsidRDefault="00644993" w:rsidP="00085B48">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La France ne disposait pas d’une telle institution qui aurait pu jouer ce rôle clé.</w:t>
      </w:r>
      <w:r w:rsidR="005B4859" w:rsidRPr="000915D0">
        <w:rPr>
          <w:rFonts w:ascii="Times New Roman" w:hAnsi="Times New Roman" w:cs="Times New Roman"/>
          <w:sz w:val="24"/>
          <w:szCs w:val="24"/>
        </w:rPr>
        <w:t xml:space="preserve"> Ou</w:t>
      </w:r>
      <w:r w:rsidR="007E671E" w:rsidRPr="000915D0">
        <w:rPr>
          <w:rFonts w:ascii="Times New Roman" w:hAnsi="Times New Roman" w:cs="Times New Roman"/>
          <w:sz w:val="24"/>
          <w:szCs w:val="24"/>
        </w:rPr>
        <w:t>, en tout cas,</w:t>
      </w:r>
      <w:r w:rsidR="005B4859" w:rsidRPr="000915D0">
        <w:rPr>
          <w:rFonts w:ascii="Times New Roman" w:hAnsi="Times New Roman" w:cs="Times New Roman"/>
          <w:sz w:val="24"/>
          <w:szCs w:val="24"/>
        </w:rPr>
        <w:t xml:space="preserve"> si elle a pu exister</w:t>
      </w:r>
      <w:r w:rsidR="003A5B9C" w:rsidRPr="000915D0">
        <w:rPr>
          <w:rFonts w:ascii="Times New Roman" w:hAnsi="Times New Roman" w:cs="Times New Roman"/>
          <w:sz w:val="24"/>
          <w:szCs w:val="24"/>
        </w:rPr>
        <w:t>, les acteurs d’une potentielle mobilisation en faveur de la réforme de l’entreprise n’ont pas su s’en saisir.</w:t>
      </w:r>
      <w:r w:rsidR="000D03C5" w:rsidRPr="000915D0">
        <w:rPr>
          <w:rFonts w:ascii="Times New Roman" w:hAnsi="Times New Roman" w:cs="Times New Roman"/>
          <w:sz w:val="24"/>
          <w:szCs w:val="24"/>
        </w:rPr>
        <w:t xml:space="preserve"> Au fil des débats sur la codétermination, l’idée est </w:t>
      </w:r>
      <w:r w:rsidR="007E47C1" w:rsidRPr="000915D0">
        <w:rPr>
          <w:rFonts w:ascii="Times New Roman" w:hAnsi="Times New Roman" w:cs="Times New Roman"/>
          <w:sz w:val="24"/>
          <w:szCs w:val="24"/>
        </w:rPr>
        <w:t>pass</w:t>
      </w:r>
      <w:r w:rsidR="00747751" w:rsidRPr="000915D0">
        <w:rPr>
          <w:rFonts w:ascii="Times New Roman" w:hAnsi="Times New Roman" w:cs="Times New Roman"/>
          <w:sz w:val="24"/>
          <w:szCs w:val="24"/>
        </w:rPr>
        <w:t>ée</w:t>
      </w:r>
      <w:r w:rsidR="00085B48" w:rsidRPr="000915D0">
        <w:rPr>
          <w:rFonts w:ascii="Times New Roman" w:hAnsi="Times New Roman" w:cs="Times New Roman"/>
          <w:sz w:val="24"/>
          <w:szCs w:val="24"/>
        </w:rPr>
        <w:t xml:space="preserve"> au second plan au profit de propositions plus techniques et moins politiques. </w:t>
      </w:r>
      <w:r w:rsidR="00250C50" w:rsidRPr="000915D0">
        <w:rPr>
          <w:rFonts w:ascii="Times New Roman" w:hAnsi="Times New Roman" w:cs="Times New Roman"/>
          <w:sz w:val="24"/>
          <w:szCs w:val="24"/>
        </w:rPr>
        <w:t>D</w:t>
      </w:r>
      <w:r w:rsidR="00085B48" w:rsidRPr="000915D0">
        <w:rPr>
          <w:rFonts w:ascii="Times New Roman" w:hAnsi="Times New Roman" w:cs="Times New Roman"/>
          <w:sz w:val="24"/>
          <w:szCs w:val="24"/>
        </w:rPr>
        <w:t xml:space="preserve">epuis les lois </w:t>
      </w:r>
      <w:r w:rsidR="00085B48" w:rsidRPr="000915D0">
        <w:rPr>
          <w:rFonts w:ascii="Times New Roman" w:hAnsi="Times New Roman" w:cs="Times New Roman"/>
          <w:sz w:val="24"/>
          <w:szCs w:val="24"/>
        </w:rPr>
        <w:lastRenderedPageBreak/>
        <w:t>Auroux, il n’y a pas</w:t>
      </w:r>
      <w:r w:rsidR="00802213" w:rsidRPr="000915D0">
        <w:rPr>
          <w:rFonts w:ascii="Times New Roman" w:hAnsi="Times New Roman" w:cs="Times New Roman"/>
          <w:sz w:val="24"/>
          <w:szCs w:val="24"/>
        </w:rPr>
        <w:t xml:space="preserve"> eu</w:t>
      </w:r>
      <w:r w:rsidR="00085B48" w:rsidRPr="000915D0">
        <w:rPr>
          <w:rFonts w:ascii="Times New Roman" w:hAnsi="Times New Roman" w:cs="Times New Roman"/>
          <w:sz w:val="24"/>
          <w:szCs w:val="24"/>
        </w:rPr>
        <w:t xml:space="preserve"> de </w:t>
      </w:r>
      <w:r w:rsidR="00250C50" w:rsidRPr="000915D0">
        <w:rPr>
          <w:rFonts w:ascii="Times New Roman" w:hAnsi="Times New Roman" w:cs="Times New Roman"/>
          <w:sz w:val="24"/>
          <w:szCs w:val="24"/>
        </w:rPr>
        <w:t>débat sur</w:t>
      </w:r>
      <w:r w:rsidR="00085B48" w:rsidRPr="000915D0">
        <w:rPr>
          <w:rFonts w:ascii="Times New Roman" w:hAnsi="Times New Roman" w:cs="Times New Roman"/>
          <w:sz w:val="24"/>
          <w:szCs w:val="24"/>
        </w:rPr>
        <w:t xml:space="preserve"> la dissymétrie du pouvoir en entreprise alors que cette ambition était présente dans l’ensemble des propositions de 1945 à 1975. Pendant cette période, il s’agissait de mettre en place des dispositifs de partage du pouvoir et de démocratie économique</w:t>
      </w:r>
      <w:r w:rsidR="001532B6" w:rsidRPr="000915D0">
        <w:rPr>
          <w:rFonts w:ascii="Times New Roman" w:hAnsi="Times New Roman" w:cs="Times New Roman"/>
          <w:sz w:val="24"/>
          <w:szCs w:val="24"/>
        </w:rPr>
        <w:t>,</w:t>
      </w:r>
      <w:r w:rsidR="00085B48" w:rsidRPr="000915D0">
        <w:rPr>
          <w:rFonts w:ascii="Times New Roman" w:hAnsi="Times New Roman" w:cs="Times New Roman"/>
          <w:sz w:val="24"/>
          <w:szCs w:val="24"/>
        </w:rPr>
        <w:t xml:space="preserve"> alors qu’il s’agit désormais d’organiser la diversité au sommet de la gouvernance. </w:t>
      </w:r>
      <w:r w:rsidR="0032282B" w:rsidRPr="000915D0">
        <w:rPr>
          <w:rFonts w:ascii="Times New Roman" w:hAnsi="Times New Roman" w:cs="Times New Roman"/>
          <w:sz w:val="24"/>
          <w:szCs w:val="24"/>
        </w:rPr>
        <w:t>La</w:t>
      </w:r>
      <w:r w:rsidR="00085B48" w:rsidRPr="000915D0">
        <w:rPr>
          <w:rFonts w:ascii="Times New Roman" w:hAnsi="Times New Roman" w:cs="Times New Roman"/>
          <w:sz w:val="24"/>
          <w:szCs w:val="24"/>
        </w:rPr>
        <w:t xml:space="preserve"> tension consubstantielle au projet de Réforme de l’entreprise constitue un nœud gordien de la question de la participation et du pouvoir en entreprise (Chapas et Hollandts, 2017). Bevort (2013) souligne que toute forme de participation est par nature en tension avec le principe (juridique et managérial) de subordination.</w:t>
      </w:r>
    </w:p>
    <w:p w14:paraId="13C4E9A6" w14:textId="1A790D4A" w:rsidR="008D5B0E" w:rsidRPr="000915D0" w:rsidRDefault="00085B48" w:rsidP="00085B48">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Pourtant, on peut voir que les exemples étrangers de codétermination (à l’instar des modèles allemands ou nordiques) existent et montrent que des arrangements institutionnels sont possibles</w:t>
      </w:r>
      <w:r w:rsidR="00950478" w:rsidRPr="000915D0">
        <w:rPr>
          <w:rFonts w:ascii="Times New Roman" w:hAnsi="Times New Roman" w:cs="Times New Roman"/>
          <w:sz w:val="24"/>
          <w:szCs w:val="24"/>
        </w:rPr>
        <w:t xml:space="preserve">. </w:t>
      </w:r>
      <w:r w:rsidRPr="000915D0">
        <w:rPr>
          <w:rFonts w:ascii="Times New Roman" w:hAnsi="Times New Roman" w:cs="Times New Roman"/>
          <w:sz w:val="24"/>
          <w:szCs w:val="24"/>
        </w:rPr>
        <w:t xml:space="preserve">Ce modèle a d’ailleurs joué alternativement le rôle de référence ou </w:t>
      </w:r>
      <w:r w:rsidR="001230D1" w:rsidRPr="000915D0">
        <w:rPr>
          <w:rFonts w:ascii="Times New Roman" w:hAnsi="Times New Roman" w:cs="Times New Roman"/>
          <w:sz w:val="24"/>
          <w:szCs w:val="24"/>
        </w:rPr>
        <w:t>de</w:t>
      </w:r>
      <w:r w:rsidRPr="000915D0">
        <w:rPr>
          <w:rFonts w:ascii="Times New Roman" w:hAnsi="Times New Roman" w:cs="Times New Roman"/>
          <w:sz w:val="24"/>
          <w:szCs w:val="24"/>
        </w:rPr>
        <w:t xml:space="preserve"> repoussoir</w:t>
      </w:r>
      <w:r w:rsidR="001230D1" w:rsidRPr="000915D0">
        <w:rPr>
          <w:rFonts w:ascii="Times New Roman" w:hAnsi="Times New Roman" w:cs="Times New Roman"/>
          <w:sz w:val="24"/>
          <w:szCs w:val="24"/>
        </w:rPr>
        <w:t>,</w:t>
      </w:r>
      <w:r w:rsidRPr="000915D0">
        <w:rPr>
          <w:rFonts w:ascii="Times New Roman" w:hAnsi="Times New Roman" w:cs="Times New Roman"/>
          <w:sz w:val="24"/>
          <w:szCs w:val="24"/>
        </w:rPr>
        <w:t xml:space="preserve"> en fonction des époques ou des sensibilités. On retrouve encore </w:t>
      </w:r>
      <w:r w:rsidR="00906380" w:rsidRPr="000915D0">
        <w:rPr>
          <w:rFonts w:ascii="Times New Roman" w:hAnsi="Times New Roman" w:cs="Times New Roman"/>
          <w:sz w:val="24"/>
          <w:szCs w:val="24"/>
        </w:rPr>
        <w:t>la</w:t>
      </w:r>
      <w:r w:rsidRPr="000915D0">
        <w:rPr>
          <w:rFonts w:ascii="Times New Roman" w:hAnsi="Times New Roman" w:cs="Times New Roman"/>
          <w:sz w:val="24"/>
          <w:szCs w:val="24"/>
        </w:rPr>
        <w:t xml:space="preserve"> référence au modèle allemand dans le rapport Gallois de 2012 qui sera traduit dans la loi de 2013,</w:t>
      </w:r>
      <w:r w:rsidR="00D26DFD" w:rsidRPr="000915D0">
        <w:rPr>
          <w:rFonts w:ascii="Times New Roman" w:hAnsi="Times New Roman" w:cs="Times New Roman"/>
          <w:sz w:val="24"/>
          <w:szCs w:val="24"/>
        </w:rPr>
        <w:t xml:space="preserve"> et</w:t>
      </w:r>
      <w:r w:rsidRPr="000915D0">
        <w:rPr>
          <w:rFonts w:ascii="Times New Roman" w:hAnsi="Times New Roman" w:cs="Times New Roman"/>
          <w:sz w:val="24"/>
          <w:szCs w:val="24"/>
        </w:rPr>
        <w:t xml:space="preserve"> qui a relancé</w:t>
      </w:r>
      <w:r w:rsidR="00906380" w:rsidRPr="000915D0">
        <w:rPr>
          <w:rFonts w:ascii="Times New Roman" w:hAnsi="Times New Roman" w:cs="Times New Roman"/>
          <w:sz w:val="24"/>
          <w:szCs w:val="24"/>
        </w:rPr>
        <w:t xml:space="preserve"> en France</w:t>
      </w:r>
      <w:r w:rsidRPr="000915D0">
        <w:rPr>
          <w:rFonts w:ascii="Times New Roman" w:hAnsi="Times New Roman" w:cs="Times New Roman"/>
          <w:sz w:val="24"/>
          <w:szCs w:val="24"/>
        </w:rPr>
        <w:t xml:space="preserve"> la question de la présence des salariés au sein des conseils d’administration ou de surveillance. </w:t>
      </w:r>
      <w:r w:rsidR="00832BA9" w:rsidRPr="000915D0">
        <w:rPr>
          <w:rFonts w:ascii="Times New Roman" w:hAnsi="Times New Roman" w:cs="Times New Roman"/>
          <w:sz w:val="24"/>
          <w:szCs w:val="24"/>
        </w:rPr>
        <w:t>L</w:t>
      </w:r>
      <w:r w:rsidRPr="000915D0">
        <w:rPr>
          <w:rFonts w:ascii="Times New Roman" w:hAnsi="Times New Roman" w:cs="Times New Roman"/>
          <w:sz w:val="24"/>
          <w:szCs w:val="24"/>
        </w:rPr>
        <w:t xml:space="preserve">e débat porte </w:t>
      </w:r>
      <w:r w:rsidR="00832BA9" w:rsidRPr="000915D0">
        <w:rPr>
          <w:rFonts w:ascii="Times New Roman" w:hAnsi="Times New Roman" w:cs="Times New Roman"/>
          <w:sz w:val="24"/>
          <w:szCs w:val="24"/>
        </w:rPr>
        <w:t>spécifiquement</w:t>
      </w:r>
      <w:r w:rsidRPr="000915D0">
        <w:rPr>
          <w:rFonts w:ascii="Times New Roman" w:hAnsi="Times New Roman" w:cs="Times New Roman"/>
          <w:sz w:val="24"/>
          <w:szCs w:val="24"/>
        </w:rPr>
        <w:t xml:space="preserve"> sur </w:t>
      </w:r>
      <w:r w:rsidR="00711949" w:rsidRPr="000915D0">
        <w:rPr>
          <w:rFonts w:ascii="Times New Roman" w:hAnsi="Times New Roman" w:cs="Times New Roman"/>
          <w:sz w:val="24"/>
          <w:szCs w:val="24"/>
        </w:rPr>
        <w:t>le nombre</w:t>
      </w:r>
      <w:r w:rsidRPr="000915D0">
        <w:rPr>
          <w:rFonts w:ascii="Times New Roman" w:hAnsi="Times New Roman" w:cs="Times New Roman"/>
          <w:sz w:val="24"/>
          <w:szCs w:val="24"/>
        </w:rPr>
        <w:t xml:space="preserve"> de salariés </w:t>
      </w:r>
      <w:r w:rsidR="00711949" w:rsidRPr="000915D0">
        <w:rPr>
          <w:rFonts w:ascii="Times New Roman" w:hAnsi="Times New Roman" w:cs="Times New Roman"/>
          <w:sz w:val="24"/>
          <w:szCs w:val="24"/>
        </w:rPr>
        <w:t>à inclure</w:t>
      </w:r>
      <w:r w:rsidRPr="000915D0">
        <w:rPr>
          <w:rFonts w:ascii="Times New Roman" w:hAnsi="Times New Roman" w:cs="Times New Roman"/>
          <w:sz w:val="24"/>
          <w:szCs w:val="24"/>
        </w:rPr>
        <w:t xml:space="preserve"> dans les conseils d’administration ou de surveillance</w:t>
      </w:r>
      <w:r w:rsidR="00B84A20" w:rsidRPr="000915D0">
        <w:rPr>
          <w:rFonts w:ascii="Times New Roman" w:hAnsi="Times New Roman" w:cs="Times New Roman"/>
          <w:sz w:val="24"/>
          <w:szCs w:val="24"/>
        </w:rPr>
        <w:t>.</w:t>
      </w:r>
      <w:r w:rsidRPr="000915D0">
        <w:rPr>
          <w:rFonts w:ascii="Times New Roman" w:hAnsi="Times New Roman" w:cs="Times New Roman"/>
          <w:sz w:val="24"/>
          <w:szCs w:val="24"/>
        </w:rPr>
        <w:t xml:space="preserve"> La loi PACTE</w:t>
      </w:r>
      <w:r w:rsidR="00164C53" w:rsidRPr="000915D0">
        <w:rPr>
          <w:rFonts w:ascii="Times New Roman" w:hAnsi="Times New Roman" w:cs="Times New Roman"/>
          <w:sz w:val="24"/>
          <w:szCs w:val="24"/>
        </w:rPr>
        <w:t xml:space="preserve"> de 2019</w:t>
      </w:r>
      <w:r w:rsidRPr="000915D0">
        <w:rPr>
          <w:rFonts w:ascii="Times New Roman" w:hAnsi="Times New Roman" w:cs="Times New Roman"/>
          <w:sz w:val="24"/>
          <w:szCs w:val="24"/>
        </w:rPr>
        <w:t xml:space="preserve"> fixe</w:t>
      </w:r>
      <w:r w:rsidR="000C3E09" w:rsidRPr="000915D0">
        <w:rPr>
          <w:rFonts w:ascii="Times New Roman" w:hAnsi="Times New Roman" w:cs="Times New Roman"/>
          <w:sz w:val="24"/>
          <w:szCs w:val="24"/>
        </w:rPr>
        <w:t xml:space="preserve"> </w:t>
      </w:r>
      <w:r w:rsidRPr="000915D0">
        <w:rPr>
          <w:rFonts w:ascii="Times New Roman" w:hAnsi="Times New Roman" w:cs="Times New Roman"/>
          <w:sz w:val="24"/>
          <w:szCs w:val="24"/>
        </w:rPr>
        <w:t>ce nombre à 3, à partir</w:t>
      </w:r>
      <w:r w:rsidR="000C3E09" w:rsidRPr="000915D0">
        <w:rPr>
          <w:rFonts w:ascii="Times New Roman" w:hAnsi="Times New Roman" w:cs="Times New Roman"/>
          <w:sz w:val="24"/>
          <w:szCs w:val="24"/>
        </w:rPr>
        <w:t xml:space="preserve"> d’un conseil</w:t>
      </w:r>
      <w:r w:rsidRPr="000915D0">
        <w:rPr>
          <w:rFonts w:ascii="Times New Roman" w:hAnsi="Times New Roman" w:cs="Times New Roman"/>
          <w:sz w:val="24"/>
          <w:szCs w:val="24"/>
        </w:rPr>
        <w:t xml:space="preserve"> de 12 membres. </w:t>
      </w:r>
      <w:r w:rsidR="00167542" w:rsidRPr="000915D0">
        <w:rPr>
          <w:rFonts w:ascii="Times New Roman" w:hAnsi="Times New Roman" w:cs="Times New Roman"/>
          <w:sz w:val="24"/>
          <w:szCs w:val="24"/>
        </w:rPr>
        <w:t>C</w:t>
      </w:r>
      <w:r w:rsidRPr="000915D0">
        <w:rPr>
          <w:rFonts w:ascii="Times New Roman" w:hAnsi="Times New Roman" w:cs="Times New Roman"/>
          <w:sz w:val="24"/>
          <w:szCs w:val="24"/>
        </w:rPr>
        <w:t>e</w:t>
      </w:r>
      <w:r w:rsidR="00167542" w:rsidRPr="000915D0">
        <w:rPr>
          <w:rFonts w:ascii="Times New Roman" w:hAnsi="Times New Roman" w:cs="Times New Roman"/>
          <w:sz w:val="24"/>
          <w:szCs w:val="24"/>
        </w:rPr>
        <w:t>tte</w:t>
      </w:r>
      <w:r w:rsidRPr="000915D0">
        <w:rPr>
          <w:rFonts w:ascii="Times New Roman" w:hAnsi="Times New Roman" w:cs="Times New Roman"/>
          <w:sz w:val="24"/>
          <w:szCs w:val="24"/>
        </w:rPr>
        <w:t xml:space="preserve"> </w:t>
      </w:r>
      <w:r w:rsidR="00167542" w:rsidRPr="000915D0">
        <w:rPr>
          <w:rFonts w:ascii="Times New Roman" w:hAnsi="Times New Roman" w:cs="Times New Roman"/>
          <w:sz w:val="24"/>
          <w:szCs w:val="24"/>
        </w:rPr>
        <w:t>proportion</w:t>
      </w:r>
      <w:r w:rsidRPr="000915D0">
        <w:rPr>
          <w:rFonts w:ascii="Times New Roman" w:hAnsi="Times New Roman" w:cs="Times New Roman"/>
          <w:sz w:val="24"/>
          <w:szCs w:val="24"/>
        </w:rPr>
        <w:t xml:space="preserve"> </w:t>
      </w:r>
      <w:r w:rsidR="00167542" w:rsidRPr="000915D0">
        <w:rPr>
          <w:rFonts w:ascii="Times New Roman" w:hAnsi="Times New Roman" w:cs="Times New Roman"/>
          <w:sz w:val="24"/>
          <w:szCs w:val="24"/>
        </w:rPr>
        <w:t>est</w:t>
      </w:r>
      <w:r w:rsidRPr="000915D0">
        <w:rPr>
          <w:rFonts w:ascii="Times New Roman" w:hAnsi="Times New Roman" w:cs="Times New Roman"/>
          <w:sz w:val="24"/>
          <w:szCs w:val="24"/>
        </w:rPr>
        <w:t xml:space="preserve"> éloigné</w:t>
      </w:r>
      <w:r w:rsidR="00167542" w:rsidRPr="000915D0">
        <w:rPr>
          <w:rFonts w:ascii="Times New Roman" w:hAnsi="Times New Roman" w:cs="Times New Roman"/>
          <w:sz w:val="24"/>
          <w:szCs w:val="24"/>
        </w:rPr>
        <w:t>e</w:t>
      </w:r>
      <w:r w:rsidRPr="000915D0">
        <w:rPr>
          <w:rFonts w:ascii="Times New Roman" w:hAnsi="Times New Roman" w:cs="Times New Roman"/>
          <w:sz w:val="24"/>
          <w:szCs w:val="24"/>
        </w:rPr>
        <w:t xml:space="preserve"> d</w:t>
      </w:r>
      <w:r w:rsidR="00771475" w:rsidRPr="000915D0">
        <w:rPr>
          <w:rFonts w:ascii="Times New Roman" w:hAnsi="Times New Roman" w:cs="Times New Roman"/>
          <w:sz w:val="24"/>
          <w:szCs w:val="24"/>
        </w:rPr>
        <w:t xml:space="preserve">e la proportion </w:t>
      </w:r>
      <w:r w:rsidRPr="000915D0">
        <w:rPr>
          <w:rFonts w:ascii="Times New Roman" w:hAnsi="Times New Roman" w:cs="Times New Roman"/>
          <w:sz w:val="24"/>
          <w:szCs w:val="24"/>
        </w:rPr>
        <w:t xml:space="preserve">en vigueur </w:t>
      </w:r>
      <w:r w:rsidR="00771475" w:rsidRPr="000915D0">
        <w:rPr>
          <w:rFonts w:ascii="Times New Roman" w:hAnsi="Times New Roman" w:cs="Times New Roman"/>
          <w:sz w:val="24"/>
          <w:szCs w:val="24"/>
        </w:rPr>
        <w:t xml:space="preserve">en </w:t>
      </w:r>
      <w:r w:rsidR="002A3900" w:rsidRPr="000915D0">
        <w:rPr>
          <w:rFonts w:ascii="Times New Roman" w:hAnsi="Times New Roman" w:cs="Times New Roman"/>
          <w:sz w:val="24"/>
          <w:szCs w:val="24"/>
        </w:rPr>
        <w:t>Allemagne,</w:t>
      </w:r>
      <w:r w:rsidR="006A4834" w:rsidRPr="000915D0">
        <w:rPr>
          <w:rFonts w:ascii="Times New Roman" w:hAnsi="Times New Roman" w:cs="Times New Roman"/>
          <w:sz w:val="24"/>
          <w:szCs w:val="24"/>
        </w:rPr>
        <w:t xml:space="preserve"> qui est </w:t>
      </w:r>
      <w:proofErr w:type="gramStart"/>
      <w:r w:rsidR="006A4834" w:rsidRPr="000915D0">
        <w:rPr>
          <w:rFonts w:ascii="Times New Roman" w:hAnsi="Times New Roman" w:cs="Times New Roman"/>
          <w:i/>
          <w:iCs/>
          <w:sz w:val="24"/>
          <w:szCs w:val="24"/>
        </w:rPr>
        <w:t>a</w:t>
      </w:r>
      <w:proofErr w:type="gramEnd"/>
      <w:r w:rsidR="006A4834" w:rsidRPr="000915D0">
        <w:rPr>
          <w:rFonts w:ascii="Times New Roman" w:hAnsi="Times New Roman" w:cs="Times New Roman"/>
          <w:i/>
          <w:iCs/>
          <w:sz w:val="24"/>
          <w:szCs w:val="24"/>
        </w:rPr>
        <w:t xml:space="preserve"> minima</w:t>
      </w:r>
      <w:r w:rsidR="006A4834" w:rsidRPr="000915D0">
        <w:rPr>
          <w:rFonts w:ascii="Times New Roman" w:hAnsi="Times New Roman" w:cs="Times New Roman"/>
          <w:sz w:val="24"/>
          <w:szCs w:val="24"/>
        </w:rPr>
        <w:t xml:space="preserve"> d’un tiers (du conseil de surveillance)</w:t>
      </w:r>
      <w:r w:rsidR="002B6856" w:rsidRPr="000915D0">
        <w:rPr>
          <w:rFonts w:ascii="Times New Roman" w:hAnsi="Times New Roman" w:cs="Times New Roman"/>
          <w:sz w:val="24"/>
          <w:szCs w:val="24"/>
        </w:rPr>
        <w:t xml:space="preserve"> en dessous de 2000 salariés, voire de la moit</w:t>
      </w:r>
      <w:r w:rsidR="00AE064C" w:rsidRPr="000915D0">
        <w:rPr>
          <w:rFonts w:ascii="Times New Roman" w:hAnsi="Times New Roman" w:cs="Times New Roman"/>
          <w:sz w:val="24"/>
          <w:szCs w:val="24"/>
        </w:rPr>
        <w:t>i</w:t>
      </w:r>
      <w:r w:rsidR="002B6856" w:rsidRPr="000915D0">
        <w:rPr>
          <w:rFonts w:ascii="Times New Roman" w:hAnsi="Times New Roman" w:cs="Times New Roman"/>
          <w:sz w:val="24"/>
          <w:szCs w:val="24"/>
        </w:rPr>
        <w:t>é</w:t>
      </w:r>
      <w:r w:rsidR="00AE064C" w:rsidRPr="000915D0">
        <w:rPr>
          <w:rFonts w:ascii="Times New Roman" w:hAnsi="Times New Roman" w:cs="Times New Roman"/>
          <w:sz w:val="24"/>
          <w:szCs w:val="24"/>
        </w:rPr>
        <w:t xml:space="preserve"> au-delà</w:t>
      </w:r>
      <w:r w:rsidRPr="000915D0">
        <w:rPr>
          <w:rFonts w:ascii="Times New Roman" w:hAnsi="Times New Roman" w:cs="Times New Roman"/>
          <w:sz w:val="24"/>
          <w:szCs w:val="24"/>
        </w:rPr>
        <w:t xml:space="preserve">. Les </w:t>
      </w:r>
      <w:r w:rsidR="0071459D" w:rsidRPr="000915D0">
        <w:rPr>
          <w:rFonts w:ascii="Times New Roman" w:hAnsi="Times New Roman" w:cs="Times New Roman"/>
          <w:sz w:val="24"/>
          <w:szCs w:val="24"/>
        </w:rPr>
        <w:t>lois récentes</w:t>
      </w:r>
      <w:r w:rsidRPr="000915D0">
        <w:rPr>
          <w:rFonts w:ascii="Times New Roman" w:hAnsi="Times New Roman" w:cs="Times New Roman"/>
          <w:sz w:val="24"/>
          <w:szCs w:val="24"/>
        </w:rPr>
        <w:t xml:space="preserve"> </w:t>
      </w:r>
      <w:r w:rsidR="008D3801" w:rsidRPr="000915D0">
        <w:rPr>
          <w:rFonts w:ascii="Times New Roman" w:hAnsi="Times New Roman" w:cs="Times New Roman"/>
          <w:sz w:val="24"/>
          <w:szCs w:val="24"/>
        </w:rPr>
        <w:t xml:space="preserve">ont ainsi réduit </w:t>
      </w:r>
      <w:r w:rsidRPr="000915D0">
        <w:rPr>
          <w:rFonts w:ascii="Times New Roman" w:hAnsi="Times New Roman" w:cs="Times New Roman"/>
          <w:sz w:val="24"/>
          <w:szCs w:val="24"/>
        </w:rPr>
        <w:t xml:space="preserve">le débat à </w:t>
      </w:r>
      <w:r w:rsidR="0071459D" w:rsidRPr="000915D0">
        <w:rPr>
          <w:rFonts w:ascii="Times New Roman" w:hAnsi="Times New Roman" w:cs="Times New Roman"/>
          <w:sz w:val="24"/>
          <w:szCs w:val="24"/>
        </w:rPr>
        <w:t>la détermination d’une</w:t>
      </w:r>
      <w:r w:rsidRPr="000915D0">
        <w:rPr>
          <w:rFonts w:ascii="Times New Roman" w:hAnsi="Times New Roman" w:cs="Times New Roman"/>
          <w:sz w:val="24"/>
          <w:szCs w:val="24"/>
        </w:rPr>
        <w:t xml:space="preserve"> qu</w:t>
      </w:r>
      <w:r w:rsidR="0071459D" w:rsidRPr="000915D0">
        <w:rPr>
          <w:rFonts w:ascii="Times New Roman" w:hAnsi="Times New Roman" w:cs="Times New Roman"/>
          <w:sz w:val="24"/>
          <w:szCs w:val="24"/>
        </w:rPr>
        <w:t>antité</w:t>
      </w:r>
      <w:r w:rsidRPr="000915D0">
        <w:rPr>
          <w:rFonts w:ascii="Times New Roman" w:hAnsi="Times New Roman" w:cs="Times New Roman"/>
          <w:sz w:val="24"/>
          <w:szCs w:val="24"/>
        </w:rPr>
        <w:t xml:space="preserve"> </w:t>
      </w:r>
      <w:r w:rsidR="0071459D" w:rsidRPr="000915D0">
        <w:rPr>
          <w:rFonts w:ascii="Times New Roman" w:hAnsi="Times New Roman" w:cs="Times New Roman"/>
          <w:sz w:val="24"/>
          <w:szCs w:val="24"/>
        </w:rPr>
        <w:t>éloignée</w:t>
      </w:r>
      <w:r w:rsidRPr="000915D0">
        <w:rPr>
          <w:rFonts w:ascii="Times New Roman" w:hAnsi="Times New Roman" w:cs="Times New Roman"/>
          <w:sz w:val="24"/>
          <w:szCs w:val="24"/>
        </w:rPr>
        <w:t xml:space="preserve"> des </w:t>
      </w:r>
      <w:r w:rsidR="0071459D" w:rsidRPr="000915D0">
        <w:rPr>
          <w:rFonts w:ascii="Times New Roman" w:hAnsi="Times New Roman" w:cs="Times New Roman"/>
          <w:sz w:val="24"/>
          <w:szCs w:val="24"/>
        </w:rPr>
        <w:t>as</w:t>
      </w:r>
      <w:r w:rsidRPr="000915D0">
        <w:rPr>
          <w:rFonts w:ascii="Times New Roman" w:hAnsi="Times New Roman" w:cs="Times New Roman"/>
          <w:sz w:val="24"/>
          <w:szCs w:val="24"/>
        </w:rPr>
        <w:t>pirations de Bacon à Sudreau</w:t>
      </w:r>
      <w:r w:rsidR="0071459D" w:rsidRPr="000915D0">
        <w:rPr>
          <w:rFonts w:ascii="Times New Roman" w:hAnsi="Times New Roman" w:cs="Times New Roman"/>
          <w:sz w:val="24"/>
          <w:szCs w:val="24"/>
        </w:rPr>
        <w:t>. Ces dernières</w:t>
      </w:r>
      <w:r w:rsidRPr="000915D0">
        <w:rPr>
          <w:rFonts w:ascii="Times New Roman" w:hAnsi="Times New Roman" w:cs="Times New Roman"/>
          <w:sz w:val="24"/>
          <w:szCs w:val="24"/>
        </w:rPr>
        <w:t xml:space="preserve"> entendaient réformer</w:t>
      </w:r>
      <w:r w:rsidR="003335F6" w:rsidRPr="000915D0">
        <w:rPr>
          <w:rFonts w:ascii="Times New Roman" w:hAnsi="Times New Roman" w:cs="Times New Roman"/>
          <w:sz w:val="24"/>
          <w:szCs w:val="24"/>
        </w:rPr>
        <w:t xml:space="preserve"> plus fondamentalement</w:t>
      </w:r>
      <w:r w:rsidRPr="000915D0">
        <w:rPr>
          <w:rFonts w:ascii="Times New Roman" w:hAnsi="Times New Roman" w:cs="Times New Roman"/>
          <w:sz w:val="24"/>
          <w:szCs w:val="24"/>
        </w:rPr>
        <w:t xml:space="preserve"> l’entreprise et le rapport des salariés à l’entreprise afin de tendre vers une entreprise </w:t>
      </w:r>
      <w:r w:rsidR="0058746E" w:rsidRPr="000915D0">
        <w:rPr>
          <w:rFonts w:ascii="Times New Roman" w:hAnsi="Times New Roman" w:cs="Times New Roman"/>
          <w:sz w:val="24"/>
          <w:szCs w:val="24"/>
        </w:rPr>
        <w:t>moins conflictuelle</w:t>
      </w:r>
      <w:r w:rsidR="00017DFC" w:rsidRPr="000915D0">
        <w:rPr>
          <w:rFonts w:ascii="Times New Roman" w:hAnsi="Times New Roman" w:cs="Times New Roman"/>
          <w:sz w:val="24"/>
          <w:szCs w:val="24"/>
        </w:rPr>
        <w:t xml:space="preserve"> en</w:t>
      </w:r>
      <w:r w:rsidR="0058746E" w:rsidRPr="000915D0">
        <w:rPr>
          <w:rFonts w:ascii="Times New Roman" w:hAnsi="Times New Roman" w:cs="Times New Roman"/>
          <w:sz w:val="24"/>
          <w:szCs w:val="24"/>
        </w:rPr>
        <w:t xml:space="preserve"> équilibrant</w:t>
      </w:r>
      <w:r w:rsidRPr="000915D0">
        <w:rPr>
          <w:rFonts w:ascii="Times New Roman" w:hAnsi="Times New Roman" w:cs="Times New Roman"/>
          <w:sz w:val="24"/>
          <w:szCs w:val="24"/>
        </w:rPr>
        <w:t xml:space="preserve"> les rapports de force entre capital et travail. </w:t>
      </w:r>
    </w:p>
    <w:p w14:paraId="72F08AC4" w14:textId="30BB1D47" w:rsidR="00085B48" w:rsidRPr="000915D0" w:rsidRDefault="005F7546" w:rsidP="00085B48">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 xml:space="preserve">La </w:t>
      </w:r>
      <w:r w:rsidR="00061787" w:rsidRPr="000915D0">
        <w:rPr>
          <w:rFonts w:ascii="Times New Roman" w:hAnsi="Times New Roman" w:cs="Times New Roman"/>
          <w:sz w:val="24"/>
          <w:szCs w:val="24"/>
        </w:rPr>
        <w:t xml:space="preserve">lecture des dynamiques de mobilisation comparées </w:t>
      </w:r>
      <w:r w:rsidR="002005AD" w:rsidRPr="000915D0">
        <w:rPr>
          <w:rFonts w:ascii="Times New Roman" w:hAnsi="Times New Roman" w:cs="Times New Roman"/>
          <w:sz w:val="24"/>
          <w:szCs w:val="24"/>
        </w:rPr>
        <w:t xml:space="preserve">en France et en Allemagne à travers le prisme de la théorie de la mobilisation </w:t>
      </w:r>
      <w:r w:rsidR="000672AD" w:rsidRPr="000915D0">
        <w:rPr>
          <w:rFonts w:ascii="Times New Roman" w:hAnsi="Times New Roman" w:cs="Times New Roman"/>
          <w:sz w:val="24"/>
          <w:szCs w:val="24"/>
        </w:rPr>
        <w:t>répond ainsi à nos deux interrogations initiales, à savoir (1)</w:t>
      </w:r>
      <w:r w:rsidR="00397575" w:rsidRPr="000915D0">
        <w:rPr>
          <w:rFonts w:ascii="Times New Roman" w:hAnsi="Times New Roman" w:cs="Times New Roman"/>
          <w:sz w:val="24"/>
          <w:szCs w:val="24"/>
        </w:rPr>
        <w:t xml:space="preserve"> comment, concrètement, une idé</w:t>
      </w:r>
      <w:r w:rsidR="00FB521E" w:rsidRPr="000915D0">
        <w:rPr>
          <w:rFonts w:ascii="Times New Roman" w:hAnsi="Times New Roman" w:cs="Times New Roman"/>
          <w:sz w:val="24"/>
          <w:szCs w:val="24"/>
        </w:rPr>
        <w:t xml:space="preserve">e politique concernant la codétermination  </w:t>
      </w:r>
      <w:r w:rsidR="00F477E3" w:rsidRPr="000915D0">
        <w:rPr>
          <w:rFonts w:ascii="Times New Roman" w:hAnsi="Times New Roman" w:cs="Times New Roman"/>
          <w:sz w:val="24"/>
          <w:szCs w:val="24"/>
        </w:rPr>
        <w:t>peut</w:t>
      </w:r>
      <w:r w:rsidR="0094557A" w:rsidRPr="000915D0">
        <w:rPr>
          <w:rFonts w:ascii="Times New Roman" w:hAnsi="Times New Roman" w:cs="Times New Roman"/>
          <w:sz w:val="24"/>
          <w:szCs w:val="24"/>
        </w:rPr>
        <w:t xml:space="preserve"> finir </w:t>
      </w:r>
      <w:r w:rsidR="008F030D" w:rsidRPr="000915D0">
        <w:rPr>
          <w:rFonts w:ascii="Times New Roman" w:hAnsi="Times New Roman" w:cs="Times New Roman"/>
          <w:sz w:val="24"/>
          <w:szCs w:val="24"/>
        </w:rPr>
        <w:t>par</w:t>
      </w:r>
      <w:r w:rsidR="00F477E3" w:rsidRPr="000915D0">
        <w:rPr>
          <w:rFonts w:ascii="Times New Roman" w:hAnsi="Times New Roman" w:cs="Times New Roman"/>
          <w:sz w:val="24"/>
          <w:szCs w:val="24"/>
        </w:rPr>
        <w:t xml:space="preserve"> s’institutionnaliser </w:t>
      </w:r>
      <w:r w:rsidR="001A5A36" w:rsidRPr="000915D0">
        <w:rPr>
          <w:rFonts w:ascii="Times New Roman" w:hAnsi="Times New Roman" w:cs="Times New Roman"/>
          <w:sz w:val="24"/>
          <w:szCs w:val="24"/>
        </w:rPr>
        <w:t xml:space="preserve">en </w:t>
      </w:r>
      <w:r w:rsidR="008F030D" w:rsidRPr="000915D0">
        <w:rPr>
          <w:rFonts w:ascii="Times New Roman" w:hAnsi="Times New Roman" w:cs="Times New Roman"/>
          <w:sz w:val="24"/>
          <w:szCs w:val="24"/>
        </w:rPr>
        <w:t>s’ancrant</w:t>
      </w:r>
      <w:r w:rsidR="001A5A36" w:rsidRPr="000915D0">
        <w:rPr>
          <w:rFonts w:ascii="Times New Roman" w:hAnsi="Times New Roman" w:cs="Times New Roman"/>
          <w:sz w:val="24"/>
          <w:szCs w:val="24"/>
        </w:rPr>
        <w:t xml:space="preserve"> solidement dans la loi et dans les pratiques</w:t>
      </w:r>
      <w:r w:rsidR="00445954" w:rsidRPr="000915D0">
        <w:rPr>
          <w:rFonts w:ascii="Times New Roman" w:hAnsi="Times New Roman" w:cs="Times New Roman"/>
          <w:sz w:val="24"/>
          <w:szCs w:val="24"/>
        </w:rPr>
        <w:t>, et (2) pourquoi, malgré une idéologie</w:t>
      </w:r>
      <w:r w:rsidR="00C27041" w:rsidRPr="000915D0">
        <w:rPr>
          <w:rFonts w:ascii="Times New Roman" w:hAnsi="Times New Roman" w:cs="Times New Roman"/>
          <w:sz w:val="24"/>
          <w:szCs w:val="24"/>
        </w:rPr>
        <w:t xml:space="preserve"> politique</w:t>
      </w:r>
      <w:r w:rsidR="00445954" w:rsidRPr="000915D0">
        <w:rPr>
          <w:rFonts w:ascii="Times New Roman" w:hAnsi="Times New Roman" w:cs="Times New Roman"/>
          <w:sz w:val="24"/>
          <w:szCs w:val="24"/>
        </w:rPr>
        <w:t xml:space="preserve"> dominante</w:t>
      </w:r>
      <w:r w:rsidR="00D81A91" w:rsidRPr="000915D0">
        <w:rPr>
          <w:rFonts w:ascii="Times New Roman" w:hAnsi="Times New Roman" w:cs="Times New Roman"/>
          <w:sz w:val="24"/>
          <w:szCs w:val="24"/>
        </w:rPr>
        <w:t xml:space="preserve"> proche des deux pays selon l’échelle </w:t>
      </w:r>
      <w:r w:rsidR="00B91EFD" w:rsidRPr="000915D0">
        <w:rPr>
          <w:rFonts w:ascii="Times New Roman" w:hAnsi="Times New Roman" w:cs="Times New Roman"/>
          <w:sz w:val="24"/>
          <w:szCs w:val="24"/>
        </w:rPr>
        <w:t xml:space="preserve">utilisée dans les travaux de Roe pour expliquer les systèmes </w:t>
      </w:r>
      <w:r w:rsidR="003C122A" w:rsidRPr="000915D0">
        <w:rPr>
          <w:rFonts w:ascii="Times New Roman" w:hAnsi="Times New Roman" w:cs="Times New Roman"/>
          <w:sz w:val="24"/>
          <w:szCs w:val="24"/>
        </w:rPr>
        <w:t xml:space="preserve">nationaux </w:t>
      </w:r>
      <w:r w:rsidR="00B91EFD" w:rsidRPr="000915D0">
        <w:rPr>
          <w:rFonts w:ascii="Times New Roman" w:hAnsi="Times New Roman" w:cs="Times New Roman"/>
          <w:sz w:val="24"/>
          <w:szCs w:val="24"/>
        </w:rPr>
        <w:t>de gouvernance</w:t>
      </w:r>
      <w:r w:rsidR="002B0624" w:rsidRPr="000915D0">
        <w:rPr>
          <w:rFonts w:ascii="Times New Roman" w:hAnsi="Times New Roman" w:cs="Times New Roman"/>
          <w:sz w:val="24"/>
          <w:szCs w:val="24"/>
        </w:rPr>
        <w:t>, les deux pays</w:t>
      </w:r>
      <w:r w:rsidR="003C122A" w:rsidRPr="000915D0">
        <w:rPr>
          <w:rFonts w:ascii="Times New Roman" w:hAnsi="Times New Roman" w:cs="Times New Roman"/>
          <w:sz w:val="24"/>
          <w:szCs w:val="24"/>
        </w:rPr>
        <w:t xml:space="preserve"> étudiés dans le présent travail</w:t>
      </w:r>
      <w:r w:rsidR="002B0624" w:rsidRPr="000915D0">
        <w:rPr>
          <w:rFonts w:ascii="Times New Roman" w:hAnsi="Times New Roman" w:cs="Times New Roman"/>
          <w:sz w:val="24"/>
          <w:szCs w:val="24"/>
        </w:rPr>
        <w:t xml:space="preserve"> affichent</w:t>
      </w:r>
      <w:r w:rsidR="00CB4BFB" w:rsidRPr="000915D0">
        <w:rPr>
          <w:rFonts w:ascii="Times New Roman" w:hAnsi="Times New Roman" w:cs="Times New Roman"/>
          <w:sz w:val="24"/>
          <w:szCs w:val="24"/>
        </w:rPr>
        <w:t xml:space="preserve"> finalement</w:t>
      </w:r>
      <w:r w:rsidR="002B0624" w:rsidRPr="000915D0">
        <w:rPr>
          <w:rFonts w:ascii="Times New Roman" w:hAnsi="Times New Roman" w:cs="Times New Roman"/>
          <w:sz w:val="24"/>
          <w:szCs w:val="24"/>
        </w:rPr>
        <w:t xml:space="preserve"> </w:t>
      </w:r>
      <w:r w:rsidR="00622448" w:rsidRPr="000915D0">
        <w:rPr>
          <w:rFonts w:ascii="Times New Roman" w:hAnsi="Times New Roman" w:cs="Times New Roman"/>
          <w:sz w:val="24"/>
          <w:szCs w:val="24"/>
        </w:rPr>
        <w:t xml:space="preserve">des </w:t>
      </w:r>
      <w:r w:rsidR="00A35434" w:rsidRPr="000915D0">
        <w:rPr>
          <w:rFonts w:ascii="Times New Roman" w:hAnsi="Times New Roman" w:cs="Times New Roman"/>
          <w:sz w:val="24"/>
          <w:szCs w:val="24"/>
        </w:rPr>
        <w:t>mécanismes de</w:t>
      </w:r>
      <w:r w:rsidR="00622448" w:rsidRPr="000915D0">
        <w:rPr>
          <w:rFonts w:ascii="Times New Roman" w:hAnsi="Times New Roman" w:cs="Times New Roman"/>
          <w:sz w:val="24"/>
          <w:szCs w:val="24"/>
        </w:rPr>
        <w:t xml:space="preserve"> gouvernance très différents en matière de représentation des salariés. </w:t>
      </w:r>
      <w:r w:rsidR="000D579F" w:rsidRPr="000915D0">
        <w:rPr>
          <w:rFonts w:ascii="Times New Roman" w:hAnsi="Times New Roman" w:cs="Times New Roman"/>
          <w:sz w:val="24"/>
          <w:szCs w:val="24"/>
        </w:rPr>
        <w:t>La réponse passe par la bonne compréhension des dynamiques concrètes de la mobilisation</w:t>
      </w:r>
      <w:r w:rsidR="0085497C" w:rsidRPr="000915D0">
        <w:rPr>
          <w:rFonts w:ascii="Times New Roman" w:hAnsi="Times New Roman" w:cs="Times New Roman"/>
          <w:sz w:val="24"/>
          <w:szCs w:val="24"/>
        </w:rPr>
        <w:t xml:space="preserve">, avec </w:t>
      </w:r>
      <w:r w:rsidR="00086B18" w:rsidRPr="000915D0">
        <w:rPr>
          <w:rFonts w:ascii="Times New Roman" w:hAnsi="Times New Roman" w:cs="Times New Roman"/>
          <w:sz w:val="24"/>
          <w:szCs w:val="24"/>
        </w:rPr>
        <w:t xml:space="preserve">un alignement </w:t>
      </w:r>
      <w:r w:rsidR="00A35434" w:rsidRPr="000915D0">
        <w:rPr>
          <w:rFonts w:ascii="Times New Roman" w:hAnsi="Times New Roman" w:cs="Times New Roman"/>
          <w:sz w:val="24"/>
          <w:szCs w:val="24"/>
        </w:rPr>
        <w:t>fort</w:t>
      </w:r>
      <w:r w:rsidR="008908A8" w:rsidRPr="000915D0">
        <w:rPr>
          <w:rFonts w:ascii="Times New Roman" w:hAnsi="Times New Roman" w:cs="Times New Roman"/>
          <w:sz w:val="24"/>
          <w:szCs w:val="24"/>
        </w:rPr>
        <w:t>, dans un cas,</w:t>
      </w:r>
      <w:r w:rsidR="00086B18" w:rsidRPr="000915D0">
        <w:rPr>
          <w:rFonts w:ascii="Times New Roman" w:hAnsi="Times New Roman" w:cs="Times New Roman"/>
          <w:sz w:val="24"/>
          <w:szCs w:val="24"/>
        </w:rPr>
        <w:t xml:space="preserve"> </w:t>
      </w:r>
      <w:r w:rsidR="008908A8" w:rsidRPr="000915D0">
        <w:rPr>
          <w:rFonts w:ascii="Times New Roman" w:hAnsi="Times New Roman" w:cs="Times New Roman"/>
          <w:sz w:val="24"/>
          <w:szCs w:val="24"/>
        </w:rPr>
        <w:t>et très faible, dans l’autre,</w:t>
      </w:r>
      <w:r w:rsidR="00086B18" w:rsidRPr="000915D0">
        <w:rPr>
          <w:rFonts w:ascii="Times New Roman" w:hAnsi="Times New Roman" w:cs="Times New Roman"/>
          <w:sz w:val="24"/>
          <w:szCs w:val="24"/>
        </w:rPr>
        <w:t xml:space="preserve"> des quatre dimensions mises en lumière par Davis et Thompson (</w:t>
      </w:r>
      <w:r w:rsidR="008D5B0E" w:rsidRPr="000915D0">
        <w:rPr>
          <w:rFonts w:ascii="Times New Roman" w:hAnsi="Times New Roman" w:cs="Times New Roman"/>
          <w:sz w:val="24"/>
          <w:szCs w:val="24"/>
        </w:rPr>
        <w:t>1994).</w:t>
      </w:r>
      <w:r w:rsidR="00085B48" w:rsidRPr="000915D0">
        <w:rPr>
          <w:rFonts w:ascii="Times New Roman" w:hAnsi="Times New Roman" w:cs="Times New Roman"/>
          <w:sz w:val="24"/>
          <w:szCs w:val="24"/>
        </w:rPr>
        <w:t xml:space="preserve"> </w:t>
      </w:r>
    </w:p>
    <w:p w14:paraId="0BEFD3BD" w14:textId="469075A1" w:rsidR="00727472" w:rsidRPr="000915D0" w:rsidRDefault="00595EAF" w:rsidP="00085B48">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lastRenderedPageBreak/>
        <w:t xml:space="preserve">Bien que certains </w:t>
      </w:r>
      <w:r w:rsidR="00C836B7" w:rsidRPr="000915D0">
        <w:rPr>
          <w:rFonts w:ascii="Times New Roman" w:hAnsi="Times New Roman" w:cs="Times New Roman"/>
          <w:sz w:val="24"/>
          <w:szCs w:val="24"/>
        </w:rPr>
        <w:t>perçoivent dans la codétermination</w:t>
      </w:r>
      <w:r w:rsidR="00A64605" w:rsidRPr="000915D0">
        <w:rPr>
          <w:rFonts w:ascii="Times New Roman" w:hAnsi="Times New Roman" w:cs="Times New Roman"/>
          <w:sz w:val="24"/>
          <w:szCs w:val="24"/>
        </w:rPr>
        <w:t xml:space="preserve"> un modèle de gouvernance qui serait aujourd’hui dominant au sein de l’Europe </w:t>
      </w:r>
      <w:r w:rsidR="004E423C" w:rsidRPr="000915D0">
        <w:rPr>
          <w:rFonts w:ascii="Times New Roman" w:hAnsi="Times New Roman" w:cs="Times New Roman"/>
          <w:sz w:val="24"/>
          <w:szCs w:val="24"/>
        </w:rPr>
        <w:t xml:space="preserve">(Clerc, 2018), notre étude comparative approfondie des </w:t>
      </w:r>
      <w:r w:rsidR="004C099E" w:rsidRPr="000915D0">
        <w:rPr>
          <w:rFonts w:ascii="Times New Roman" w:hAnsi="Times New Roman" w:cs="Times New Roman"/>
          <w:sz w:val="24"/>
          <w:szCs w:val="24"/>
        </w:rPr>
        <w:t>initiatives de codétermination</w:t>
      </w:r>
      <w:r w:rsidR="00BE6DD5" w:rsidRPr="000915D0">
        <w:rPr>
          <w:rFonts w:ascii="Times New Roman" w:hAnsi="Times New Roman" w:cs="Times New Roman"/>
          <w:sz w:val="24"/>
          <w:szCs w:val="24"/>
        </w:rPr>
        <w:t xml:space="preserve"> français</w:t>
      </w:r>
      <w:r w:rsidR="004C099E" w:rsidRPr="000915D0">
        <w:rPr>
          <w:rFonts w:ascii="Times New Roman" w:hAnsi="Times New Roman" w:cs="Times New Roman"/>
          <w:sz w:val="24"/>
          <w:szCs w:val="24"/>
        </w:rPr>
        <w:t>es</w:t>
      </w:r>
      <w:r w:rsidR="00BE6DD5" w:rsidRPr="000915D0">
        <w:rPr>
          <w:rFonts w:ascii="Times New Roman" w:hAnsi="Times New Roman" w:cs="Times New Roman"/>
          <w:sz w:val="24"/>
          <w:szCs w:val="24"/>
        </w:rPr>
        <w:t xml:space="preserve"> et allemand</w:t>
      </w:r>
      <w:r w:rsidR="004C099E" w:rsidRPr="000915D0">
        <w:rPr>
          <w:rFonts w:ascii="Times New Roman" w:hAnsi="Times New Roman" w:cs="Times New Roman"/>
          <w:sz w:val="24"/>
          <w:szCs w:val="24"/>
        </w:rPr>
        <w:t>e</w:t>
      </w:r>
      <w:r w:rsidR="00BE6DD5" w:rsidRPr="000915D0">
        <w:rPr>
          <w:rFonts w:ascii="Times New Roman" w:hAnsi="Times New Roman" w:cs="Times New Roman"/>
          <w:sz w:val="24"/>
          <w:szCs w:val="24"/>
        </w:rPr>
        <w:t>s</w:t>
      </w:r>
      <w:r w:rsidR="004C099E" w:rsidRPr="000915D0">
        <w:rPr>
          <w:rFonts w:ascii="Times New Roman" w:hAnsi="Times New Roman" w:cs="Times New Roman"/>
          <w:sz w:val="24"/>
          <w:szCs w:val="24"/>
        </w:rPr>
        <w:t xml:space="preserve"> montre </w:t>
      </w:r>
      <w:r w:rsidR="00311F6B" w:rsidRPr="000915D0">
        <w:rPr>
          <w:rFonts w:ascii="Times New Roman" w:hAnsi="Times New Roman" w:cs="Times New Roman"/>
          <w:sz w:val="24"/>
          <w:szCs w:val="24"/>
        </w:rPr>
        <w:t>que les institutions en la matière recouvrent</w:t>
      </w:r>
      <w:r w:rsidR="0056348D" w:rsidRPr="000915D0">
        <w:rPr>
          <w:rFonts w:ascii="Times New Roman" w:hAnsi="Times New Roman" w:cs="Times New Roman"/>
          <w:sz w:val="24"/>
          <w:szCs w:val="24"/>
        </w:rPr>
        <w:t xml:space="preserve"> finalement</w:t>
      </w:r>
      <w:r w:rsidR="00311F6B" w:rsidRPr="000915D0">
        <w:rPr>
          <w:rFonts w:ascii="Times New Roman" w:hAnsi="Times New Roman" w:cs="Times New Roman"/>
          <w:sz w:val="24"/>
          <w:szCs w:val="24"/>
        </w:rPr>
        <w:t xml:space="preserve"> des réalités assez différentes</w:t>
      </w:r>
      <w:r w:rsidR="00E32691" w:rsidRPr="000915D0">
        <w:rPr>
          <w:rFonts w:ascii="Times New Roman" w:hAnsi="Times New Roman" w:cs="Times New Roman"/>
          <w:sz w:val="24"/>
          <w:szCs w:val="24"/>
        </w:rPr>
        <w:t xml:space="preserve"> en termes d’équilibre des pouvoirs dans les conseils</w:t>
      </w:r>
      <w:r w:rsidR="005E1535" w:rsidRPr="000915D0">
        <w:rPr>
          <w:rFonts w:ascii="Times New Roman" w:hAnsi="Times New Roman" w:cs="Times New Roman"/>
          <w:sz w:val="24"/>
          <w:szCs w:val="24"/>
        </w:rPr>
        <w:t>. Ce</w:t>
      </w:r>
      <w:r w:rsidR="004D6243" w:rsidRPr="000915D0">
        <w:rPr>
          <w:rFonts w:ascii="Times New Roman" w:hAnsi="Times New Roman" w:cs="Times New Roman"/>
          <w:sz w:val="24"/>
          <w:szCs w:val="24"/>
        </w:rPr>
        <w:t>s différences</w:t>
      </w:r>
      <w:r w:rsidR="003A4F93" w:rsidRPr="000915D0">
        <w:rPr>
          <w:rFonts w:ascii="Times New Roman" w:hAnsi="Times New Roman" w:cs="Times New Roman"/>
          <w:sz w:val="24"/>
          <w:szCs w:val="24"/>
        </w:rPr>
        <w:t xml:space="preserve"> entre pays européens</w:t>
      </w:r>
      <w:r w:rsidR="005E1535" w:rsidRPr="000915D0">
        <w:rPr>
          <w:rFonts w:ascii="Times New Roman" w:hAnsi="Times New Roman" w:cs="Times New Roman"/>
          <w:sz w:val="24"/>
          <w:szCs w:val="24"/>
        </w:rPr>
        <w:t xml:space="preserve"> sont le résultat de trajectoires</w:t>
      </w:r>
      <w:r w:rsidR="003A4F93" w:rsidRPr="000915D0">
        <w:rPr>
          <w:rFonts w:ascii="Times New Roman" w:hAnsi="Times New Roman" w:cs="Times New Roman"/>
          <w:sz w:val="24"/>
          <w:szCs w:val="24"/>
        </w:rPr>
        <w:t xml:space="preserve"> d’institutionnalisation</w:t>
      </w:r>
      <w:r w:rsidR="00D04ACD" w:rsidRPr="000915D0">
        <w:rPr>
          <w:rFonts w:ascii="Times New Roman" w:hAnsi="Times New Roman" w:cs="Times New Roman"/>
          <w:sz w:val="24"/>
          <w:szCs w:val="24"/>
        </w:rPr>
        <w:t xml:space="preserve"> et d’efforts</w:t>
      </w:r>
      <w:r w:rsidR="005E1535" w:rsidRPr="000915D0">
        <w:rPr>
          <w:rFonts w:ascii="Times New Roman" w:hAnsi="Times New Roman" w:cs="Times New Roman"/>
          <w:sz w:val="24"/>
          <w:szCs w:val="24"/>
        </w:rPr>
        <w:t xml:space="preserve"> de mobilisation </w:t>
      </w:r>
      <w:r w:rsidR="0007411F" w:rsidRPr="000915D0">
        <w:rPr>
          <w:rFonts w:ascii="Times New Roman" w:hAnsi="Times New Roman" w:cs="Times New Roman"/>
          <w:sz w:val="24"/>
          <w:szCs w:val="24"/>
        </w:rPr>
        <w:t xml:space="preserve">très </w:t>
      </w:r>
      <w:r w:rsidR="00961A1A" w:rsidRPr="000915D0">
        <w:rPr>
          <w:rFonts w:ascii="Times New Roman" w:hAnsi="Times New Roman" w:cs="Times New Roman"/>
          <w:sz w:val="24"/>
          <w:szCs w:val="24"/>
        </w:rPr>
        <w:t xml:space="preserve">différents, malgré </w:t>
      </w:r>
      <w:r w:rsidR="009D2BB4" w:rsidRPr="000915D0">
        <w:rPr>
          <w:rFonts w:ascii="Times New Roman" w:hAnsi="Times New Roman" w:cs="Times New Roman"/>
          <w:sz w:val="24"/>
          <w:szCs w:val="24"/>
        </w:rPr>
        <w:t>la présence</w:t>
      </w:r>
      <w:r w:rsidR="00961A1A" w:rsidRPr="000915D0">
        <w:rPr>
          <w:rFonts w:ascii="Times New Roman" w:hAnsi="Times New Roman" w:cs="Times New Roman"/>
          <w:sz w:val="24"/>
          <w:szCs w:val="24"/>
        </w:rPr>
        <w:t xml:space="preserve"> traditions légales et </w:t>
      </w:r>
      <w:r w:rsidR="009D2BB4" w:rsidRPr="000915D0">
        <w:rPr>
          <w:rFonts w:ascii="Times New Roman" w:hAnsi="Times New Roman" w:cs="Times New Roman"/>
          <w:sz w:val="24"/>
          <w:szCs w:val="24"/>
        </w:rPr>
        <w:t xml:space="preserve">d’idées </w:t>
      </w:r>
      <w:r w:rsidR="00042ACA" w:rsidRPr="000915D0">
        <w:rPr>
          <w:rFonts w:ascii="Times New Roman" w:hAnsi="Times New Roman" w:cs="Times New Roman"/>
          <w:sz w:val="24"/>
          <w:szCs w:val="24"/>
        </w:rPr>
        <w:t>politiques initialement proches.</w:t>
      </w:r>
    </w:p>
    <w:p w14:paraId="51D6663C" w14:textId="30FF933F" w:rsidR="00085B48" w:rsidRDefault="00097921" w:rsidP="00085B48">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 xml:space="preserve">Nos analyses interrogent aussi l’avenir de la codétermination à l’heure de la remise en cause de la place du travail et de la </w:t>
      </w:r>
      <w:r w:rsidR="001E1593" w:rsidRPr="000915D0">
        <w:rPr>
          <w:rFonts w:ascii="Times New Roman" w:hAnsi="Times New Roman" w:cs="Times New Roman"/>
          <w:sz w:val="24"/>
          <w:szCs w:val="24"/>
        </w:rPr>
        <w:t>« </w:t>
      </w:r>
      <w:r w:rsidRPr="000915D0">
        <w:rPr>
          <w:rFonts w:ascii="Times New Roman" w:hAnsi="Times New Roman" w:cs="Times New Roman"/>
          <w:sz w:val="24"/>
          <w:szCs w:val="24"/>
        </w:rPr>
        <w:t>sociétalisation</w:t>
      </w:r>
      <w:r w:rsidR="001E1593" w:rsidRPr="000915D0">
        <w:rPr>
          <w:rFonts w:ascii="Times New Roman" w:hAnsi="Times New Roman" w:cs="Times New Roman"/>
          <w:sz w:val="24"/>
          <w:szCs w:val="24"/>
        </w:rPr>
        <w:t> »</w:t>
      </w:r>
      <w:r w:rsidR="00090F1E" w:rsidRPr="000915D0">
        <w:rPr>
          <w:rFonts w:ascii="Times New Roman" w:hAnsi="Times New Roman" w:cs="Times New Roman"/>
          <w:sz w:val="24"/>
          <w:szCs w:val="24"/>
        </w:rPr>
        <w:t xml:space="preserve"> progressive</w:t>
      </w:r>
      <w:r w:rsidRPr="000915D0">
        <w:rPr>
          <w:rFonts w:ascii="Times New Roman" w:hAnsi="Times New Roman" w:cs="Times New Roman"/>
          <w:sz w:val="24"/>
          <w:szCs w:val="24"/>
        </w:rPr>
        <w:t xml:space="preserve"> des entreprises. </w:t>
      </w:r>
      <w:r w:rsidR="00D67C22" w:rsidRPr="000915D0">
        <w:rPr>
          <w:rFonts w:ascii="Times New Roman" w:hAnsi="Times New Roman" w:cs="Times New Roman"/>
          <w:sz w:val="24"/>
          <w:szCs w:val="24"/>
        </w:rPr>
        <w:t>La codétermination</w:t>
      </w:r>
      <w:r w:rsidR="00B7574F" w:rsidRPr="000915D0">
        <w:rPr>
          <w:rFonts w:ascii="Times New Roman" w:hAnsi="Times New Roman" w:cs="Times New Roman"/>
          <w:sz w:val="24"/>
          <w:szCs w:val="24"/>
        </w:rPr>
        <w:t>,</w:t>
      </w:r>
      <w:r w:rsidR="00D67C22" w:rsidRPr="000915D0">
        <w:rPr>
          <w:rFonts w:ascii="Times New Roman" w:hAnsi="Times New Roman" w:cs="Times New Roman"/>
          <w:sz w:val="24"/>
          <w:szCs w:val="24"/>
        </w:rPr>
        <w:t xml:space="preserve"> où actionnaires et salariés seraient les seules parties prenantes représenté</w:t>
      </w:r>
      <w:r w:rsidR="00815813" w:rsidRPr="000915D0">
        <w:rPr>
          <w:rFonts w:ascii="Times New Roman" w:hAnsi="Times New Roman" w:cs="Times New Roman"/>
          <w:sz w:val="24"/>
          <w:szCs w:val="24"/>
        </w:rPr>
        <w:t>es</w:t>
      </w:r>
      <w:r w:rsidR="00B7574F" w:rsidRPr="000915D0">
        <w:rPr>
          <w:rFonts w:ascii="Times New Roman" w:hAnsi="Times New Roman" w:cs="Times New Roman"/>
          <w:sz w:val="24"/>
          <w:szCs w:val="24"/>
        </w:rPr>
        <w:t>,</w:t>
      </w:r>
      <w:r w:rsidR="00815813" w:rsidRPr="000915D0">
        <w:rPr>
          <w:rFonts w:ascii="Times New Roman" w:hAnsi="Times New Roman" w:cs="Times New Roman"/>
          <w:sz w:val="24"/>
          <w:szCs w:val="24"/>
        </w:rPr>
        <w:t xml:space="preserve"> repose sur une </w:t>
      </w:r>
      <w:r w:rsidR="00C40B22" w:rsidRPr="000915D0">
        <w:rPr>
          <w:rFonts w:ascii="Times New Roman" w:hAnsi="Times New Roman" w:cs="Times New Roman"/>
          <w:sz w:val="24"/>
          <w:szCs w:val="24"/>
        </w:rPr>
        <w:t xml:space="preserve">opposition </w:t>
      </w:r>
      <w:r w:rsidR="00B7574F" w:rsidRPr="000915D0">
        <w:rPr>
          <w:rFonts w:ascii="Times New Roman" w:hAnsi="Times New Roman" w:cs="Times New Roman"/>
          <w:sz w:val="24"/>
          <w:szCs w:val="24"/>
        </w:rPr>
        <w:t xml:space="preserve">historique </w:t>
      </w:r>
      <w:r w:rsidR="00C40B22" w:rsidRPr="000915D0">
        <w:rPr>
          <w:rFonts w:ascii="Times New Roman" w:hAnsi="Times New Roman" w:cs="Times New Roman"/>
          <w:sz w:val="24"/>
          <w:szCs w:val="24"/>
        </w:rPr>
        <w:t>entre capital et travail</w:t>
      </w:r>
      <w:r w:rsidR="00C5770E" w:rsidRPr="000915D0">
        <w:rPr>
          <w:rFonts w:ascii="Times New Roman" w:hAnsi="Times New Roman" w:cs="Times New Roman"/>
          <w:sz w:val="24"/>
          <w:szCs w:val="24"/>
        </w:rPr>
        <w:t xml:space="preserve"> qui</w:t>
      </w:r>
      <w:r w:rsidR="00215882" w:rsidRPr="000915D0">
        <w:rPr>
          <w:rFonts w:ascii="Times New Roman" w:hAnsi="Times New Roman" w:cs="Times New Roman"/>
          <w:sz w:val="24"/>
          <w:szCs w:val="24"/>
        </w:rPr>
        <w:t xml:space="preserve"> peut</w:t>
      </w:r>
      <w:r w:rsidR="00C5770E" w:rsidRPr="000915D0">
        <w:rPr>
          <w:rFonts w:ascii="Times New Roman" w:hAnsi="Times New Roman" w:cs="Times New Roman"/>
          <w:sz w:val="24"/>
          <w:szCs w:val="24"/>
        </w:rPr>
        <w:t xml:space="preserve"> paraît</w:t>
      </w:r>
      <w:r w:rsidR="00215882" w:rsidRPr="000915D0">
        <w:rPr>
          <w:rFonts w:ascii="Times New Roman" w:hAnsi="Times New Roman" w:cs="Times New Roman"/>
          <w:sz w:val="24"/>
          <w:szCs w:val="24"/>
        </w:rPr>
        <w:t>re</w:t>
      </w:r>
      <w:r w:rsidR="00C5770E" w:rsidRPr="000915D0">
        <w:rPr>
          <w:rFonts w:ascii="Times New Roman" w:hAnsi="Times New Roman" w:cs="Times New Roman"/>
          <w:sz w:val="24"/>
          <w:szCs w:val="24"/>
        </w:rPr>
        <w:t xml:space="preserve"> dépassée</w:t>
      </w:r>
      <w:r w:rsidR="00B7574F" w:rsidRPr="000915D0">
        <w:rPr>
          <w:rFonts w:ascii="Times New Roman" w:hAnsi="Times New Roman" w:cs="Times New Roman"/>
          <w:sz w:val="24"/>
          <w:szCs w:val="24"/>
        </w:rPr>
        <w:t xml:space="preserve"> à certains égards</w:t>
      </w:r>
      <w:r w:rsidR="00C01C47" w:rsidRPr="000915D0">
        <w:rPr>
          <w:rFonts w:ascii="Times New Roman" w:hAnsi="Times New Roman" w:cs="Times New Roman"/>
          <w:sz w:val="24"/>
          <w:szCs w:val="24"/>
        </w:rPr>
        <w:t>. La participation des salariés à la gouvernance serait ainsi dépassée en raison de</w:t>
      </w:r>
      <w:r w:rsidR="005754FF" w:rsidRPr="000915D0">
        <w:rPr>
          <w:rFonts w:ascii="Times New Roman" w:hAnsi="Times New Roman" w:cs="Times New Roman"/>
          <w:sz w:val="24"/>
          <w:szCs w:val="24"/>
        </w:rPr>
        <w:t xml:space="preserve">s mutations </w:t>
      </w:r>
      <w:r w:rsidR="00ED7EB7" w:rsidRPr="000915D0">
        <w:rPr>
          <w:rFonts w:ascii="Times New Roman" w:hAnsi="Times New Roman" w:cs="Times New Roman"/>
          <w:sz w:val="24"/>
          <w:szCs w:val="24"/>
        </w:rPr>
        <w:t xml:space="preserve">récentes </w:t>
      </w:r>
      <w:r w:rsidR="00E37CB4" w:rsidRPr="000915D0">
        <w:rPr>
          <w:rFonts w:ascii="Times New Roman" w:hAnsi="Times New Roman" w:cs="Times New Roman"/>
          <w:sz w:val="24"/>
          <w:szCs w:val="24"/>
        </w:rPr>
        <w:t xml:space="preserve">de l’espace, du temps et des modalités </w:t>
      </w:r>
      <w:r w:rsidR="005754FF" w:rsidRPr="000915D0">
        <w:rPr>
          <w:rFonts w:ascii="Times New Roman" w:hAnsi="Times New Roman" w:cs="Times New Roman"/>
          <w:sz w:val="24"/>
          <w:szCs w:val="24"/>
        </w:rPr>
        <w:t>du travail</w:t>
      </w:r>
      <w:r w:rsidR="00871AFE" w:rsidRPr="000915D0">
        <w:rPr>
          <w:rFonts w:ascii="Times New Roman" w:hAnsi="Times New Roman" w:cs="Times New Roman"/>
          <w:sz w:val="24"/>
          <w:szCs w:val="24"/>
        </w:rPr>
        <w:t>. Mutations</w:t>
      </w:r>
      <w:r w:rsidR="006063F3" w:rsidRPr="000915D0">
        <w:rPr>
          <w:rFonts w:ascii="Times New Roman" w:hAnsi="Times New Roman" w:cs="Times New Roman"/>
          <w:sz w:val="24"/>
          <w:szCs w:val="24"/>
        </w:rPr>
        <w:t xml:space="preserve"> incarnées</w:t>
      </w:r>
      <w:r w:rsidR="00ED7EB7" w:rsidRPr="000915D0">
        <w:rPr>
          <w:rFonts w:ascii="Times New Roman" w:hAnsi="Times New Roman" w:cs="Times New Roman"/>
          <w:sz w:val="24"/>
          <w:szCs w:val="24"/>
        </w:rPr>
        <w:t xml:space="preserve"> </w:t>
      </w:r>
      <w:r w:rsidR="006063F3" w:rsidRPr="000915D0">
        <w:rPr>
          <w:rFonts w:ascii="Times New Roman" w:hAnsi="Times New Roman" w:cs="Times New Roman"/>
          <w:sz w:val="24"/>
          <w:szCs w:val="24"/>
        </w:rPr>
        <w:t xml:space="preserve">notamment par </w:t>
      </w:r>
      <w:r w:rsidR="004763F0" w:rsidRPr="000915D0">
        <w:rPr>
          <w:rFonts w:ascii="Times New Roman" w:hAnsi="Times New Roman" w:cs="Times New Roman"/>
          <w:sz w:val="24"/>
          <w:szCs w:val="24"/>
        </w:rPr>
        <w:t xml:space="preserve">le </w:t>
      </w:r>
      <w:r w:rsidR="00ED7EB7" w:rsidRPr="000915D0">
        <w:rPr>
          <w:rFonts w:ascii="Times New Roman" w:hAnsi="Times New Roman" w:cs="Times New Roman"/>
          <w:sz w:val="24"/>
          <w:szCs w:val="24"/>
        </w:rPr>
        <w:t xml:space="preserve">travail </w:t>
      </w:r>
      <w:r w:rsidR="004763F0" w:rsidRPr="000915D0">
        <w:rPr>
          <w:rFonts w:ascii="Times New Roman" w:hAnsi="Times New Roman" w:cs="Times New Roman"/>
          <w:sz w:val="24"/>
          <w:szCs w:val="24"/>
        </w:rPr>
        <w:t xml:space="preserve">digitalisé et </w:t>
      </w:r>
      <w:r w:rsidR="00ED7EB7" w:rsidRPr="000915D0">
        <w:rPr>
          <w:rFonts w:ascii="Times New Roman" w:hAnsi="Times New Roman" w:cs="Times New Roman"/>
          <w:sz w:val="24"/>
          <w:szCs w:val="24"/>
        </w:rPr>
        <w:t>à distance</w:t>
      </w:r>
      <w:r w:rsidR="005754FF" w:rsidRPr="000915D0">
        <w:rPr>
          <w:rFonts w:ascii="Times New Roman" w:hAnsi="Times New Roman" w:cs="Times New Roman"/>
          <w:sz w:val="24"/>
          <w:szCs w:val="24"/>
        </w:rPr>
        <w:t xml:space="preserve"> </w:t>
      </w:r>
      <w:r w:rsidR="00B80333" w:rsidRPr="000915D0">
        <w:rPr>
          <w:rFonts w:ascii="Times New Roman" w:hAnsi="Times New Roman" w:cs="Times New Roman"/>
          <w:sz w:val="24"/>
          <w:szCs w:val="24"/>
        </w:rPr>
        <w:t>prenant des formes contractuelles différentes du salariat</w:t>
      </w:r>
      <w:r w:rsidR="00871AFE" w:rsidRPr="000915D0">
        <w:rPr>
          <w:rFonts w:ascii="Times New Roman" w:hAnsi="Times New Roman" w:cs="Times New Roman"/>
          <w:sz w:val="24"/>
          <w:szCs w:val="24"/>
        </w:rPr>
        <w:t>.</w:t>
      </w:r>
      <w:r w:rsidR="005B2E88" w:rsidRPr="000915D0">
        <w:rPr>
          <w:rFonts w:ascii="Times New Roman" w:hAnsi="Times New Roman" w:cs="Times New Roman"/>
          <w:sz w:val="24"/>
          <w:szCs w:val="24"/>
        </w:rPr>
        <w:t xml:space="preserve"> La codétermination où seuls actionnaires et salariés seraient représentés </w:t>
      </w:r>
      <w:r w:rsidR="00220FBF" w:rsidRPr="000915D0">
        <w:rPr>
          <w:rFonts w:ascii="Times New Roman" w:hAnsi="Times New Roman" w:cs="Times New Roman"/>
          <w:sz w:val="24"/>
          <w:szCs w:val="24"/>
        </w:rPr>
        <w:t>serait également dépassé</w:t>
      </w:r>
      <w:r w:rsidR="00AF549B" w:rsidRPr="000915D0">
        <w:rPr>
          <w:rFonts w:ascii="Times New Roman" w:hAnsi="Times New Roman" w:cs="Times New Roman"/>
          <w:sz w:val="24"/>
          <w:szCs w:val="24"/>
        </w:rPr>
        <w:t>e</w:t>
      </w:r>
      <w:r w:rsidR="00220FBF" w:rsidRPr="000915D0">
        <w:rPr>
          <w:rFonts w:ascii="Times New Roman" w:hAnsi="Times New Roman" w:cs="Times New Roman"/>
          <w:sz w:val="24"/>
          <w:szCs w:val="24"/>
        </w:rPr>
        <w:t xml:space="preserve"> à l’heure de la </w:t>
      </w:r>
      <w:r w:rsidR="00454D03" w:rsidRPr="000915D0">
        <w:rPr>
          <w:rFonts w:ascii="Times New Roman" w:hAnsi="Times New Roman" w:cs="Times New Roman"/>
          <w:sz w:val="24"/>
          <w:szCs w:val="24"/>
        </w:rPr>
        <w:t>« </w:t>
      </w:r>
      <w:r w:rsidR="00220FBF" w:rsidRPr="000915D0">
        <w:rPr>
          <w:rFonts w:ascii="Times New Roman" w:hAnsi="Times New Roman" w:cs="Times New Roman"/>
          <w:sz w:val="24"/>
          <w:szCs w:val="24"/>
        </w:rPr>
        <w:t>sociétalisation</w:t>
      </w:r>
      <w:r w:rsidR="00454D03" w:rsidRPr="000915D0">
        <w:rPr>
          <w:rFonts w:ascii="Times New Roman" w:hAnsi="Times New Roman" w:cs="Times New Roman"/>
          <w:sz w:val="24"/>
          <w:szCs w:val="24"/>
        </w:rPr>
        <w:t> »</w:t>
      </w:r>
      <w:r w:rsidR="00220FBF" w:rsidRPr="000915D0">
        <w:rPr>
          <w:rFonts w:ascii="Times New Roman" w:hAnsi="Times New Roman" w:cs="Times New Roman"/>
          <w:sz w:val="24"/>
          <w:szCs w:val="24"/>
        </w:rPr>
        <w:t xml:space="preserve"> des entreprises décrites par Gomez (2022)</w:t>
      </w:r>
      <w:r w:rsidR="00321358" w:rsidRPr="000915D0">
        <w:rPr>
          <w:rFonts w:ascii="Times New Roman" w:hAnsi="Times New Roman" w:cs="Times New Roman"/>
          <w:sz w:val="24"/>
          <w:szCs w:val="24"/>
        </w:rPr>
        <w:t xml:space="preserve"> « </w:t>
      </w:r>
      <w:r w:rsidR="00321358" w:rsidRPr="000915D0">
        <w:rPr>
          <w:rFonts w:ascii="Times New Roman" w:hAnsi="Times New Roman" w:cs="Times New Roman"/>
          <w:i/>
          <w:sz w:val="24"/>
          <w:szCs w:val="24"/>
        </w:rPr>
        <w:t>c’est-à-dire à une évaluation de la production de richesse qui intègre ses effets sur la société tout entière</w:t>
      </w:r>
      <w:r w:rsidR="00321358" w:rsidRPr="000915D0">
        <w:rPr>
          <w:rFonts w:ascii="Times New Roman" w:hAnsi="Times New Roman" w:cs="Times New Roman"/>
          <w:sz w:val="24"/>
          <w:szCs w:val="24"/>
        </w:rPr>
        <w:t xml:space="preserve"> ». </w:t>
      </w:r>
      <w:r w:rsidR="00173F01" w:rsidRPr="000915D0">
        <w:rPr>
          <w:rFonts w:ascii="Times New Roman" w:hAnsi="Times New Roman" w:cs="Times New Roman"/>
          <w:sz w:val="24"/>
          <w:szCs w:val="24"/>
        </w:rPr>
        <w:t>Dans cet esprit, l</w:t>
      </w:r>
      <w:r w:rsidR="00C95F02" w:rsidRPr="000915D0">
        <w:rPr>
          <w:rFonts w:ascii="Times New Roman" w:hAnsi="Times New Roman" w:cs="Times New Roman"/>
          <w:sz w:val="24"/>
          <w:szCs w:val="24"/>
        </w:rPr>
        <w:t xml:space="preserve">es </w:t>
      </w:r>
      <w:r w:rsidR="00D811C5" w:rsidRPr="000915D0">
        <w:rPr>
          <w:rFonts w:ascii="Times New Roman" w:hAnsi="Times New Roman" w:cs="Times New Roman"/>
          <w:sz w:val="24"/>
          <w:szCs w:val="24"/>
        </w:rPr>
        <w:t xml:space="preserve">comités de mission </w:t>
      </w:r>
      <w:r w:rsidR="00173F01" w:rsidRPr="000915D0">
        <w:rPr>
          <w:rFonts w:ascii="Times New Roman" w:hAnsi="Times New Roman" w:cs="Times New Roman"/>
          <w:sz w:val="24"/>
          <w:szCs w:val="24"/>
        </w:rPr>
        <w:t xml:space="preserve">des </w:t>
      </w:r>
      <w:r w:rsidR="00D811C5" w:rsidRPr="000915D0">
        <w:rPr>
          <w:rFonts w:ascii="Times New Roman" w:hAnsi="Times New Roman" w:cs="Times New Roman"/>
          <w:sz w:val="24"/>
          <w:szCs w:val="24"/>
        </w:rPr>
        <w:t xml:space="preserve">sociétés à mission </w:t>
      </w:r>
      <w:r w:rsidR="00173F01" w:rsidRPr="000915D0">
        <w:rPr>
          <w:rFonts w:ascii="Times New Roman" w:hAnsi="Times New Roman" w:cs="Times New Roman"/>
          <w:sz w:val="24"/>
          <w:szCs w:val="24"/>
        </w:rPr>
        <w:t xml:space="preserve">vérifient par exemple que chaque décision prise prend bien en compte les critères sociaux et environnementaux. Ces comités </w:t>
      </w:r>
      <w:r w:rsidR="00317325" w:rsidRPr="000915D0">
        <w:rPr>
          <w:rFonts w:ascii="Times New Roman" w:hAnsi="Times New Roman" w:cs="Times New Roman"/>
          <w:sz w:val="24"/>
          <w:szCs w:val="24"/>
        </w:rPr>
        <w:t xml:space="preserve">qui </w:t>
      </w:r>
      <w:r w:rsidR="00173F01" w:rsidRPr="000915D0">
        <w:rPr>
          <w:rFonts w:ascii="Times New Roman" w:hAnsi="Times New Roman" w:cs="Times New Roman"/>
          <w:sz w:val="24"/>
          <w:szCs w:val="24"/>
        </w:rPr>
        <w:t xml:space="preserve">n’ont certes </w:t>
      </w:r>
      <w:r w:rsidR="002959CD" w:rsidRPr="000915D0">
        <w:rPr>
          <w:rFonts w:ascii="Times New Roman" w:hAnsi="Times New Roman" w:cs="Times New Roman"/>
          <w:sz w:val="24"/>
          <w:szCs w:val="24"/>
        </w:rPr>
        <w:t>qu’un rôle d’évaluation de la mission de l’entreprise n’intègrent qu’un représentant des salariés</w:t>
      </w:r>
      <w:r w:rsidR="00CF5C1C" w:rsidRPr="000915D0">
        <w:rPr>
          <w:rFonts w:ascii="Times New Roman" w:hAnsi="Times New Roman" w:cs="Times New Roman"/>
          <w:sz w:val="24"/>
          <w:szCs w:val="24"/>
        </w:rPr>
        <w:t xml:space="preserve">. La représentation </w:t>
      </w:r>
      <w:r w:rsidR="0014098B" w:rsidRPr="000915D0">
        <w:rPr>
          <w:rFonts w:ascii="Times New Roman" w:hAnsi="Times New Roman" w:cs="Times New Roman"/>
          <w:sz w:val="24"/>
          <w:szCs w:val="24"/>
        </w:rPr>
        <w:t xml:space="preserve">du travail peut ainsi se voir disputer son rôle de partie prenante constitutive. </w:t>
      </w:r>
      <w:r w:rsidR="00965D64" w:rsidRPr="000915D0">
        <w:rPr>
          <w:rFonts w:ascii="Times New Roman" w:hAnsi="Times New Roman" w:cs="Times New Roman"/>
          <w:sz w:val="24"/>
          <w:szCs w:val="24"/>
        </w:rPr>
        <w:t xml:space="preserve">Les mutations du travail et la </w:t>
      </w:r>
      <w:r w:rsidR="00012BC7" w:rsidRPr="000915D0">
        <w:rPr>
          <w:rFonts w:ascii="Times New Roman" w:hAnsi="Times New Roman" w:cs="Times New Roman"/>
          <w:sz w:val="24"/>
          <w:szCs w:val="24"/>
        </w:rPr>
        <w:t>« </w:t>
      </w:r>
      <w:r w:rsidR="00965D64" w:rsidRPr="000915D0">
        <w:rPr>
          <w:rFonts w:ascii="Times New Roman" w:hAnsi="Times New Roman" w:cs="Times New Roman"/>
          <w:sz w:val="24"/>
          <w:szCs w:val="24"/>
        </w:rPr>
        <w:t>sociétalisation</w:t>
      </w:r>
      <w:r w:rsidR="00012BC7" w:rsidRPr="000915D0">
        <w:rPr>
          <w:rFonts w:ascii="Times New Roman" w:hAnsi="Times New Roman" w:cs="Times New Roman"/>
          <w:sz w:val="24"/>
          <w:szCs w:val="24"/>
        </w:rPr>
        <w:t> »</w:t>
      </w:r>
      <w:r w:rsidR="00965D64" w:rsidRPr="000915D0">
        <w:rPr>
          <w:rFonts w:ascii="Times New Roman" w:hAnsi="Times New Roman" w:cs="Times New Roman"/>
          <w:sz w:val="24"/>
          <w:szCs w:val="24"/>
        </w:rPr>
        <w:t xml:space="preserve"> sont de nouveaux défis posés à la codétermination</w:t>
      </w:r>
      <w:r w:rsidR="00012BC7" w:rsidRPr="000915D0">
        <w:rPr>
          <w:rFonts w:ascii="Times New Roman" w:hAnsi="Times New Roman" w:cs="Times New Roman"/>
          <w:sz w:val="24"/>
          <w:szCs w:val="24"/>
        </w:rPr>
        <w:t>, et on peut s</w:t>
      </w:r>
      <w:r w:rsidR="00D56E6D" w:rsidRPr="000915D0">
        <w:rPr>
          <w:rFonts w:ascii="Times New Roman" w:hAnsi="Times New Roman" w:cs="Times New Roman"/>
          <w:sz w:val="24"/>
          <w:szCs w:val="24"/>
        </w:rPr>
        <w:t>’interroger sur les formes que prend la mobilisation sociale sur ces sujets</w:t>
      </w:r>
      <w:r w:rsidR="00965D64" w:rsidRPr="000915D0">
        <w:rPr>
          <w:rFonts w:ascii="Times New Roman" w:hAnsi="Times New Roman" w:cs="Times New Roman"/>
          <w:sz w:val="24"/>
          <w:szCs w:val="24"/>
        </w:rPr>
        <w:t>.</w:t>
      </w:r>
      <w:r w:rsidR="003B269A" w:rsidRPr="000915D0">
        <w:rPr>
          <w:rFonts w:ascii="Times New Roman" w:hAnsi="Times New Roman" w:cs="Times New Roman"/>
          <w:sz w:val="24"/>
          <w:szCs w:val="24"/>
        </w:rPr>
        <w:t xml:space="preserve"> Notamment, la théorie de la mobilisation, </w:t>
      </w:r>
      <w:r w:rsidR="00646A14" w:rsidRPr="000915D0">
        <w:rPr>
          <w:rFonts w:ascii="Times New Roman" w:hAnsi="Times New Roman" w:cs="Times New Roman"/>
          <w:sz w:val="24"/>
          <w:szCs w:val="24"/>
        </w:rPr>
        <w:t xml:space="preserve">qui nous a permis de mieux comprendre les ressorts et les freins de la mobilisation historique en faveur </w:t>
      </w:r>
      <w:r w:rsidR="00185857" w:rsidRPr="000915D0">
        <w:rPr>
          <w:rFonts w:ascii="Times New Roman" w:hAnsi="Times New Roman" w:cs="Times New Roman"/>
          <w:sz w:val="24"/>
          <w:szCs w:val="24"/>
        </w:rPr>
        <w:t xml:space="preserve">de la codétermination, est-elle également apte à approfondir </w:t>
      </w:r>
      <w:r w:rsidR="00C20F9E" w:rsidRPr="000915D0">
        <w:rPr>
          <w:rFonts w:ascii="Times New Roman" w:hAnsi="Times New Roman" w:cs="Times New Roman"/>
          <w:sz w:val="24"/>
          <w:szCs w:val="24"/>
        </w:rPr>
        <w:t>notre compréhension de la dynamique de « sociétalisation » actuelle ?</w:t>
      </w:r>
      <w:r w:rsidR="00965D64" w:rsidRPr="000915D0">
        <w:rPr>
          <w:rFonts w:ascii="Times New Roman" w:hAnsi="Times New Roman" w:cs="Times New Roman"/>
          <w:sz w:val="24"/>
          <w:szCs w:val="24"/>
        </w:rPr>
        <w:t xml:space="preserve"> </w:t>
      </w:r>
      <w:r w:rsidR="0045064B" w:rsidRPr="000915D0">
        <w:rPr>
          <w:rFonts w:ascii="Times New Roman" w:hAnsi="Times New Roman" w:cs="Times New Roman"/>
          <w:sz w:val="24"/>
          <w:szCs w:val="24"/>
        </w:rPr>
        <w:t xml:space="preserve">Quelle serait l’institution socle, à l’échelle nationale, voire internationale, susceptible </w:t>
      </w:r>
      <w:r w:rsidR="00DD539E" w:rsidRPr="000915D0">
        <w:rPr>
          <w:rFonts w:ascii="Times New Roman" w:hAnsi="Times New Roman" w:cs="Times New Roman"/>
          <w:sz w:val="24"/>
          <w:szCs w:val="24"/>
        </w:rPr>
        <w:t>d’être le catalyseur d’un large effort de mobilisation</w:t>
      </w:r>
      <w:r w:rsidR="00074F57" w:rsidRPr="000915D0">
        <w:rPr>
          <w:rFonts w:ascii="Times New Roman" w:hAnsi="Times New Roman" w:cs="Times New Roman"/>
          <w:sz w:val="24"/>
          <w:szCs w:val="24"/>
        </w:rPr>
        <w:t xml:space="preserve"> partagé</w:t>
      </w:r>
      <w:r w:rsidR="00DD539E" w:rsidRPr="000915D0">
        <w:rPr>
          <w:rFonts w:ascii="Times New Roman" w:hAnsi="Times New Roman" w:cs="Times New Roman"/>
          <w:sz w:val="24"/>
          <w:szCs w:val="24"/>
        </w:rPr>
        <w:t xml:space="preserve"> vers la sociétalisation</w:t>
      </w:r>
      <w:r w:rsidR="00074F57" w:rsidRPr="000915D0">
        <w:rPr>
          <w:rFonts w:ascii="Times New Roman" w:hAnsi="Times New Roman" w:cs="Times New Roman"/>
          <w:sz w:val="24"/>
          <w:szCs w:val="24"/>
        </w:rPr>
        <w:t> ?</w:t>
      </w:r>
      <w:r w:rsidR="00996847" w:rsidRPr="000915D0">
        <w:rPr>
          <w:rFonts w:ascii="Times New Roman" w:hAnsi="Times New Roman" w:cs="Times New Roman"/>
          <w:sz w:val="24"/>
          <w:szCs w:val="24"/>
        </w:rPr>
        <w:t xml:space="preserve"> </w:t>
      </w:r>
      <w:r w:rsidR="00932B92" w:rsidRPr="000915D0">
        <w:rPr>
          <w:rFonts w:ascii="Times New Roman" w:hAnsi="Times New Roman" w:cs="Times New Roman"/>
          <w:sz w:val="24"/>
          <w:szCs w:val="24"/>
        </w:rPr>
        <w:t>Ce questionnement</w:t>
      </w:r>
      <w:r w:rsidR="003A2BAB" w:rsidRPr="000915D0">
        <w:rPr>
          <w:rFonts w:ascii="Times New Roman" w:hAnsi="Times New Roman" w:cs="Times New Roman"/>
          <w:sz w:val="24"/>
          <w:szCs w:val="24"/>
        </w:rPr>
        <w:t xml:space="preserve"> est une piste pour des recherches futures</w:t>
      </w:r>
      <w:r w:rsidR="00DD41D2" w:rsidRPr="000915D0">
        <w:rPr>
          <w:rFonts w:ascii="Times New Roman" w:hAnsi="Times New Roman" w:cs="Times New Roman"/>
          <w:sz w:val="24"/>
          <w:szCs w:val="24"/>
        </w:rPr>
        <w:t xml:space="preserve">. Celles-ci devraient approfondir </w:t>
      </w:r>
      <w:r w:rsidR="00ED0940" w:rsidRPr="000915D0">
        <w:rPr>
          <w:rFonts w:ascii="Times New Roman" w:hAnsi="Times New Roman" w:cs="Times New Roman"/>
          <w:sz w:val="24"/>
          <w:szCs w:val="24"/>
        </w:rPr>
        <w:t>le concept de l’institution socle, ainsi que</w:t>
      </w:r>
      <w:r w:rsidR="00465EE5" w:rsidRPr="000915D0">
        <w:rPr>
          <w:rFonts w:ascii="Times New Roman" w:hAnsi="Times New Roman" w:cs="Times New Roman"/>
          <w:sz w:val="24"/>
          <w:szCs w:val="24"/>
        </w:rPr>
        <w:t xml:space="preserve"> la méthode de</w:t>
      </w:r>
      <w:r w:rsidR="00ED0940" w:rsidRPr="000915D0">
        <w:rPr>
          <w:rFonts w:ascii="Times New Roman" w:hAnsi="Times New Roman" w:cs="Times New Roman"/>
          <w:sz w:val="24"/>
          <w:szCs w:val="24"/>
        </w:rPr>
        <w:t xml:space="preserve"> son identification dans un </w:t>
      </w:r>
      <w:r w:rsidR="00D0077A" w:rsidRPr="000915D0">
        <w:rPr>
          <w:rFonts w:ascii="Times New Roman" w:hAnsi="Times New Roman" w:cs="Times New Roman"/>
          <w:sz w:val="24"/>
          <w:szCs w:val="24"/>
        </w:rPr>
        <w:t>terrain empirique.</w:t>
      </w:r>
      <w:r w:rsidR="00C748F5" w:rsidRPr="000915D0">
        <w:rPr>
          <w:rFonts w:ascii="Times New Roman" w:hAnsi="Times New Roman" w:cs="Times New Roman"/>
          <w:sz w:val="24"/>
          <w:szCs w:val="24"/>
        </w:rPr>
        <w:t xml:space="preserve"> </w:t>
      </w:r>
      <w:r w:rsidR="007741BA" w:rsidRPr="000915D0">
        <w:rPr>
          <w:rFonts w:ascii="Times New Roman" w:hAnsi="Times New Roman" w:cs="Times New Roman"/>
          <w:sz w:val="24"/>
          <w:szCs w:val="24"/>
        </w:rPr>
        <w:t>Pour progresser dans cette direction,</w:t>
      </w:r>
      <w:r w:rsidR="001C480C" w:rsidRPr="000915D0">
        <w:rPr>
          <w:rFonts w:ascii="Times New Roman" w:hAnsi="Times New Roman" w:cs="Times New Roman"/>
          <w:sz w:val="24"/>
          <w:szCs w:val="24"/>
        </w:rPr>
        <w:t xml:space="preserve"> Gomez et Wirtz</w:t>
      </w:r>
      <w:r w:rsidR="00F270AC" w:rsidRPr="000915D0">
        <w:rPr>
          <w:rFonts w:ascii="Times New Roman" w:hAnsi="Times New Roman" w:cs="Times New Roman"/>
          <w:sz w:val="24"/>
          <w:szCs w:val="24"/>
        </w:rPr>
        <w:t xml:space="preserve"> fournissent quelques indications</w:t>
      </w:r>
      <w:r w:rsidR="00DC6724" w:rsidRPr="000915D0">
        <w:rPr>
          <w:rFonts w:ascii="Times New Roman" w:hAnsi="Times New Roman" w:cs="Times New Roman"/>
          <w:sz w:val="24"/>
          <w:szCs w:val="24"/>
        </w:rPr>
        <w:t xml:space="preserve">. Pour ces auteurs, </w:t>
      </w:r>
      <w:r w:rsidR="00A43504" w:rsidRPr="000915D0">
        <w:rPr>
          <w:rFonts w:ascii="Times New Roman" w:hAnsi="Times New Roman" w:cs="Times New Roman"/>
          <w:sz w:val="24"/>
          <w:szCs w:val="24"/>
        </w:rPr>
        <w:t xml:space="preserve">l’institution socle </w:t>
      </w:r>
      <w:r w:rsidR="002352E6" w:rsidRPr="000915D0">
        <w:rPr>
          <w:rFonts w:ascii="Times New Roman" w:hAnsi="Times New Roman" w:cs="Times New Roman"/>
          <w:sz w:val="24"/>
          <w:szCs w:val="24"/>
        </w:rPr>
        <w:t>peut être repérée</w:t>
      </w:r>
      <w:r w:rsidR="004A731E" w:rsidRPr="000915D0">
        <w:rPr>
          <w:rFonts w:ascii="Times New Roman" w:hAnsi="Times New Roman" w:cs="Times New Roman"/>
          <w:sz w:val="24"/>
          <w:szCs w:val="24"/>
        </w:rPr>
        <w:t xml:space="preserve"> </w:t>
      </w:r>
      <w:r w:rsidR="00A43504" w:rsidRPr="000915D0">
        <w:rPr>
          <w:rFonts w:ascii="Times New Roman" w:hAnsi="Times New Roman" w:cs="Times New Roman"/>
          <w:sz w:val="24"/>
          <w:szCs w:val="24"/>
        </w:rPr>
        <w:t>« </w:t>
      </w:r>
      <w:r w:rsidR="004A731E" w:rsidRPr="000915D0">
        <w:rPr>
          <w:rFonts w:ascii="Times New Roman" w:hAnsi="Times New Roman" w:cs="Times New Roman"/>
          <w:sz w:val="24"/>
          <w:szCs w:val="24"/>
        </w:rPr>
        <w:t xml:space="preserve">selon 3 couples d’antithèses : 1) elles sont nécessaires pour qu’un cadrage institutionnel puisse se réaliser, mais pas </w:t>
      </w:r>
      <w:r w:rsidR="004A731E" w:rsidRPr="000915D0">
        <w:rPr>
          <w:rFonts w:ascii="Times New Roman" w:hAnsi="Times New Roman" w:cs="Times New Roman"/>
          <w:sz w:val="24"/>
          <w:szCs w:val="24"/>
        </w:rPr>
        <w:lastRenderedPageBreak/>
        <w:t>suffisantes car elles ne font que s’inscrire dans le jeu de la mobilisation des intérêts tel que le décrivent Davis et Thompson (1993) ; 2) elles sont à la marge des questions de gouvernance, pour ne pas être directement partie prenante des négociations donc détentrice d’un discours parmi d’autres, mais elles n’y sont pas étrangères du fait qu’elles développent un point de vue sur les principes généraux de gouvernance ; 3) elles sont influentes dans la mesure où leur voix (</w:t>
      </w:r>
      <w:r w:rsidR="004A731E" w:rsidRPr="000915D0">
        <w:rPr>
          <w:rFonts w:ascii="Times New Roman" w:hAnsi="Times New Roman" w:cs="Times New Roman"/>
          <w:i/>
          <w:iCs/>
          <w:sz w:val="24"/>
          <w:szCs w:val="24"/>
        </w:rPr>
        <w:t>voice</w:t>
      </w:r>
      <w:r w:rsidR="004A731E" w:rsidRPr="000915D0">
        <w:rPr>
          <w:rFonts w:ascii="Times New Roman" w:hAnsi="Times New Roman" w:cs="Times New Roman"/>
          <w:sz w:val="24"/>
          <w:szCs w:val="24"/>
        </w:rPr>
        <w:t>) compte pour cadrer les discours, mais pas obligeantes parce qu’elles ne sont pas directement parties prenantes des négociations et des compromis réalisés.</w:t>
      </w:r>
      <w:r w:rsidR="00A43504" w:rsidRPr="000915D0">
        <w:rPr>
          <w:rFonts w:ascii="Times New Roman" w:hAnsi="Times New Roman" w:cs="Times New Roman"/>
          <w:sz w:val="24"/>
          <w:szCs w:val="24"/>
        </w:rPr>
        <w:t> »</w:t>
      </w:r>
      <w:r w:rsidR="00676C2F" w:rsidRPr="000915D0">
        <w:rPr>
          <w:rFonts w:ascii="Times New Roman" w:hAnsi="Times New Roman" w:cs="Times New Roman"/>
          <w:sz w:val="24"/>
          <w:szCs w:val="24"/>
        </w:rPr>
        <w:t xml:space="preserve"> (Gomez et Wirtz, </w:t>
      </w:r>
      <w:r w:rsidR="00364C32" w:rsidRPr="000915D0">
        <w:rPr>
          <w:rFonts w:ascii="Times New Roman" w:hAnsi="Times New Roman" w:cs="Times New Roman"/>
          <w:sz w:val="24"/>
          <w:szCs w:val="24"/>
        </w:rPr>
        <w:t>2008</w:t>
      </w:r>
      <w:r w:rsidR="00676C2F" w:rsidRPr="000915D0">
        <w:rPr>
          <w:rFonts w:ascii="Times New Roman" w:hAnsi="Times New Roman" w:cs="Times New Roman"/>
          <w:sz w:val="24"/>
          <w:szCs w:val="24"/>
        </w:rPr>
        <w:t>, p</w:t>
      </w:r>
      <w:r w:rsidR="00364C32" w:rsidRPr="000915D0">
        <w:rPr>
          <w:rFonts w:ascii="Times New Roman" w:hAnsi="Times New Roman" w:cs="Times New Roman"/>
          <w:sz w:val="24"/>
          <w:szCs w:val="24"/>
        </w:rPr>
        <w:t xml:space="preserve"> 57)</w:t>
      </w:r>
      <w:r w:rsidR="00676C2F" w:rsidRPr="000915D0">
        <w:rPr>
          <w:rFonts w:ascii="Times New Roman" w:hAnsi="Times New Roman" w:cs="Times New Roman"/>
          <w:sz w:val="24"/>
          <w:szCs w:val="24"/>
        </w:rPr>
        <w:t xml:space="preserve">. </w:t>
      </w:r>
    </w:p>
    <w:p w14:paraId="30223CE8" w14:textId="77777777" w:rsidR="00752070" w:rsidRPr="000915D0" w:rsidRDefault="00752070" w:rsidP="00085B48">
      <w:pPr>
        <w:spacing w:line="360" w:lineRule="auto"/>
        <w:jc w:val="both"/>
        <w:rPr>
          <w:rFonts w:ascii="Times New Roman" w:hAnsi="Times New Roman" w:cs="Times New Roman"/>
          <w:sz w:val="24"/>
          <w:szCs w:val="24"/>
        </w:rPr>
      </w:pPr>
    </w:p>
    <w:p w14:paraId="38898812" w14:textId="68F2CAA1" w:rsidR="00CD38A8" w:rsidRPr="000915D0" w:rsidRDefault="00CD38A8" w:rsidP="006F3209">
      <w:pPr>
        <w:pStyle w:val="Paragraphedeliste"/>
        <w:numPr>
          <w:ilvl w:val="0"/>
          <w:numId w:val="7"/>
        </w:numPr>
        <w:spacing w:line="360" w:lineRule="auto"/>
        <w:jc w:val="both"/>
        <w:rPr>
          <w:rFonts w:ascii="Times New Roman" w:hAnsi="Times New Roman" w:cs="Times New Roman"/>
          <w:b/>
          <w:sz w:val="24"/>
          <w:szCs w:val="24"/>
        </w:rPr>
      </w:pPr>
      <w:r w:rsidRPr="000915D0">
        <w:rPr>
          <w:rFonts w:ascii="Times New Roman" w:hAnsi="Times New Roman" w:cs="Times New Roman"/>
          <w:b/>
          <w:sz w:val="24"/>
          <w:szCs w:val="24"/>
        </w:rPr>
        <w:t>Conclusion</w:t>
      </w:r>
    </w:p>
    <w:p w14:paraId="47140DEF" w14:textId="0B7CBCFA" w:rsidR="00CD38A8" w:rsidRPr="000915D0" w:rsidRDefault="00B13674" w:rsidP="00547A47">
      <w:pPr>
        <w:spacing w:line="360" w:lineRule="auto"/>
        <w:jc w:val="both"/>
        <w:rPr>
          <w:rFonts w:ascii="Times New Roman" w:hAnsi="Times New Roman" w:cs="Times New Roman"/>
          <w:sz w:val="24"/>
          <w:szCs w:val="24"/>
        </w:rPr>
      </w:pPr>
      <w:r w:rsidRPr="000915D0">
        <w:rPr>
          <w:rFonts w:ascii="Times New Roman" w:hAnsi="Times New Roman" w:cs="Times New Roman"/>
          <w:sz w:val="24"/>
          <w:szCs w:val="24"/>
        </w:rPr>
        <w:t xml:space="preserve">Cet article </w:t>
      </w:r>
      <w:r w:rsidR="00E45012" w:rsidRPr="000915D0">
        <w:rPr>
          <w:rFonts w:ascii="Times New Roman" w:hAnsi="Times New Roman" w:cs="Times New Roman"/>
          <w:sz w:val="24"/>
          <w:szCs w:val="24"/>
        </w:rPr>
        <w:t>propos</w:t>
      </w:r>
      <w:r w:rsidR="009E6C5E" w:rsidRPr="000915D0">
        <w:rPr>
          <w:rFonts w:ascii="Times New Roman" w:hAnsi="Times New Roman" w:cs="Times New Roman"/>
          <w:sz w:val="24"/>
          <w:szCs w:val="24"/>
        </w:rPr>
        <w:t>e</w:t>
      </w:r>
      <w:r w:rsidR="00E45012" w:rsidRPr="000915D0">
        <w:rPr>
          <w:rFonts w:ascii="Times New Roman" w:hAnsi="Times New Roman" w:cs="Times New Roman"/>
          <w:sz w:val="24"/>
          <w:szCs w:val="24"/>
        </w:rPr>
        <w:t xml:space="preserve"> une étude comparative </w:t>
      </w:r>
      <w:r w:rsidR="00EC6C3E" w:rsidRPr="000915D0">
        <w:rPr>
          <w:rFonts w:ascii="Times New Roman" w:hAnsi="Times New Roman" w:cs="Times New Roman"/>
          <w:sz w:val="24"/>
          <w:szCs w:val="24"/>
        </w:rPr>
        <w:t xml:space="preserve">et historique </w:t>
      </w:r>
      <w:r w:rsidR="00D21281" w:rsidRPr="000915D0">
        <w:rPr>
          <w:rFonts w:ascii="Times New Roman" w:hAnsi="Times New Roman" w:cs="Times New Roman"/>
          <w:sz w:val="24"/>
          <w:szCs w:val="24"/>
        </w:rPr>
        <w:t xml:space="preserve">des facteurs </w:t>
      </w:r>
      <w:r w:rsidR="00E45012" w:rsidRPr="000915D0">
        <w:rPr>
          <w:rFonts w:ascii="Times New Roman" w:hAnsi="Times New Roman" w:cs="Times New Roman"/>
          <w:sz w:val="24"/>
          <w:szCs w:val="24"/>
        </w:rPr>
        <w:t>de mobilisation</w:t>
      </w:r>
      <w:r w:rsidR="006E4161" w:rsidRPr="000915D0">
        <w:rPr>
          <w:rFonts w:ascii="Times New Roman" w:hAnsi="Times New Roman" w:cs="Times New Roman"/>
          <w:sz w:val="24"/>
          <w:szCs w:val="24"/>
        </w:rPr>
        <w:t xml:space="preserve"> sociale</w:t>
      </w:r>
      <w:r w:rsidR="00E45012" w:rsidRPr="000915D0">
        <w:rPr>
          <w:rFonts w:ascii="Times New Roman" w:hAnsi="Times New Roman" w:cs="Times New Roman"/>
          <w:sz w:val="24"/>
          <w:szCs w:val="24"/>
        </w:rPr>
        <w:t xml:space="preserve"> autour de la codétermination en France et en Allemagne afin de mieux comprendre les leviers facilitateurs et les éventuels freins.</w:t>
      </w:r>
      <w:r w:rsidR="002178AC" w:rsidRPr="000915D0">
        <w:rPr>
          <w:rFonts w:ascii="Times New Roman" w:hAnsi="Times New Roman" w:cs="Times New Roman"/>
          <w:sz w:val="24"/>
          <w:szCs w:val="24"/>
        </w:rPr>
        <w:t xml:space="preserve"> </w:t>
      </w:r>
      <w:r w:rsidR="008B29BE" w:rsidRPr="000915D0">
        <w:rPr>
          <w:rFonts w:ascii="Times New Roman" w:hAnsi="Times New Roman" w:cs="Times New Roman"/>
          <w:sz w:val="24"/>
          <w:szCs w:val="24"/>
        </w:rPr>
        <w:t>L</w:t>
      </w:r>
      <w:r w:rsidR="002178AC" w:rsidRPr="000915D0">
        <w:rPr>
          <w:rFonts w:ascii="Times New Roman" w:hAnsi="Times New Roman" w:cs="Times New Roman"/>
          <w:sz w:val="24"/>
          <w:szCs w:val="24"/>
        </w:rPr>
        <w:t>’</w:t>
      </w:r>
      <w:r w:rsidR="00946C48" w:rsidRPr="000915D0">
        <w:rPr>
          <w:rFonts w:ascii="Times New Roman" w:hAnsi="Times New Roman" w:cs="Times New Roman"/>
          <w:sz w:val="24"/>
          <w:szCs w:val="24"/>
        </w:rPr>
        <w:t xml:space="preserve">opportunité politique, </w:t>
      </w:r>
      <w:r w:rsidR="008B29BE" w:rsidRPr="000915D0">
        <w:rPr>
          <w:rFonts w:ascii="Times New Roman" w:hAnsi="Times New Roman" w:cs="Times New Roman"/>
          <w:sz w:val="24"/>
          <w:szCs w:val="24"/>
        </w:rPr>
        <w:t>les</w:t>
      </w:r>
      <w:r w:rsidR="002178AC" w:rsidRPr="000915D0">
        <w:rPr>
          <w:rFonts w:ascii="Times New Roman" w:hAnsi="Times New Roman" w:cs="Times New Roman"/>
          <w:sz w:val="24"/>
          <w:szCs w:val="24"/>
        </w:rPr>
        <w:t xml:space="preserve"> </w:t>
      </w:r>
      <w:r w:rsidR="00946C48" w:rsidRPr="000915D0">
        <w:rPr>
          <w:rFonts w:ascii="Times New Roman" w:hAnsi="Times New Roman" w:cs="Times New Roman"/>
          <w:sz w:val="24"/>
          <w:szCs w:val="24"/>
        </w:rPr>
        <w:t>intérêts partagés</w:t>
      </w:r>
      <w:r w:rsidR="002178AC" w:rsidRPr="000915D0">
        <w:rPr>
          <w:rFonts w:ascii="Times New Roman" w:hAnsi="Times New Roman" w:cs="Times New Roman"/>
          <w:sz w:val="24"/>
          <w:szCs w:val="24"/>
        </w:rPr>
        <w:t xml:space="preserve"> des acteurs</w:t>
      </w:r>
      <w:r w:rsidR="00946C48" w:rsidRPr="000915D0">
        <w:rPr>
          <w:rFonts w:ascii="Times New Roman" w:hAnsi="Times New Roman" w:cs="Times New Roman"/>
          <w:sz w:val="24"/>
          <w:szCs w:val="24"/>
        </w:rPr>
        <w:t xml:space="preserve">, </w:t>
      </w:r>
      <w:r w:rsidR="002178AC" w:rsidRPr="000915D0">
        <w:rPr>
          <w:rFonts w:ascii="Times New Roman" w:hAnsi="Times New Roman" w:cs="Times New Roman"/>
          <w:sz w:val="24"/>
          <w:szCs w:val="24"/>
        </w:rPr>
        <w:t xml:space="preserve">la présence d’une </w:t>
      </w:r>
      <w:r w:rsidR="00946C48" w:rsidRPr="000915D0">
        <w:rPr>
          <w:rFonts w:ascii="Times New Roman" w:hAnsi="Times New Roman" w:cs="Times New Roman"/>
          <w:sz w:val="24"/>
          <w:szCs w:val="24"/>
        </w:rPr>
        <w:t>infrastructure sociale</w:t>
      </w:r>
      <w:r w:rsidR="004259B8" w:rsidRPr="000915D0">
        <w:rPr>
          <w:rFonts w:ascii="Times New Roman" w:hAnsi="Times New Roman" w:cs="Times New Roman"/>
          <w:sz w:val="24"/>
          <w:szCs w:val="24"/>
        </w:rPr>
        <w:t xml:space="preserve">, </w:t>
      </w:r>
      <w:r w:rsidR="002178AC" w:rsidRPr="000915D0">
        <w:rPr>
          <w:rFonts w:ascii="Times New Roman" w:hAnsi="Times New Roman" w:cs="Times New Roman"/>
          <w:sz w:val="24"/>
          <w:szCs w:val="24"/>
        </w:rPr>
        <w:t>la</w:t>
      </w:r>
      <w:r w:rsidR="00946C48" w:rsidRPr="000915D0">
        <w:rPr>
          <w:rFonts w:ascii="Times New Roman" w:hAnsi="Times New Roman" w:cs="Times New Roman"/>
          <w:sz w:val="24"/>
          <w:szCs w:val="24"/>
        </w:rPr>
        <w:t xml:space="preserve"> dynamique de la mobilisation</w:t>
      </w:r>
      <w:r w:rsidR="004259B8" w:rsidRPr="000915D0">
        <w:rPr>
          <w:rFonts w:ascii="Times New Roman" w:hAnsi="Times New Roman" w:cs="Times New Roman"/>
          <w:sz w:val="24"/>
          <w:szCs w:val="24"/>
        </w:rPr>
        <w:t xml:space="preserve"> et la présence d’une institution socle ont permis </w:t>
      </w:r>
      <w:r w:rsidR="00AB380D" w:rsidRPr="000915D0">
        <w:rPr>
          <w:rFonts w:ascii="Times New Roman" w:hAnsi="Times New Roman" w:cs="Times New Roman"/>
          <w:sz w:val="24"/>
          <w:szCs w:val="24"/>
        </w:rPr>
        <w:t xml:space="preserve">à la codétermination de s’imposer </w:t>
      </w:r>
      <w:r w:rsidR="00BF328C" w:rsidRPr="000915D0">
        <w:rPr>
          <w:rFonts w:ascii="Times New Roman" w:hAnsi="Times New Roman" w:cs="Times New Roman"/>
          <w:sz w:val="24"/>
          <w:szCs w:val="24"/>
        </w:rPr>
        <w:t xml:space="preserve">en Allemagne. Ces ingrédients </w:t>
      </w:r>
      <w:r w:rsidR="00021D1E" w:rsidRPr="000915D0">
        <w:rPr>
          <w:rFonts w:ascii="Times New Roman" w:hAnsi="Times New Roman" w:cs="Times New Roman"/>
          <w:sz w:val="24"/>
          <w:szCs w:val="24"/>
        </w:rPr>
        <w:t xml:space="preserve">identifiés par Gomez et Wirtz (2018) n’étaient pas présents en France </w:t>
      </w:r>
      <w:r w:rsidR="00D62C43" w:rsidRPr="000915D0">
        <w:rPr>
          <w:rFonts w:ascii="Times New Roman" w:hAnsi="Times New Roman" w:cs="Times New Roman"/>
          <w:sz w:val="24"/>
          <w:szCs w:val="24"/>
        </w:rPr>
        <w:t xml:space="preserve">malgré une réflexion </w:t>
      </w:r>
      <w:r w:rsidR="00A96BD5" w:rsidRPr="000915D0">
        <w:rPr>
          <w:rFonts w:ascii="Times New Roman" w:hAnsi="Times New Roman" w:cs="Times New Roman"/>
          <w:sz w:val="24"/>
          <w:szCs w:val="24"/>
        </w:rPr>
        <w:t xml:space="preserve">originale </w:t>
      </w:r>
      <w:r w:rsidR="00841717" w:rsidRPr="000915D0">
        <w:rPr>
          <w:rFonts w:ascii="Times New Roman" w:hAnsi="Times New Roman" w:cs="Times New Roman"/>
          <w:sz w:val="24"/>
          <w:szCs w:val="24"/>
        </w:rPr>
        <w:t xml:space="preserve">sur </w:t>
      </w:r>
      <w:r w:rsidR="00547A47" w:rsidRPr="000915D0">
        <w:rPr>
          <w:rFonts w:ascii="Times New Roman" w:hAnsi="Times New Roman" w:cs="Times New Roman"/>
          <w:sz w:val="24"/>
          <w:szCs w:val="24"/>
        </w:rPr>
        <w:t xml:space="preserve">la nature de </w:t>
      </w:r>
      <w:r w:rsidR="00841717" w:rsidRPr="000915D0">
        <w:rPr>
          <w:rFonts w:ascii="Times New Roman" w:hAnsi="Times New Roman" w:cs="Times New Roman"/>
          <w:sz w:val="24"/>
          <w:szCs w:val="24"/>
        </w:rPr>
        <w:t>l</w:t>
      </w:r>
      <w:r w:rsidR="001A6A73" w:rsidRPr="000915D0">
        <w:rPr>
          <w:rFonts w:ascii="Times New Roman" w:hAnsi="Times New Roman" w:cs="Times New Roman"/>
          <w:sz w:val="24"/>
          <w:szCs w:val="24"/>
        </w:rPr>
        <w:t>’entreprise</w:t>
      </w:r>
      <w:r w:rsidR="00ED19FF" w:rsidRPr="000915D0">
        <w:rPr>
          <w:rFonts w:ascii="Times New Roman" w:hAnsi="Times New Roman" w:cs="Times New Roman"/>
          <w:sz w:val="24"/>
          <w:szCs w:val="24"/>
        </w:rPr>
        <w:t xml:space="preserve"> justifiant la codétermination</w:t>
      </w:r>
      <w:r w:rsidR="00BD74D9" w:rsidRPr="000915D0">
        <w:rPr>
          <w:rFonts w:ascii="Times New Roman" w:hAnsi="Times New Roman" w:cs="Times New Roman"/>
          <w:sz w:val="24"/>
          <w:szCs w:val="24"/>
        </w:rPr>
        <w:t xml:space="preserve">. </w:t>
      </w:r>
      <w:r w:rsidR="009D3651" w:rsidRPr="000915D0">
        <w:rPr>
          <w:rFonts w:ascii="Times New Roman" w:hAnsi="Times New Roman" w:cs="Times New Roman"/>
          <w:sz w:val="24"/>
          <w:szCs w:val="24"/>
        </w:rPr>
        <w:t xml:space="preserve">Nous contribuons </w:t>
      </w:r>
      <w:r w:rsidR="00E473BD" w:rsidRPr="000915D0">
        <w:rPr>
          <w:rFonts w:ascii="Times New Roman" w:hAnsi="Times New Roman" w:cs="Times New Roman"/>
          <w:sz w:val="24"/>
          <w:szCs w:val="24"/>
        </w:rPr>
        <w:t xml:space="preserve">ainsi à </w:t>
      </w:r>
      <w:r w:rsidR="000E28E6" w:rsidRPr="000915D0">
        <w:rPr>
          <w:rFonts w:ascii="Times New Roman" w:hAnsi="Times New Roman" w:cs="Times New Roman"/>
          <w:sz w:val="24"/>
          <w:szCs w:val="24"/>
        </w:rPr>
        <w:t>une</w:t>
      </w:r>
      <w:r w:rsidR="00E473BD" w:rsidRPr="000915D0">
        <w:rPr>
          <w:rFonts w:ascii="Times New Roman" w:hAnsi="Times New Roman" w:cs="Times New Roman"/>
          <w:sz w:val="24"/>
          <w:szCs w:val="24"/>
        </w:rPr>
        <w:t xml:space="preserve"> compréhension</w:t>
      </w:r>
      <w:r w:rsidR="000E28E6" w:rsidRPr="000915D0">
        <w:rPr>
          <w:rFonts w:ascii="Times New Roman" w:hAnsi="Times New Roman" w:cs="Times New Roman"/>
          <w:sz w:val="24"/>
          <w:szCs w:val="24"/>
        </w:rPr>
        <w:t xml:space="preserve"> plus fine</w:t>
      </w:r>
      <w:r w:rsidR="00394699" w:rsidRPr="000915D0">
        <w:rPr>
          <w:rFonts w:ascii="Times New Roman" w:hAnsi="Times New Roman" w:cs="Times New Roman"/>
          <w:sz w:val="24"/>
          <w:szCs w:val="24"/>
        </w:rPr>
        <w:t xml:space="preserve"> que la théorie politiste de Roe (2003)</w:t>
      </w:r>
      <w:r w:rsidR="00E473BD" w:rsidRPr="000915D0">
        <w:rPr>
          <w:rFonts w:ascii="Times New Roman" w:hAnsi="Times New Roman" w:cs="Times New Roman"/>
          <w:sz w:val="24"/>
          <w:szCs w:val="24"/>
        </w:rPr>
        <w:t xml:space="preserve"> de l’institutionnalisation</w:t>
      </w:r>
      <w:r w:rsidR="009F0C0A" w:rsidRPr="000915D0">
        <w:rPr>
          <w:rFonts w:ascii="Times New Roman" w:hAnsi="Times New Roman" w:cs="Times New Roman"/>
          <w:sz w:val="24"/>
          <w:szCs w:val="24"/>
        </w:rPr>
        <w:t xml:space="preserve"> (</w:t>
      </w:r>
      <w:r w:rsidR="00DC0D0C" w:rsidRPr="000915D0">
        <w:rPr>
          <w:rFonts w:ascii="Times New Roman" w:hAnsi="Times New Roman" w:cs="Times New Roman"/>
          <w:sz w:val="24"/>
          <w:szCs w:val="24"/>
        </w:rPr>
        <w:t xml:space="preserve">ou </w:t>
      </w:r>
      <w:r w:rsidR="009A3348" w:rsidRPr="000915D0">
        <w:rPr>
          <w:rFonts w:ascii="Times New Roman" w:hAnsi="Times New Roman" w:cs="Times New Roman"/>
          <w:sz w:val="24"/>
          <w:szCs w:val="24"/>
        </w:rPr>
        <w:t>l’absence d’institutionnalisation)</w:t>
      </w:r>
      <w:r w:rsidR="00E473BD" w:rsidRPr="000915D0">
        <w:rPr>
          <w:rFonts w:ascii="Times New Roman" w:hAnsi="Times New Roman" w:cs="Times New Roman"/>
          <w:sz w:val="24"/>
          <w:szCs w:val="24"/>
        </w:rPr>
        <w:t xml:space="preserve"> d’une idéologie </w:t>
      </w:r>
      <w:r w:rsidR="00215AE4" w:rsidRPr="000915D0">
        <w:rPr>
          <w:rFonts w:ascii="Times New Roman" w:hAnsi="Times New Roman" w:cs="Times New Roman"/>
          <w:sz w:val="24"/>
          <w:szCs w:val="24"/>
        </w:rPr>
        <w:t xml:space="preserve">partenariale </w:t>
      </w:r>
      <w:r w:rsidR="00DC0D0C" w:rsidRPr="000915D0">
        <w:rPr>
          <w:rFonts w:ascii="Times New Roman" w:hAnsi="Times New Roman" w:cs="Times New Roman"/>
          <w:sz w:val="24"/>
          <w:szCs w:val="24"/>
        </w:rPr>
        <w:t xml:space="preserve">en matière de gouvernance </w:t>
      </w:r>
      <w:r w:rsidR="00496495" w:rsidRPr="000915D0">
        <w:rPr>
          <w:rFonts w:ascii="Times New Roman" w:hAnsi="Times New Roman" w:cs="Times New Roman"/>
          <w:sz w:val="24"/>
          <w:szCs w:val="24"/>
        </w:rPr>
        <w:t xml:space="preserve">des </w:t>
      </w:r>
      <w:proofErr w:type="gramStart"/>
      <w:r w:rsidR="00496495" w:rsidRPr="000915D0">
        <w:rPr>
          <w:rFonts w:ascii="Times New Roman" w:hAnsi="Times New Roman" w:cs="Times New Roman"/>
          <w:sz w:val="24"/>
          <w:szCs w:val="24"/>
        </w:rPr>
        <w:t>entreprises</w:t>
      </w:r>
      <w:r w:rsidR="00E473BD" w:rsidRPr="000915D0">
        <w:rPr>
          <w:rFonts w:ascii="Times New Roman" w:hAnsi="Times New Roman" w:cs="Times New Roman"/>
          <w:sz w:val="24"/>
          <w:szCs w:val="24"/>
        </w:rPr>
        <w:t xml:space="preserve"> </w:t>
      </w:r>
      <w:r w:rsidR="00A2591B" w:rsidRPr="000915D0">
        <w:rPr>
          <w:rFonts w:ascii="Times New Roman" w:hAnsi="Times New Roman" w:cs="Times New Roman"/>
          <w:sz w:val="24"/>
          <w:szCs w:val="24"/>
        </w:rPr>
        <w:t xml:space="preserve"> au</w:t>
      </w:r>
      <w:proofErr w:type="gramEnd"/>
      <w:r w:rsidR="00A2591B" w:rsidRPr="000915D0">
        <w:rPr>
          <w:rFonts w:ascii="Times New Roman" w:hAnsi="Times New Roman" w:cs="Times New Roman"/>
          <w:sz w:val="24"/>
          <w:szCs w:val="24"/>
        </w:rPr>
        <w:t xml:space="preserve"> sein de </w:t>
      </w:r>
      <w:r w:rsidR="00551DCD" w:rsidRPr="000915D0">
        <w:rPr>
          <w:rFonts w:ascii="Times New Roman" w:hAnsi="Times New Roman" w:cs="Times New Roman"/>
          <w:sz w:val="24"/>
          <w:szCs w:val="24"/>
        </w:rPr>
        <w:t>deux</w:t>
      </w:r>
      <w:r w:rsidR="00E473BD" w:rsidRPr="000915D0">
        <w:rPr>
          <w:rFonts w:ascii="Times New Roman" w:hAnsi="Times New Roman" w:cs="Times New Roman"/>
          <w:sz w:val="24"/>
          <w:szCs w:val="24"/>
        </w:rPr>
        <w:t xml:space="preserve"> système</w:t>
      </w:r>
      <w:r w:rsidR="00551DCD" w:rsidRPr="000915D0">
        <w:rPr>
          <w:rFonts w:ascii="Times New Roman" w:hAnsi="Times New Roman" w:cs="Times New Roman"/>
          <w:sz w:val="24"/>
          <w:szCs w:val="24"/>
        </w:rPr>
        <w:t>s</w:t>
      </w:r>
      <w:r w:rsidR="009B7D43" w:rsidRPr="000915D0">
        <w:rPr>
          <w:rFonts w:ascii="Times New Roman" w:hAnsi="Times New Roman" w:cs="Times New Roman"/>
          <w:sz w:val="24"/>
          <w:szCs w:val="24"/>
        </w:rPr>
        <w:t xml:space="preserve"> nationa</w:t>
      </w:r>
      <w:r w:rsidR="00551DCD" w:rsidRPr="000915D0">
        <w:rPr>
          <w:rFonts w:ascii="Times New Roman" w:hAnsi="Times New Roman" w:cs="Times New Roman"/>
          <w:sz w:val="24"/>
          <w:szCs w:val="24"/>
        </w:rPr>
        <w:t>ux</w:t>
      </w:r>
      <w:r w:rsidR="00E473BD" w:rsidRPr="000915D0">
        <w:rPr>
          <w:rFonts w:ascii="Times New Roman" w:hAnsi="Times New Roman" w:cs="Times New Roman"/>
          <w:sz w:val="24"/>
          <w:szCs w:val="24"/>
        </w:rPr>
        <w:t xml:space="preserve"> de gouvernance</w:t>
      </w:r>
      <w:r w:rsidR="002F46E9" w:rsidRPr="000915D0">
        <w:rPr>
          <w:rFonts w:ascii="Times New Roman" w:hAnsi="Times New Roman" w:cs="Times New Roman"/>
          <w:sz w:val="24"/>
          <w:szCs w:val="24"/>
        </w:rPr>
        <w:t xml:space="preserve"> (Charr</w:t>
      </w:r>
      <w:r w:rsidR="00DD58C3" w:rsidRPr="000915D0">
        <w:rPr>
          <w:rFonts w:ascii="Times New Roman" w:hAnsi="Times New Roman" w:cs="Times New Roman"/>
          <w:sz w:val="24"/>
          <w:szCs w:val="24"/>
        </w:rPr>
        <w:t>eaux, 2006)</w:t>
      </w:r>
      <w:r w:rsidR="00541E72" w:rsidRPr="000915D0">
        <w:rPr>
          <w:rFonts w:ascii="Times New Roman" w:hAnsi="Times New Roman" w:cs="Times New Roman"/>
          <w:sz w:val="24"/>
          <w:szCs w:val="24"/>
        </w:rPr>
        <w:t xml:space="preserve">. </w:t>
      </w:r>
      <w:r w:rsidR="008124C3" w:rsidRPr="000915D0">
        <w:rPr>
          <w:rFonts w:ascii="Times New Roman" w:hAnsi="Times New Roman" w:cs="Times New Roman"/>
          <w:sz w:val="24"/>
          <w:szCs w:val="24"/>
        </w:rPr>
        <w:t>Nous montrons comment deux pays relativement proches</w:t>
      </w:r>
      <w:r w:rsidR="004E1778" w:rsidRPr="000915D0">
        <w:rPr>
          <w:rFonts w:ascii="Times New Roman" w:hAnsi="Times New Roman" w:cs="Times New Roman"/>
          <w:sz w:val="24"/>
          <w:szCs w:val="24"/>
        </w:rPr>
        <w:t xml:space="preserve"> politiquement peuvent emprunter des trajectoires différentes.</w:t>
      </w:r>
    </w:p>
    <w:p w14:paraId="291CF9E8" w14:textId="77777777" w:rsidR="00085B48" w:rsidRPr="000915D0" w:rsidRDefault="00085B48" w:rsidP="00085B48">
      <w:pPr>
        <w:spacing w:line="360" w:lineRule="auto"/>
        <w:jc w:val="both"/>
        <w:rPr>
          <w:rFonts w:ascii="Times New Roman" w:hAnsi="Times New Roman" w:cs="Times New Roman"/>
          <w:sz w:val="24"/>
          <w:szCs w:val="24"/>
        </w:rPr>
      </w:pPr>
    </w:p>
    <w:p w14:paraId="03947947" w14:textId="77777777" w:rsidR="00F15E84" w:rsidRPr="000915D0" w:rsidRDefault="00F15E84">
      <w:pPr>
        <w:rPr>
          <w:rFonts w:ascii="Times New Roman" w:hAnsi="Times New Roman" w:cs="Times New Roman"/>
          <w:b/>
          <w:bCs/>
          <w:sz w:val="24"/>
          <w:szCs w:val="24"/>
        </w:rPr>
      </w:pPr>
      <w:r w:rsidRPr="000915D0">
        <w:rPr>
          <w:rFonts w:ascii="Times New Roman" w:hAnsi="Times New Roman" w:cs="Times New Roman"/>
          <w:b/>
          <w:bCs/>
          <w:sz w:val="24"/>
          <w:szCs w:val="24"/>
        </w:rPr>
        <w:br w:type="page"/>
      </w:r>
    </w:p>
    <w:p w14:paraId="257D99B0" w14:textId="2974DECF" w:rsidR="00085B48" w:rsidRPr="000915D0" w:rsidRDefault="00085B48" w:rsidP="00085B48">
      <w:pPr>
        <w:spacing w:line="360" w:lineRule="auto"/>
        <w:jc w:val="both"/>
        <w:rPr>
          <w:rFonts w:ascii="Times New Roman" w:hAnsi="Times New Roman" w:cs="Times New Roman"/>
          <w:b/>
          <w:bCs/>
          <w:sz w:val="24"/>
          <w:szCs w:val="24"/>
        </w:rPr>
      </w:pPr>
      <w:r w:rsidRPr="000915D0">
        <w:rPr>
          <w:rFonts w:ascii="Times New Roman" w:hAnsi="Times New Roman" w:cs="Times New Roman"/>
          <w:b/>
          <w:bCs/>
          <w:sz w:val="24"/>
          <w:szCs w:val="24"/>
        </w:rPr>
        <w:lastRenderedPageBreak/>
        <w:t>Références</w:t>
      </w:r>
    </w:p>
    <w:p w14:paraId="116D694A" w14:textId="2F1072BD" w:rsidR="00B94AC4" w:rsidRPr="000915D0" w:rsidRDefault="00B94AC4" w:rsidP="00B94AC4">
      <w:pPr>
        <w:spacing w:after="120" w:line="240" w:lineRule="auto"/>
        <w:ind w:left="284" w:hanging="284"/>
        <w:jc w:val="both"/>
        <w:rPr>
          <w:rFonts w:ascii="Times New Roman" w:hAnsi="Times New Roman" w:cs="Times New Roman"/>
          <w:sz w:val="24"/>
          <w:szCs w:val="24"/>
          <w:lang w:val="de-DE"/>
        </w:rPr>
      </w:pPr>
      <w:r w:rsidRPr="000915D0">
        <w:rPr>
          <w:rFonts w:ascii="Times New Roman" w:hAnsi="Times New Roman" w:cs="Times New Roman"/>
          <w:sz w:val="24"/>
          <w:szCs w:val="24"/>
          <w:lang w:val="de-DE"/>
        </w:rPr>
        <w:t xml:space="preserve">Adenauer K. (1965), </w:t>
      </w:r>
      <w:r w:rsidRPr="000915D0">
        <w:rPr>
          <w:rFonts w:ascii="Times New Roman" w:hAnsi="Times New Roman" w:cs="Times New Roman"/>
          <w:i/>
          <w:iCs/>
          <w:sz w:val="24"/>
          <w:szCs w:val="24"/>
          <w:lang w:val="de-DE"/>
        </w:rPr>
        <w:t>Erinnerungen 1945-1953</w:t>
      </w:r>
      <w:r w:rsidRPr="000915D0">
        <w:rPr>
          <w:rFonts w:ascii="Times New Roman" w:hAnsi="Times New Roman" w:cs="Times New Roman"/>
          <w:sz w:val="24"/>
          <w:szCs w:val="24"/>
          <w:lang w:val="de-DE"/>
        </w:rPr>
        <w:t>, 6ème édition: 1987, Stuttgart, Deutsche Verlags-Anstalt.</w:t>
      </w:r>
    </w:p>
    <w:p w14:paraId="5E7DC6FC" w14:textId="5932EAFA" w:rsidR="00085B48" w:rsidRPr="000915D0" w:rsidRDefault="00085B48" w:rsidP="005A2601">
      <w:pPr>
        <w:spacing w:after="120" w:line="240" w:lineRule="auto"/>
        <w:ind w:left="284" w:hanging="284"/>
        <w:jc w:val="both"/>
        <w:rPr>
          <w:rFonts w:ascii="Times New Roman" w:hAnsi="Times New Roman" w:cs="Times New Roman"/>
          <w:sz w:val="24"/>
          <w:szCs w:val="24"/>
        </w:rPr>
      </w:pPr>
      <w:r w:rsidRPr="000915D0">
        <w:rPr>
          <w:rFonts w:ascii="Times New Roman" w:hAnsi="Times New Roman" w:cs="Times New Roman"/>
          <w:sz w:val="24"/>
          <w:szCs w:val="24"/>
        </w:rPr>
        <w:t>Albert, M. (1991), Capitalisme Contre Capitalisme, Seuil Points, Paris</w:t>
      </w:r>
    </w:p>
    <w:p w14:paraId="1A47876B" w14:textId="77777777" w:rsidR="00085B48" w:rsidRPr="000915D0" w:rsidRDefault="00085B48" w:rsidP="005A2601">
      <w:pPr>
        <w:spacing w:after="120" w:line="240" w:lineRule="auto"/>
        <w:ind w:left="284" w:hanging="284"/>
        <w:jc w:val="both"/>
        <w:rPr>
          <w:rFonts w:ascii="Times New Roman" w:hAnsi="Times New Roman" w:cs="Times New Roman"/>
          <w:sz w:val="24"/>
          <w:szCs w:val="24"/>
        </w:rPr>
      </w:pPr>
      <w:r w:rsidRPr="000915D0">
        <w:rPr>
          <w:rFonts w:ascii="Times New Roman" w:hAnsi="Times New Roman" w:cs="Times New Roman"/>
          <w:sz w:val="24"/>
          <w:szCs w:val="24"/>
        </w:rPr>
        <w:t>Aubert, N., &amp; Hollandts, X. (2022). </w:t>
      </w:r>
      <w:r w:rsidRPr="000915D0">
        <w:rPr>
          <w:rFonts w:ascii="Times New Roman" w:hAnsi="Times New Roman" w:cs="Times New Roman"/>
          <w:i/>
          <w:iCs/>
          <w:sz w:val="24"/>
          <w:szCs w:val="24"/>
        </w:rPr>
        <w:t xml:space="preserve">La réforme de </w:t>
      </w:r>
      <w:proofErr w:type="gramStart"/>
      <w:r w:rsidRPr="000915D0">
        <w:rPr>
          <w:rFonts w:ascii="Times New Roman" w:hAnsi="Times New Roman" w:cs="Times New Roman"/>
          <w:i/>
          <w:iCs/>
          <w:sz w:val="24"/>
          <w:szCs w:val="24"/>
        </w:rPr>
        <w:t>l'entreprise:</w:t>
      </w:r>
      <w:proofErr w:type="gramEnd"/>
      <w:r w:rsidRPr="000915D0">
        <w:rPr>
          <w:rFonts w:ascii="Times New Roman" w:hAnsi="Times New Roman" w:cs="Times New Roman"/>
          <w:i/>
          <w:iCs/>
          <w:sz w:val="24"/>
          <w:szCs w:val="24"/>
        </w:rPr>
        <w:t xml:space="preserve"> un modèle français de codétermination</w:t>
      </w:r>
      <w:r w:rsidRPr="000915D0">
        <w:rPr>
          <w:rFonts w:ascii="Times New Roman" w:hAnsi="Times New Roman" w:cs="Times New Roman"/>
          <w:sz w:val="24"/>
          <w:szCs w:val="24"/>
        </w:rPr>
        <w:t>. Presses Universitaires d’Aix-Marseille.</w:t>
      </w:r>
    </w:p>
    <w:p w14:paraId="50564412" w14:textId="32FF1F47" w:rsidR="003107B9" w:rsidRPr="000915D0" w:rsidRDefault="003107B9"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Auroux, J. (1981), Les droits des travailleurs</w:t>
      </w:r>
      <w:r w:rsidR="00C84C3E" w:rsidRPr="000915D0">
        <w:rPr>
          <w:rFonts w:ascii="Times New Roman" w:eastAsia="Times New Roman" w:hAnsi="Times New Roman" w:cs="Times New Roman"/>
          <w:sz w:val="24"/>
          <w:szCs w:val="24"/>
        </w:rPr>
        <w:t> :</w:t>
      </w:r>
      <w:r w:rsidRPr="000915D0">
        <w:rPr>
          <w:rFonts w:ascii="Times New Roman" w:eastAsia="Times New Roman" w:hAnsi="Times New Roman" w:cs="Times New Roman"/>
          <w:sz w:val="24"/>
          <w:szCs w:val="24"/>
        </w:rPr>
        <w:t xml:space="preserve"> rapport au Président de la République et au premier Ministre. Documentation Française.</w:t>
      </w:r>
    </w:p>
    <w:p w14:paraId="5FAC7606" w14:textId="172A7069" w:rsidR="00D364D8" w:rsidRPr="000915D0" w:rsidRDefault="00D364D8"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Bacon P.</w:t>
      </w:r>
      <w:r w:rsidR="003107B9" w:rsidRPr="000915D0">
        <w:rPr>
          <w:rFonts w:ascii="Times New Roman" w:eastAsia="Times New Roman" w:hAnsi="Times New Roman" w:cs="Times New Roman"/>
          <w:sz w:val="24"/>
          <w:szCs w:val="24"/>
        </w:rPr>
        <w:t xml:space="preserve"> (</w:t>
      </w:r>
      <w:r w:rsidRPr="000915D0">
        <w:rPr>
          <w:rFonts w:ascii="Times New Roman" w:eastAsia="Times New Roman" w:hAnsi="Times New Roman" w:cs="Times New Roman"/>
          <w:sz w:val="24"/>
          <w:szCs w:val="24"/>
        </w:rPr>
        <w:t>1949</w:t>
      </w:r>
      <w:r w:rsidR="003107B9" w:rsidRPr="000915D0">
        <w:rPr>
          <w:rFonts w:ascii="Times New Roman" w:eastAsia="Times New Roman" w:hAnsi="Times New Roman" w:cs="Times New Roman"/>
          <w:sz w:val="24"/>
          <w:szCs w:val="24"/>
        </w:rPr>
        <w:t>)</w:t>
      </w:r>
      <w:r w:rsidRPr="000915D0">
        <w:rPr>
          <w:rFonts w:ascii="Times New Roman" w:eastAsia="Times New Roman" w:hAnsi="Times New Roman" w:cs="Times New Roman"/>
          <w:sz w:val="24"/>
          <w:szCs w:val="24"/>
        </w:rPr>
        <w:t>, La Réforme de l’entreprise capitaliste, SERP.</w:t>
      </w:r>
    </w:p>
    <w:p w14:paraId="5CDFA42F" w14:textId="6A568D2D" w:rsidR="00924B64" w:rsidRPr="000915D0" w:rsidRDefault="00924B64"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Balligand, J. P., de Foucauld, J. B. (2000), L'Epargne Salariale au cœur du contrat social. La documentation française.</w:t>
      </w:r>
    </w:p>
    <w:p w14:paraId="74124621" w14:textId="6F44ACA7" w:rsidR="00E067FB" w:rsidRPr="000915D0" w:rsidRDefault="00E067FB"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Beffa J-L. et Clerc C.</w:t>
      </w:r>
      <w:r w:rsidR="003107B9" w:rsidRPr="000915D0">
        <w:rPr>
          <w:rFonts w:ascii="Times New Roman" w:eastAsia="Times New Roman" w:hAnsi="Times New Roman" w:cs="Times New Roman"/>
          <w:sz w:val="24"/>
          <w:szCs w:val="24"/>
        </w:rPr>
        <w:t xml:space="preserve"> (</w:t>
      </w:r>
      <w:r w:rsidRPr="000915D0">
        <w:rPr>
          <w:rFonts w:ascii="Times New Roman" w:eastAsia="Times New Roman" w:hAnsi="Times New Roman" w:cs="Times New Roman"/>
          <w:sz w:val="24"/>
          <w:szCs w:val="24"/>
        </w:rPr>
        <w:t>2013</w:t>
      </w:r>
      <w:r w:rsidR="003107B9" w:rsidRPr="000915D0">
        <w:rPr>
          <w:rFonts w:ascii="Times New Roman" w:eastAsia="Times New Roman" w:hAnsi="Times New Roman" w:cs="Times New Roman"/>
          <w:sz w:val="24"/>
          <w:szCs w:val="24"/>
        </w:rPr>
        <w:t>)</w:t>
      </w:r>
      <w:r w:rsidRPr="000915D0">
        <w:rPr>
          <w:rFonts w:ascii="Times New Roman" w:eastAsia="Times New Roman" w:hAnsi="Times New Roman" w:cs="Times New Roman"/>
          <w:sz w:val="24"/>
          <w:szCs w:val="24"/>
        </w:rPr>
        <w:t xml:space="preserve">, Les chances d'une codétermination à la française, Prisme n°26. </w:t>
      </w:r>
    </w:p>
    <w:p w14:paraId="639FE259" w14:textId="54994F1D" w:rsidR="00AE7E84" w:rsidRPr="000915D0" w:rsidRDefault="00AE7E84"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Bevort, A.</w:t>
      </w:r>
      <w:r w:rsidR="00E93362" w:rsidRPr="000915D0">
        <w:rPr>
          <w:rFonts w:ascii="Times New Roman" w:eastAsia="Times New Roman" w:hAnsi="Times New Roman" w:cs="Times New Roman"/>
          <w:sz w:val="24"/>
          <w:szCs w:val="24"/>
        </w:rPr>
        <w:t xml:space="preserve"> (</w:t>
      </w:r>
      <w:r w:rsidRPr="000915D0">
        <w:rPr>
          <w:rFonts w:ascii="Times New Roman" w:eastAsia="Times New Roman" w:hAnsi="Times New Roman" w:cs="Times New Roman"/>
          <w:sz w:val="24"/>
          <w:szCs w:val="24"/>
        </w:rPr>
        <w:t>2013</w:t>
      </w:r>
      <w:r w:rsidR="00E93362" w:rsidRPr="000915D0">
        <w:rPr>
          <w:rFonts w:ascii="Times New Roman" w:eastAsia="Times New Roman" w:hAnsi="Times New Roman" w:cs="Times New Roman"/>
          <w:sz w:val="24"/>
          <w:szCs w:val="24"/>
        </w:rPr>
        <w:t>)</w:t>
      </w:r>
      <w:r w:rsidRPr="000915D0">
        <w:rPr>
          <w:rFonts w:ascii="Times New Roman" w:eastAsia="Times New Roman" w:hAnsi="Times New Roman" w:cs="Times New Roman"/>
          <w:sz w:val="24"/>
          <w:szCs w:val="24"/>
        </w:rPr>
        <w:t xml:space="preserve">, De Taylor au néo-management : quelle participation des </w:t>
      </w:r>
      <w:proofErr w:type="gramStart"/>
      <w:r w:rsidRPr="000915D0">
        <w:rPr>
          <w:rFonts w:ascii="Times New Roman" w:eastAsia="Times New Roman" w:hAnsi="Times New Roman" w:cs="Times New Roman"/>
          <w:sz w:val="24"/>
          <w:szCs w:val="24"/>
        </w:rPr>
        <w:t>salariés ?,</w:t>
      </w:r>
      <w:proofErr w:type="gramEnd"/>
      <w:r w:rsidRPr="000915D0">
        <w:rPr>
          <w:rFonts w:ascii="Times New Roman" w:eastAsia="Times New Roman" w:hAnsi="Times New Roman" w:cs="Times New Roman"/>
          <w:sz w:val="24"/>
          <w:szCs w:val="24"/>
        </w:rPr>
        <w:t xml:space="preserve"> Participations, (1), 33-51.</w:t>
      </w:r>
    </w:p>
    <w:p w14:paraId="546610EA" w14:textId="4D0C97EB" w:rsidR="00D255A1" w:rsidRPr="000915D0" w:rsidRDefault="00E403B9"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Biedenkopf K. (2006),</w:t>
      </w:r>
      <w:r w:rsidR="00025078" w:rsidRPr="000915D0">
        <w:rPr>
          <w:rFonts w:ascii="Times New Roman" w:eastAsia="Times New Roman" w:hAnsi="Times New Roman" w:cs="Times New Roman"/>
          <w:sz w:val="24"/>
          <w:szCs w:val="24"/>
        </w:rPr>
        <w:t xml:space="preserve"> </w:t>
      </w:r>
      <w:r w:rsidR="00025078" w:rsidRPr="000915D0">
        <w:rPr>
          <w:rFonts w:ascii="Times New Roman" w:eastAsia="Times New Roman" w:hAnsi="Times New Roman" w:cs="Times New Roman"/>
          <w:i/>
          <w:iCs/>
          <w:sz w:val="24"/>
          <w:szCs w:val="24"/>
        </w:rPr>
        <w:t xml:space="preserve">Bericht der wissenschaftlichen Mitglieder der Kommission </w:t>
      </w:r>
      <w:r w:rsidR="00C47348" w:rsidRPr="000915D0">
        <w:rPr>
          <w:rFonts w:ascii="Times New Roman" w:eastAsia="Times New Roman" w:hAnsi="Times New Roman" w:cs="Times New Roman"/>
          <w:i/>
          <w:iCs/>
          <w:sz w:val="24"/>
          <w:szCs w:val="24"/>
        </w:rPr>
        <w:t>mit Stellungnahmen der Vertreter der Unternehmen und der Vertreter der Arbeitnehmer</w:t>
      </w:r>
      <w:r w:rsidR="00BA03A7" w:rsidRPr="000915D0">
        <w:rPr>
          <w:rFonts w:ascii="Times New Roman" w:eastAsia="Times New Roman" w:hAnsi="Times New Roman" w:cs="Times New Roman"/>
          <w:sz w:val="24"/>
          <w:szCs w:val="24"/>
        </w:rPr>
        <w:t>,</w:t>
      </w:r>
      <w:r w:rsidR="005215FB" w:rsidRPr="000915D0">
        <w:rPr>
          <w:rFonts w:ascii="Times New Roman" w:eastAsia="Times New Roman" w:hAnsi="Times New Roman" w:cs="Times New Roman"/>
          <w:sz w:val="24"/>
          <w:szCs w:val="24"/>
        </w:rPr>
        <w:t xml:space="preserve"> Kommission zur Modernisierung der </w:t>
      </w:r>
      <w:r w:rsidR="00BE71BB" w:rsidRPr="000915D0">
        <w:rPr>
          <w:rFonts w:ascii="Times New Roman" w:eastAsia="Times New Roman" w:hAnsi="Times New Roman" w:cs="Times New Roman"/>
          <w:sz w:val="24"/>
          <w:szCs w:val="24"/>
        </w:rPr>
        <w:t>deutschen Unternehmensmitbestimmung.</w:t>
      </w:r>
      <w:r w:rsidRPr="000915D0">
        <w:rPr>
          <w:rFonts w:ascii="Times New Roman" w:eastAsia="Times New Roman" w:hAnsi="Times New Roman" w:cs="Times New Roman"/>
          <w:sz w:val="24"/>
          <w:szCs w:val="24"/>
        </w:rPr>
        <w:t xml:space="preserve"> </w:t>
      </w:r>
    </w:p>
    <w:p w14:paraId="187CEAEC" w14:textId="465C0CDB" w:rsidR="004F3C2A" w:rsidRPr="000915D0" w:rsidRDefault="001E248F"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lang w:val="en-US"/>
        </w:rPr>
        <w:t xml:space="preserve">Biedenkopf K. (1970), </w:t>
      </w:r>
      <w:r w:rsidRPr="000915D0">
        <w:rPr>
          <w:rFonts w:ascii="Times New Roman" w:eastAsia="Times New Roman" w:hAnsi="Times New Roman" w:cs="Times New Roman"/>
          <w:i/>
          <w:iCs/>
          <w:sz w:val="24"/>
          <w:szCs w:val="24"/>
          <w:lang w:val="en-US"/>
        </w:rPr>
        <w:t>Mitbestimmung im Unternehmen.</w:t>
      </w:r>
      <w:r w:rsidRPr="000915D0">
        <w:rPr>
          <w:rFonts w:ascii="Times New Roman" w:eastAsia="Times New Roman" w:hAnsi="Times New Roman" w:cs="Times New Roman"/>
          <w:sz w:val="24"/>
          <w:szCs w:val="24"/>
          <w:lang w:val="en-US"/>
        </w:rPr>
        <w:t xml:space="preserve"> Bericht der Sachverständigenkommission zur Auswertung der bisherigen Erfahrungen mit der Mitbestimmung. </w:t>
      </w:r>
      <w:r w:rsidRPr="000915D0">
        <w:rPr>
          <w:rFonts w:ascii="Times New Roman" w:eastAsia="Times New Roman" w:hAnsi="Times New Roman" w:cs="Times New Roman"/>
          <w:sz w:val="24"/>
          <w:szCs w:val="24"/>
        </w:rPr>
        <w:t>BT-Drucksache VI/334, 1970</w:t>
      </w:r>
      <w:r w:rsidR="00FC7D30" w:rsidRPr="000915D0">
        <w:rPr>
          <w:rFonts w:ascii="Times New Roman" w:eastAsia="Times New Roman" w:hAnsi="Times New Roman" w:cs="Times New Roman"/>
          <w:sz w:val="24"/>
          <w:szCs w:val="24"/>
        </w:rPr>
        <w:t>.</w:t>
      </w:r>
    </w:p>
    <w:p w14:paraId="2622DAED" w14:textId="5AF77C1D" w:rsidR="00FD29A0" w:rsidRPr="000915D0" w:rsidRDefault="00FD29A0"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Bloch-Lainé F.</w:t>
      </w:r>
      <w:r w:rsidR="00E93362" w:rsidRPr="000915D0">
        <w:rPr>
          <w:rFonts w:ascii="Times New Roman" w:eastAsia="Times New Roman" w:hAnsi="Times New Roman" w:cs="Times New Roman"/>
          <w:sz w:val="24"/>
          <w:szCs w:val="24"/>
        </w:rPr>
        <w:t xml:space="preserve"> (</w:t>
      </w:r>
      <w:r w:rsidRPr="000915D0">
        <w:rPr>
          <w:rFonts w:ascii="Times New Roman" w:eastAsia="Times New Roman" w:hAnsi="Times New Roman" w:cs="Times New Roman"/>
          <w:sz w:val="24"/>
          <w:szCs w:val="24"/>
        </w:rPr>
        <w:t>1963</w:t>
      </w:r>
      <w:r w:rsidR="00E93362" w:rsidRPr="000915D0">
        <w:rPr>
          <w:rFonts w:ascii="Times New Roman" w:eastAsia="Times New Roman" w:hAnsi="Times New Roman" w:cs="Times New Roman"/>
          <w:sz w:val="24"/>
          <w:szCs w:val="24"/>
        </w:rPr>
        <w:t>)</w:t>
      </w:r>
      <w:r w:rsidRPr="000915D0">
        <w:rPr>
          <w:rFonts w:ascii="Times New Roman" w:eastAsia="Times New Roman" w:hAnsi="Times New Roman" w:cs="Times New Roman"/>
          <w:sz w:val="24"/>
          <w:szCs w:val="24"/>
        </w:rPr>
        <w:t>, Pour une Réforme de l’entreprise, Le Seuil.</w:t>
      </w:r>
    </w:p>
    <w:p w14:paraId="656E1B6D" w14:textId="77777777" w:rsidR="00D80140" w:rsidRPr="000915D0" w:rsidRDefault="00D80140"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Borzeix A., Charles J. et Zimmermann B. (2015). Réinventer le travail par la participation. Actualité nouvelle d’un vieux débat, Sociologie du Travail, vol. 57 - n° 1, 2015.</w:t>
      </w:r>
    </w:p>
    <w:p w14:paraId="428CEE04" w14:textId="43B17DB5" w:rsidR="0002763C" w:rsidRPr="000915D0" w:rsidRDefault="0002763C"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Bourlange P. (2017), « Le président du Comité d’étude pour la Réforme de l’entreprise » in Pierre Sudreau, Claire Andrieu et Michel Margairaz (dir.), Presses Universitaires des Rennes.</w:t>
      </w:r>
    </w:p>
    <w:p w14:paraId="2CBB0E9D" w14:textId="35423EB3" w:rsidR="00B74422" w:rsidRPr="000915D0" w:rsidRDefault="00B74422"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Bourlange P.</w:t>
      </w:r>
      <w:r w:rsidR="0002763C" w:rsidRPr="000915D0">
        <w:rPr>
          <w:rFonts w:ascii="Times New Roman" w:eastAsia="Times New Roman" w:hAnsi="Times New Roman" w:cs="Times New Roman"/>
          <w:sz w:val="24"/>
          <w:szCs w:val="24"/>
        </w:rPr>
        <w:t xml:space="preserve"> (</w:t>
      </w:r>
      <w:r w:rsidRPr="000915D0">
        <w:rPr>
          <w:rFonts w:ascii="Times New Roman" w:eastAsia="Times New Roman" w:hAnsi="Times New Roman" w:cs="Times New Roman"/>
          <w:sz w:val="24"/>
          <w:szCs w:val="24"/>
        </w:rPr>
        <w:t>2019</w:t>
      </w:r>
      <w:r w:rsidR="0002763C" w:rsidRPr="000915D0">
        <w:rPr>
          <w:rFonts w:ascii="Times New Roman" w:eastAsia="Times New Roman" w:hAnsi="Times New Roman" w:cs="Times New Roman"/>
          <w:sz w:val="24"/>
          <w:szCs w:val="24"/>
        </w:rPr>
        <w:t>)</w:t>
      </w:r>
      <w:r w:rsidRPr="000915D0">
        <w:rPr>
          <w:rFonts w:ascii="Times New Roman" w:eastAsia="Times New Roman" w:hAnsi="Times New Roman" w:cs="Times New Roman"/>
          <w:sz w:val="24"/>
          <w:szCs w:val="24"/>
        </w:rPr>
        <w:t>, L’Entreprise ou la réforme impossible, Edilivre.</w:t>
      </w:r>
    </w:p>
    <w:p w14:paraId="1AC89917" w14:textId="03F462CB" w:rsidR="001223DC" w:rsidRPr="000915D0" w:rsidRDefault="001223DC"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 xml:space="preserve">Clerc, C. (2018). La </w:t>
      </w:r>
      <w:proofErr w:type="gramStart"/>
      <w:r w:rsidRPr="000915D0">
        <w:rPr>
          <w:rFonts w:ascii="Times New Roman" w:eastAsia="Times New Roman" w:hAnsi="Times New Roman" w:cs="Times New Roman"/>
          <w:sz w:val="24"/>
          <w:szCs w:val="24"/>
        </w:rPr>
        <w:t>codétermination:</w:t>
      </w:r>
      <w:proofErr w:type="gramEnd"/>
      <w:r w:rsidRPr="000915D0">
        <w:rPr>
          <w:rFonts w:ascii="Times New Roman" w:eastAsia="Times New Roman" w:hAnsi="Times New Roman" w:cs="Times New Roman"/>
          <w:sz w:val="24"/>
          <w:szCs w:val="24"/>
        </w:rPr>
        <w:t xml:space="preserve"> un modèle européen?. Revue d’économie financière, (2), 181-194.</w:t>
      </w:r>
    </w:p>
    <w:p w14:paraId="2B17B9B1" w14:textId="6FD37625" w:rsidR="005C52A1" w:rsidRPr="000915D0" w:rsidRDefault="005C52A1"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Desbuquois G. et Bigo P.</w:t>
      </w:r>
      <w:r w:rsidR="00E93362" w:rsidRPr="000915D0">
        <w:rPr>
          <w:rFonts w:ascii="Times New Roman" w:eastAsia="Times New Roman" w:hAnsi="Times New Roman" w:cs="Times New Roman"/>
          <w:sz w:val="24"/>
          <w:szCs w:val="24"/>
        </w:rPr>
        <w:t xml:space="preserve"> (</w:t>
      </w:r>
      <w:r w:rsidRPr="000915D0">
        <w:rPr>
          <w:rFonts w:ascii="Times New Roman" w:eastAsia="Times New Roman" w:hAnsi="Times New Roman" w:cs="Times New Roman"/>
          <w:sz w:val="24"/>
          <w:szCs w:val="24"/>
        </w:rPr>
        <w:t>1945</w:t>
      </w:r>
      <w:r w:rsidR="00E93362" w:rsidRPr="000915D0">
        <w:rPr>
          <w:rFonts w:ascii="Times New Roman" w:eastAsia="Times New Roman" w:hAnsi="Times New Roman" w:cs="Times New Roman"/>
          <w:sz w:val="24"/>
          <w:szCs w:val="24"/>
        </w:rPr>
        <w:t>)</w:t>
      </w:r>
      <w:r w:rsidRPr="000915D0">
        <w:rPr>
          <w:rFonts w:ascii="Times New Roman" w:eastAsia="Times New Roman" w:hAnsi="Times New Roman" w:cs="Times New Roman"/>
          <w:sz w:val="24"/>
          <w:szCs w:val="24"/>
        </w:rPr>
        <w:t>, Les réformes de l’entreprise et la pensée chrétienne, Paris, Editions Spes.</w:t>
      </w:r>
    </w:p>
    <w:p w14:paraId="1E685531" w14:textId="1026C851" w:rsidR="00E471E8" w:rsidRPr="000915D0" w:rsidRDefault="00E471E8"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Dubois, A. (1960), Confidences d'un patron sur la réforme de l'entreprise, Economie et Humanisme, Paris.</w:t>
      </w:r>
    </w:p>
    <w:p w14:paraId="3ADF965B" w14:textId="09A8DC51" w:rsidR="00E471E8" w:rsidRPr="000915D0" w:rsidRDefault="00E471E8"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Dubreuil, H. (1948), La Réforme de l’entreprise : vers un salaire humain, Paris, Editions OCIA.</w:t>
      </w:r>
    </w:p>
    <w:p w14:paraId="4CA04042" w14:textId="5B3F7679" w:rsidR="003F1352" w:rsidRPr="000915D0" w:rsidRDefault="003F1352"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Caire, G.</w:t>
      </w:r>
      <w:r w:rsidR="00E93362" w:rsidRPr="000915D0">
        <w:rPr>
          <w:rFonts w:ascii="Times New Roman" w:eastAsia="Times New Roman" w:hAnsi="Times New Roman" w:cs="Times New Roman"/>
          <w:sz w:val="24"/>
          <w:szCs w:val="24"/>
        </w:rPr>
        <w:t xml:space="preserve"> (</w:t>
      </w:r>
      <w:r w:rsidRPr="000915D0">
        <w:rPr>
          <w:rFonts w:ascii="Times New Roman" w:eastAsia="Times New Roman" w:hAnsi="Times New Roman" w:cs="Times New Roman"/>
          <w:sz w:val="24"/>
          <w:szCs w:val="24"/>
        </w:rPr>
        <w:t>1984</w:t>
      </w:r>
      <w:r w:rsidR="00E93362" w:rsidRPr="000915D0">
        <w:rPr>
          <w:rFonts w:ascii="Times New Roman" w:eastAsia="Times New Roman" w:hAnsi="Times New Roman" w:cs="Times New Roman"/>
          <w:sz w:val="24"/>
          <w:szCs w:val="24"/>
        </w:rPr>
        <w:t>)</w:t>
      </w:r>
      <w:r w:rsidRPr="000915D0">
        <w:rPr>
          <w:rFonts w:ascii="Times New Roman" w:eastAsia="Times New Roman" w:hAnsi="Times New Roman" w:cs="Times New Roman"/>
          <w:sz w:val="24"/>
          <w:szCs w:val="24"/>
        </w:rPr>
        <w:t>, Les lois Auroux. Relations industrielles/Industrial Relations, 39(2), 235-258.</w:t>
      </w:r>
    </w:p>
    <w:p w14:paraId="395B6007" w14:textId="13471BFD" w:rsidR="005403EE" w:rsidRPr="000915D0" w:rsidRDefault="005403EE"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Chapas B., Hollandts X.</w:t>
      </w:r>
      <w:r w:rsidR="00E93362" w:rsidRPr="000915D0">
        <w:rPr>
          <w:rFonts w:ascii="Times New Roman" w:eastAsia="Times New Roman" w:hAnsi="Times New Roman" w:cs="Times New Roman"/>
          <w:sz w:val="24"/>
          <w:szCs w:val="24"/>
        </w:rPr>
        <w:t xml:space="preserve"> (</w:t>
      </w:r>
      <w:r w:rsidRPr="000915D0">
        <w:rPr>
          <w:rFonts w:ascii="Times New Roman" w:eastAsia="Times New Roman" w:hAnsi="Times New Roman" w:cs="Times New Roman"/>
          <w:sz w:val="24"/>
          <w:szCs w:val="24"/>
        </w:rPr>
        <w:t>2017</w:t>
      </w:r>
      <w:r w:rsidR="00E93362" w:rsidRPr="000915D0">
        <w:rPr>
          <w:rFonts w:ascii="Times New Roman" w:eastAsia="Times New Roman" w:hAnsi="Times New Roman" w:cs="Times New Roman"/>
          <w:sz w:val="24"/>
          <w:szCs w:val="24"/>
        </w:rPr>
        <w:t>)</w:t>
      </w:r>
      <w:r w:rsidRPr="000915D0">
        <w:rPr>
          <w:rFonts w:ascii="Times New Roman" w:eastAsia="Times New Roman" w:hAnsi="Times New Roman" w:cs="Times New Roman"/>
          <w:sz w:val="24"/>
          <w:szCs w:val="24"/>
        </w:rPr>
        <w:t>, La participation dans le monde du travail : une perspective d’autogouvernement, Gérer et Comprendre, n°129, pp 59-68</w:t>
      </w:r>
    </w:p>
    <w:p w14:paraId="4522CD7E" w14:textId="77777777" w:rsidR="00085B48" w:rsidRPr="000915D0" w:rsidRDefault="00085B48" w:rsidP="005A2601">
      <w:pPr>
        <w:spacing w:after="120" w:line="240" w:lineRule="auto"/>
        <w:ind w:left="284" w:hanging="284"/>
        <w:jc w:val="both"/>
        <w:rPr>
          <w:rFonts w:ascii="Times New Roman" w:hAnsi="Times New Roman" w:cs="Times New Roman"/>
          <w:sz w:val="24"/>
          <w:szCs w:val="24"/>
        </w:rPr>
      </w:pPr>
      <w:r w:rsidRPr="000915D0">
        <w:rPr>
          <w:rFonts w:ascii="Times New Roman" w:hAnsi="Times New Roman" w:cs="Times New Roman"/>
          <w:sz w:val="24"/>
          <w:szCs w:val="24"/>
        </w:rPr>
        <w:t xml:space="preserve">Charreaux, G. (2006). « Les théories de la </w:t>
      </w:r>
      <w:proofErr w:type="gramStart"/>
      <w:r w:rsidRPr="000915D0">
        <w:rPr>
          <w:rFonts w:ascii="Times New Roman" w:hAnsi="Times New Roman" w:cs="Times New Roman"/>
          <w:sz w:val="24"/>
          <w:szCs w:val="24"/>
        </w:rPr>
        <w:t>gouvernance:</w:t>
      </w:r>
      <w:proofErr w:type="gramEnd"/>
      <w:r w:rsidRPr="000915D0">
        <w:rPr>
          <w:rFonts w:ascii="Times New Roman" w:hAnsi="Times New Roman" w:cs="Times New Roman"/>
          <w:sz w:val="24"/>
          <w:szCs w:val="24"/>
        </w:rPr>
        <w:t xml:space="preserve"> de la gouvernance des entreprises à la gouvernance des systèmes nationaux ». </w:t>
      </w:r>
      <w:proofErr w:type="gramStart"/>
      <w:r w:rsidRPr="000915D0">
        <w:rPr>
          <w:rFonts w:ascii="Times New Roman" w:hAnsi="Times New Roman" w:cs="Times New Roman"/>
          <w:sz w:val="24"/>
          <w:szCs w:val="24"/>
        </w:rPr>
        <w:t>in</w:t>
      </w:r>
      <w:proofErr w:type="gramEnd"/>
      <w:r w:rsidRPr="000915D0">
        <w:rPr>
          <w:rFonts w:ascii="Times New Roman" w:hAnsi="Times New Roman" w:cs="Times New Roman"/>
          <w:sz w:val="24"/>
          <w:szCs w:val="24"/>
        </w:rPr>
        <w:t xml:space="preserve"> Charreaux, G. et Wirtz, P. Gouvernance des entreprises : nouvelles perspectives. Economica. Paris, p. 297-356.</w:t>
      </w:r>
    </w:p>
    <w:p w14:paraId="06453E14" w14:textId="3DB5ECB5" w:rsidR="003C13DC" w:rsidRPr="000915D0" w:rsidRDefault="003C13DC"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lastRenderedPageBreak/>
        <w:t>Cornut-Gentille, M. F., &amp; Godfrain, J.</w:t>
      </w:r>
      <w:r w:rsidR="00E93362" w:rsidRPr="000915D0">
        <w:rPr>
          <w:rFonts w:ascii="Times New Roman" w:eastAsia="Times New Roman" w:hAnsi="Times New Roman" w:cs="Times New Roman"/>
          <w:sz w:val="24"/>
          <w:szCs w:val="24"/>
        </w:rPr>
        <w:t xml:space="preserve"> (</w:t>
      </w:r>
      <w:r w:rsidRPr="000915D0">
        <w:rPr>
          <w:rFonts w:ascii="Times New Roman" w:eastAsia="Times New Roman" w:hAnsi="Times New Roman" w:cs="Times New Roman"/>
          <w:sz w:val="24"/>
          <w:szCs w:val="24"/>
        </w:rPr>
        <w:t>2005</w:t>
      </w:r>
      <w:r w:rsidR="00E93362" w:rsidRPr="000915D0">
        <w:rPr>
          <w:rFonts w:ascii="Times New Roman" w:eastAsia="Times New Roman" w:hAnsi="Times New Roman" w:cs="Times New Roman"/>
          <w:sz w:val="24"/>
          <w:szCs w:val="24"/>
        </w:rPr>
        <w:t>)</w:t>
      </w:r>
      <w:r w:rsidRPr="000915D0">
        <w:rPr>
          <w:rFonts w:ascii="Times New Roman" w:eastAsia="Times New Roman" w:hAnsi="Times New Roman" w:cs="Times New Roman"/>
          <w:sz w:val="24"/>
          <w:szCs w:val="24"/>
        </w:rPr>
        <w:t xml:space="preserve">, Une </w:t>
      </w:r>
      <w:proofErr w:type="gramStart"/>
      <w:r w:rsidRPr="000915D0">
        <w:rPr>
          <w:rFonts w:ascii="Times New Roman" w:eastAsia="Times New Roman" w:hAnsi="Times New Roman" w:cs="Times New Roman"/>
          <w:sz w:val="24"/>
          <w:szCs w:val="24"/>
        </w:rPr>
        <w:t>ambition:</w:t>
      </w:r>
      <w:proofErr w:type="gramEnd"/>
      <w:r w:rsidRPr="000915D0">
        <w:rPr>
          <w:rFonts w:ascii="Times New Roman" w:eastAsia="Times New Roman" w:hAnsi="Times New Roman" w:cs="Times New Roman"/>
          <w:sz w:val="24"/>
          <w:szCs w:val="24"/>
        </w:rPr>
        <w:t xml:space="preserve"> la participation pour tous. Rapport au Premier ministre de la mission parlementaire confiée à MM François Cornut-Gentille et Jacques Godfrain. Paris.</w:t>
      </w:r>
    </w:p>
    <w:p w14:paraId="63322866" w14:textId="2441A1FC" w:rsidR="00085B48" w:rsidRPr="000915D0" w:rsidRDefault="00085B48" w:rsidP="005A2601">
      <w:pPr>
        <w:spacing w:after="120" w:line="240" w:lineRule="auto"/>
        <w:ind w:left="284" w:hanging="284"/>
        <w:jc w:val="both"/>
        <w:rPr>
          <w:rFonts w:ascii="Times New Roman" w:hAnsi="Times New Roman" w:cs="Times New Roman"/>
          <w:sz w:val="24"/>
          <w:szCs w:val="24"/>
        </w:rPr>
      </w:pPr>
      <w:r w:rsidRPr="000915D0">
        <w:rPr>
          <w:rFonts w:ascii="Times New Roman" w:hAnsi="Times New Roman" w:cs="Times New Roman"/>
          <w:sz w:val="24"/>
          <w:szCs w:val="24"/>
        </w:rPr>
        <w:t>Davis, G. F., &amp; Thompson, T. A. (1994). A social movement perspective on corporate control. </w:t>
      </w:r>
      <w:r w:rsidRPr="000915D0">
        <w:rPr>
          <w:rFonts w:ascii="Times New Roman" w:hAnsi="Times New Roman" w:cs="Times New Roman"/>
          <w:i/>
          <w:iCs/>
          <w:sz w:val="24"/>
          <w:szCs w:val="24"/>
        </w:rPr>
        <w:t>Administrative science quarterly</w:t>
      </w:r>
      <w:r w:rsidRPr="000915D0">
        <w:rPr>
          <w:rFonts w:ascii="Times New Roman" w:hAnsi="Times New Roman" w:cs="Times New Roman"/>
          <w:sz w:val="24"/>
          <w:szCs w:val="24"/>
        </w:rPr>
        <w:t>, 141-173.</w:t>
      </w:r>
    </w:p>
    <w:p w14:paraId="7E276EE3" w14:textId="77777777" w:rsidR="0032361D" w:rsidRPr="000915D0" w:rsidRDefault="0032361D" w:rsidP="0032361D">
      <w:pPr>
        <w:spacing w:after="120" w:line="240" w:lineRule="auto"/>
        <w:ind w:left="284" w:hanging="284"/>
        <w:jc w:val="both"/>
        <w:rPr>
          <w:rFonts w:ascii="Times New Roman" w:hAnsi="Times New Roman" w:cs="Times New Roman"/>
          <w:sz w:val="24"/>
          <w:szCs w:val="24"/>
          <w:lang w:val="de-DE"/>
        </w:rPr>
      </w:pPr>
      <w:r w:rsidRPr="000915D0">
        <w:rPr>
          <w:rFonts w:ascii="Times New Roman" w:hAnsi="Times New Roman" w:cs="Times New Roman"/>
          <w:sz w:val="24"/>
          <w:szCs w:val="24"/>
          <w:lang w:val="de-DE"/>
        </w:rPr>
        <w:t xml:space="preserve">Deus F. (1950), « Die neue deutsche Gewerkschaftsbewegung und die christliche (katholische) Gesellschaftslehre », </w:t>
      </w:r>
      <w:r w:rsidRPr="000915D0">
        <w:rPr>
          <w:rFonts w:ascii="Times New Roman" w:hAnsi="Times New Roman" w:cs="Times New Roman"/>
          <w:i/>
          <w:iCs/>
          <w:sz w:val="24"/>
          <w:szCs w:val="24"/>
          <w:lang w:val="de-DE"/>
        </w:rPr>
        <w:t>Gewerkschaftliche Monatshefte</w:t>
      </w:r>
      <w:r w:rsidRPr="000915D0">
        <w:rPr>
          <w:rFonts w:ascii="Times New Roman" w:hAnsi="Times New Roman" w:cs="Times New Roman"/>
          <w:sz w:val="24"/>
          <w:szCs w:val="24"/>
          <w:lang w:val="de-DE"/>
        </w:rPr>
        <w:t>, 1/1950, p. 13-16.</w:t>
      </w:r>
    </w:p>
    <w:p w14:paraId="45E7A935" w14:textId="790A0FAF" w:rsidR="0032361D" w:rsidRPr="000915D0" w:rsidRDefault="0032361D" w:rsidP="0032361D">
      <w:pPr>
        <w:spacing w:after="120" w:line="240" w:lineRule="auto"/>
        <w:ind w:left="284" w:hanging="284"/>
        <w:jc w:val="both"/>
        <w:rPr>
          <w:rFonts w:ascii="Times New Roman" w:hAnsi="Times New Roman" w:cs="Times New Roman"/>
          <w:sz w:val="24"/>
          <w:szCs w:val="24"/>
          <w:lang w:val="de-DE"/>
        </w:rPr>
      </w:pPr>
      <w:r w:rsidRPr="000915D0">
        <w:rPr>
          <w:rFonts w:ascii="Times New Roman" w:hAnsi="Times New Roman" w:cs="Times New Roman"/>
          <w:sz w:val="24"/>
          <w:szCs w:val="24"/>
          <w:lang w:val="de-DE"/>
        </w:rPr>
        <w:t xml:space="preserve">Deus F. (1950), « Die Bochumer Beschlüsse », </w:t>
      </w:r>
      <w:r w:rsidRPr="000915D0">
        <w:rPr>
          <w:rFonts w:ascii="Times New Roman" w:hAnsi="Times New Roman" w:cs="Times New Roman"/>
          <w:i/>
          <w:iCs/>
          <w:sz w:val="24"/>
          <w:szCs w:val="24"/>
          <w:lang w:val="de-DE"/>
        </w:rPr>
        <w:t>Gewerkschaftliche Monatshefte</w:t>
      </w:r>
      <w:r w:rsidRPr="000915D0">
        <w:rPr>
          <w:rFonts w:ascii="Times New Roman" w:hAnsi="Times New Roman" w:cs="Times New Roman"/>
          <w:sz w:val="24"/>
          <w:szCs w:val="24"/>
          <w:lang w:val="de-DE"/>
        </w:rPr>
        <w:t>, 3/1950, p. 121-124.</w:t>
      </w:r>
    </w:p>
    <w:p w14:paraId="6E87C97F" w14:textId="77777777" w:rsidR="0086455C" w:rsidRPr="000915D0" w:rsidRDefault="0086455C" w:rsidP="005A2601">
      <w:pPr>
        <w:spacing w:after="120" w:line="240" w:lineRule="auto"/>
        <w:ind w:left="284" w:hanging="284"/>
        <w:jc w:val="both"/>
        <w:rPr>
          <w:rFonts w:ascii="Times New Roman" w:hAnsi="Times New Roman" w:cs="Times New Roman"/>
          <w:sz w:val="24"/>
          <w:szCs w:val="24"/>
        </w:rPr>
      </w:pPr>
      <w:r w:rsidRPr="000915D0">
        <w:rPr>
          <w:rFonts w:ascii="Times New Roman" w:hAnsi="Times New Roman" w:cs="Times New Roman"/>
          <w:sz w:val="24"/>
          <w:szCs w:val="24"/>
        </w:rPr>
        <w:t>Favereau, O., 2014, Entreprises : la grande déformation, Parole et Silence</w:t>
      </w:r>
    </w:p>
    <w:p w14:paraId="04F0081B" w14:textId="7F6205DC" w:rsidR="0086455C" w:rsidRPr="000915D0" w:rsidRDefault="0086455C" w:rsidP="005A2601">
      <w:pPr>
        <w:spacing w:after="120" w:line="240" w:lineRule="auto"/>
        <w:ind w:left="284" w:hanging="284"/>
        <w:jc w:val="both"/>
        <w:rPr>
          <w:rFonts w:ascii="Times New Roman" w:hAnsi="Times New Roman" w:cs="Times New Roman"/>
          <w:sz w:val="24"/>
          <w:szCs w:val="24"/>
        </w:rPr>
      </w:pPr>
      <w:r w:rsidRPr="000915D0">
        <w:rPr>
          <w:rFonts w:ascii="Times New Roman" w:hAnsi="Times New Roman" w:cs="Times New Roman"/>
          <w:sz w:val="24"/>
          <w:szCs w:val="24"/>
        </w:rPr>
        <w:t>Favereau, O., 2016, Penser le travail pour penser l’entreprise, Presses des Mines</w:t>
      </w:r>
    </w:p>
    <w:p w14:paraId="1644B1CA" w14:textId="77777777" w:rsidR="00085B48" w:rsidRPr="000915D0" w:rsidRDefault="00085B48" w:rsidP="005A2601">
      <w:pPr>
        <w:spacing w:after="120" w:line="240" w:lineRule="auto"/>
        <w:ind w:left="284" w:hanging="284"/>
        <w:jc w:val="both"/>
        <w:rPr>
          <w:rFonts w:ascii="Times New Roman" w:hAnsi="Times New Roman" w:cs="Times New Roman"/>
          <w:sz w:val="24"/>
          <w:szCs w:val="24"/>
        </w:rPr>
      </w:pPr>
      <w:r w:rsidRPr="000915D0">
        <w:rPr>
          <w:rFonts w:ascii="Times New Roman" w:hAnsi="Times New Roman" w:cs="Times New Roman"/>
          <w:sz w:val="24"/>
          <w:szCs w:val="24"/>
          <w:lang w:val="en-US"/>
        </w:rPr>
        <w:t>Filatotchev, I., Jackson, G., &amp; Nakajima, C. (2013). Corporate governance and national institutions: A review and emerging research agenda. </w:t>
      </w:r>
      <w:r w:rsidRPr="000915D0">
        <w:rPr>
          <w:rFonts w:ascii="Times New Roman" w:hAnsi="Times New Roman" w:cs="Times New Roman"/>
          <w:i/>
          <w:iCs/>
          <w:sz w:val="24"/>
          <w:szCs w:val="24"/>
        </w:rPr>
        <w:t>Asia Pacific Journal of Management</w:t>
      </w:r>
      <w:r w:rsidRPr="000915D0">
        <w:rPr>
          <w:rFonts w:ascii="Times New Roman" w:hAnsi="Times New Roman" w:cs="Times New Roman"/>
          <w:sz w:val="24"/>
          <w:szCs w:val="24"/>
        </w:rPr>
        <w:t>, </w:t>
      </w:r>
      <w:r w:rsidRPr="000915D0">
        <w:rPr>
          <w:rFonts w:ascii="Times New Roman" w:hAnsi="Times New Roman" w:cs="Times New Roman"/>
          <w:i/>
          <w:iCs/>
          <w:sz w:val="24"/>
          <w:szCs w:val="24"/>
        </w:rPr>
        <w:t>30</w:t>
      </w:r>
      <w:r w:rsidRPr="000915D0">
        <w:rPr>
          <w:rFonts w:ascii="Times New Roman" w:hAnsi="Times New Roman" w:cs="Times New Roman"/>
          <w:sz w:val="24"/>
          <w:szCs w:val="24"/>
        </w:rPr>
        <w:t>(4), 965-986.</w:t>
      </w:r>
    </w:p>
    <w:p w14:paraId="5FCA9550" w14:textId="24B25AF8" w:rsidR="00D3595F" w:rsidRPr="000915D0" w:rsidRDefault="00D3595F"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 xml:space="preserve">Frerot A. et Hurstel D., </w:t>
      </w:r>
      <w:r w:rsidR="00E93362" w:rsidRPr="000915D0">
        <w:rPr>
          <w:rFonts w:ascii="Times New Roman" w:eastAsia="Times New Roman" w:hAnsi="Times New Roman" w:cs="Times New Roman"/>
          <w:sz w:val="24"/>
          <w:szCs w:val="24"/>
        </w:rPr>
        <w:t>(</w:t>
      </w:r>
      <w:r w:rsidRPr="000915D0">
        <w:rPr>
          <w:rFonts w:ascii="Times New Roman" w:eastAsia="Times New Roman" w:hAnsi="Times New Roman" w:cs="Times New Roman"/>
          <w:sz w:val="24"/>
          <w:szCs w:val="24"/>
        </w:rPr>
        <w:t>2018</w:t>
      </w:r>
      <w:r w:rsidR="00E93362" w:rsidRPr="000915D0">
        <w:rPr>
          <w:rFonts w:ascii="Times New Roman" w:eastAsia="Times New Roman" w:hAnsi="Times New Roman" w:cs="Times New Roman"/>
          <w:sz w:val="24"/>
          <w:szCs w:val="24"/>
        </w:rPr>
        <w:t>)</w:t>
      </w:r>
      <w:r w:rsidRPr="000915D0">
        <w:rPr>
          <w:rFonts w:ascii="Times New Roman" w:eastAsia="Times New Roman" w:hAnsi="Times New Roman" w:cs="Times New Roman"/>
          <w:sz w:val="24"/>
          <w:szCs w:val="24"/>
        </w:rPr>
        <w:t>, Le rôle sociétal de l’entreprise. Eléments de réflexion pour une réforme, Le Club des Juristes.</w:t>
      </w:r>
    </w:p>
    <w:p w14:paraId="18DFC084" w14:textId="1C1C913D" w:rsidR="002D15CF" w:rsidRPr="000915D0" w:rsidRDefault="002D15CF"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Gallois, L.</w:t>
      </w:r>
      <w:r w:rsidR="00E93362" w:rsidRPr="000915D0">
        <w:rPr>
          <w:rFonts w:ascii="Times New Roman" w:eastAsia="Times New Roman" w:hAnsi="Times New Roman" w:cs="Times New Roman"/>
          <w:sz w:val="24"/>
          <w:szCs w:val="24"/>
        </w:rPr>
        <w:t xml:space="preserve"> (</w:t>
      </w:r>
      <w:r w:rsidRPr="000915D0">
        <w:rPr>
          <w:rFonts w:ascii="Times New Roman" w:eastAsia="Times New Roman" w:hAnsi="Times New Roman" w:cs="Times New Roman"/>
          <w:sz w:val="24"/>
          <w:szCs w:val="24"/>
        </w:rPr>
        <w:t>2012</w:t>
      </w:r>
      <w:r w:rsidR="00E93362" w:rsidRPr="000915D0">
        <w:rPr>
          <w:rFonts w:ascii="Times New Roman" w:eastAsia="Times New Roman" w:hAnsi="Times New Roman" w:cs="Times New Roman"/>
          <w:sz w:val="24"/>
          <w:szCs w:val="24"/>
        </w:rPr>
        <w:t>)</w:t>
      </w:r>
      <w:r w:rsidRPr="000915D0">
        <w:rPr>
          <w:rFonts w:ascii="Times New Roman" w:eastAsia="Times New Roman" w:hAnsi="Times New Roman" w:cs="Times New Roman"/>
          <w:sz w:val="24"/>
          <w:szCs w:val="24"/>
        </w:rPr>
        <w:t xml:space="preserve">, Pacte pour la compétitivité de l'industrie </w:t>
      </w:r>
      <w:proofErr w:type="gramStart"/>
      <w:r w:rsidRPr="000915D0">
        <w:rPr>
          <w:rFonts w:ascii="Times New Roman" w:eastAsia="Times New Roman" w:hAnsi="Times New Roman" w:cs="Times New Roman"/>
          <w:sz w:val="24"/>
          <w:szCs w:val="24"/>
        </w:rPr>
        <w:t>française:</w:t>
      </w:r>
      <w:proofErr w:type="gramEnd"/>
      <w:r w:rsidRPr="000915D0">
        <w:rPr>
          <w:rFonts w:ascii="Times New Roman" w:eastAsia="Times New Roman" w:hAnsi="Times New Roman" w:cs="Times New Roman"/>
          <w:sz w:val="24"/>
          <w:szCs w:val="24"/>
        </w:rPr>
        <w:t xml:space="preserve"> rapport au Premier ministre, 5 novembre 2012. Documentation française. </w:t>
      </w:r>
    </w:p>
    <w:p w14:paraId="2812D119" w14:textId="638E7A33" w:rsidR="00F802D5" w:rsidRPr="000915D0" w:rsidRDefault="00F802D5"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Ghirardello, A., Seignour, A., &amp; Vercher-Chaptal, C. (2018, March). Les performances de la Codétermination. In Colloque du Collège des Bernardins" Gouvernement de l’entreprise, création de commun".</w:t>
      </w:r>
    </w:p>
    <w:p w14:paraId="646558F7" w14:textId="41EFE6BB" w:rsidR="00085B48" w:rsidRPr="000915D0" w:rsidRDefault="00085B48" w:rsidP="005A2601">
      <w:pPr>
        <w:spacing w:after="120" w:line="240" w:lineRule="auto"/>
        <w:ind w:left="284" w:hanging="284"/>
        <w:jc w:val="both"/>
        <w:rPr>
          <w:rFonts w:ascii="Times New Roman" w:hAnsi="Times New Roman" w:cs="Times New Roman"/>
          <w:sz w:val="24"/>
          <w:szCs w:val="24"/>
        </w:rPr>
      </w:pPr>
      <w:r w:rsidRPr="000915D0">
        <w:rPr>
          <w:rFonts w:ascii="Times New Roman" w:hAnsi="Times New Roman" w:cs="Times New Roman"/>
          <w:sz w:val="24"/>
          <w:szCs w:val="24"/>
        </w:rPr>
        <w:t>Gomez, P. Y. (2003). Jalons pour une histoire des théories du gouvernement des entreprises. </w:t>
      </w:r>
      <w:r w:rsidRPr="000915D0">
        <w:rPr>
          <w:rFonts w:ascii="Times New Roman" w:hAnsi="Times New Roman" w:cs="Times New Roman"/>
          <w:i/>
          <w:iCs/>
          <w:sz w:val="24"/>
          <w:szCs w:val="24"/>
        </w:rPr>
        <w:t>Finance Contrôle Stratégie</w:t>
      </w:r>
      <w:r w:rsidRPr="000915D0">
        <w:rPr>
          <w:rFonts w:ascii="Times New Roman" w:hAnsi="Times New Roman" w:cs="Times New Roman"/>
          <w:sz w:val="24"/>
          <w:szCs w:val="24"/>
        </w:rPr>
        <w:t>, </w:t>
      </w:r>
      <w:r w:rsidRPr="000915D0">
        <w:rPr>
          <w:rFonts w:ascii="Times New Roman" w:hAnsi="Times New Roman" w:cs="Times New Roman"/>
          <w:i/>
          <w:iCs/>
          <w:sz w:val="24"/>
          <w:szCs w:val="24"/>
        </w:rPr>
        <w:t>6</w:t>
      </w:r>
      <w:r w:rsidRPr="000915D0">
        <w:rPr>
          <w:rFonts w:ascii="Times New Roman" w:hAnsi="Times New Roman" w:cs="Times New Roman"/>
          <w:sz w:val="24"/>
          <w:szCs w:val="24"/>
        </w:rPr>
        <w:t>(4), 183-208.</w:t>
      </w:r>
    </w:p>
    <w:p w14:paraId="0F813B1E" w14:textId="3D70E3C8" w:rsidR="00C628D3" w:rsidRPr="000915D0" w:rsidRDefault="00C628D3" w:rsidP="005A2601">
      <w:pPr>
        <w:spacing w:after="120" w:line="240" w:lineRule="auto"/>
        <w:ind w:left="284" w:hanging="284"/>
        <w:jc w:val="both"/>
        <w:rPr>
          <w:rFonts w:ascii="Times New Roman" w:hAnsi="Times New Roman" w:cs="Times New Roman"/>
          <w:sz w:val="24"/>
          <w:szCs w:val="24"/>
          <w:lang w:val="en-US"/>
        </w:rPr>
      </w:pPr>
      <w:r w:rsidRPr="000F436E">
        <w:rPr>
          <w:rFonts w:ascii="Times New Roman" w:hAnsi="Times New Roman" w:cs="Times New Roman"/>
          <w:sz w:val="24"/>
          <w:szCs w:val="24"/>
          <w:lang w:val="it-IT"/>
        </w:rPr>
        <w:t xml:space="preserve">GOMEZ, P. Y., &amp; WIRTZ, P. (2008). </w:t>
      </w:r>
      <w:r w:rsidRPr="000915D0">
        <w:rPr>
          <w:rFonts w:ascii="Times New Roman" w:hAnsi="Times New Roman" w:cs="Times New Roman"/>
          <w:sz w:val="24"/>
          <w:szCs w:val="24"/>
        </w:rPr>
        <w:t>Institutionnalisation des régimes de gouvernance et rôle des institutions-</w:t>
      </w:r>
      <w:proofErr w:type="gramStart"/>
      <w:r w:rsidRPr="000915D0">
        <w:rPr>
          <w:rFonts w:ascii="Times New Roman" w:hAnsi="Times New Roman" w:cs="Times New Roman"/>
          <w:sz w:val="24"/>
          <w:szCs w:val="24"/>
        </w:rPr>
        <w:t>socles:</w:t>
      </w:r>
      <w:proofErr w:type="gramEnd"/>
      <w:r w:rsidRPr="000915D0">
        <w:rPr>
          <w:rFonts w:ascii="Times New Roman" w:hAnsi="Times New Roman" w:cs="Times New Roman"/>
          <w:sz w:val="24"/>
          <w:szCs w:val="24"/>
        </w:rPr>
        <w:t xml:space="preserve"> le cas de la cogestion allemande. </w:t>
      </w:r>
      <w:r w:rsidRPr="000915D0">
        <w:rPr>
          <w:rFonts w:ascii="Times New Roman" w:hAnsi="Times New Roman" w:cs="Times New Roman"/>
          <w:sz w:val="24"/>
          <w:szCs w:val="24"/>
          <w:lang w:val="en-US"/>
        </w:rPr>
        <w:t>Economies et sociétés (Paris), 42(10), 1869-1900.</w:t>
      </w:r>
    </w:p>
    <w:p w14:paraId="1F12D99E" w14:textId="77777777" w:rsidR="00085B48" w:rsidRPr="000915D0" w:rsidRDefault="00085B48" w:rsidP="005A2601">
      <w:pPr>
        <w:spacing w:after="120" w:line="240" w:lineRule="auto"/>
        <w:ind w:left="284" w:hanging="284"/>
        <w:jc w:val="both"/>
        <w:rPr>
          <w:rFonts w:ascii="Times New Roman" w:hAnsi="Times New Roman" w:cs="Times New Roman"/>
          <w:sz w:val="24"/>
          <w:szCs w:val="24"/>
          <w:lang w:val="en-US"/>
        </w:rPr>
      </w:pPr>
      <w:r w:rsidRPr="000915D0">
        <w:rPr>
          <w:rFonts w:ascii="Times New Roman" w:hAnsi="Times New Roman" w:cs="Times New Roman"/>
          <w:sz w:val="24"/>
          <w:szCs w:val="24"/>
          <w:lang w:val="en-US"/>
        </w:rPr>
        <w:t>Gomez, P. Y., &amp; Wirtz, P. (2018). Successfully mobilizing for employee board representation: Lessons to be learned from post-war Germany. </w:t>
      </w:r>
      <w:r w:rsidRPr="000915D0">
        <w:rPr>
          <w:rFonts w:ascii="Times New Roman" w:hAnsi="Times New Roman" w:cs="Times New Roman"/>
          <w:i/>
          <w:iCs/>
          <w:sz w:val="24"/>
          <w:szCs w:val="24"/>
          <w:lang w:val="en-US"/>
        </w:rPr>
        <w:t>Journal of Management History</w:t>
      </w:r>
      <w:r w:rsidRPr="000915D0">
        <w:rPr>
          <w:rFonts w:ascii="Times New Roman" w:hAnsi="Times New Roman" w:cs="Times New Roman"/>
          <w:sz w:val="24"/>
          <w:szCs w:val="24"/>
          <w:lang w:val="en-US"/>
        </w:rPr>
        <w:t>.</w:t>
      </w:r>
    </w:p>
    <w:p w14:paraId="5D69EDDB" w14:textId="2B94FA17" w:rsidR="00A803CD" w:rsidRPr="000915D0" w:rsidRDefault="00A803CD" w:rsidP="00A803CD">
      <w:pPr>
        <w:spacing w:after="120" w:line="240" w:lineRule="auto"/>
        <w:ind w:left="284" w:hanging="284"/>
        <w:jc w:val="both"/>
        <w:rPr>
          <w:rFonts w:ascii="Times New Roman" w:hAnsi="Times New Roman" w:cs="Times New Roman"/>
          <w:sz w:val="24"/>
          <w:szCs w:val="24"/>
          <w:lang w:val="de-DE"/>
        </w:rPr>
      </w:pPr>
      <w:r w:rsidRPr="000915D0">
        <w:rPr>
          <w:rFonts w:ascii="Times New Roman" w:hAnsi="Times New Roman" w:cs="Times New Roman"/>
          <w:sz w:val="24"/>
          <w:szCs w:val="24"/>
          <w:lang w:val="de-DE"/>
        </w:rPr>
        <w:t xml:space="preserve">Hengsbach F., Möhring-Hesse M., Schroeder W. (1990), </w:t>
      </w:r>
      <w:r w:rsidRPr="000915D0">
        <w:rPr>
          <w:rFonts w:ascii="Times New Roman" w:hAnsi="Times New Roman" w:cs="Times New Roman"/>
          <w:i/>
          <w:iCs/>
          <w:sz w:val="24"/>
          <w:szCs w:val="24"/>
          <w:lang w:val="de-DE"/>
        </w:rPr>
        <w:t xml:space="preserve">Ein unbekannter Bekannter: Eine Auseinandersetzung mit dem Werk von Oswald von Nell-Breuning SJ, </w:t>
      </w:r>
      <w:r w:rsidRPr="000915D0">
        <w:rPr>
          <w:rFonts w:ascii="Times New Roman" w:hAnsi="Times New Roman" w:cs="Times New Roman"/>
          <w:sz w:val="24"/>
          <w:szCs w:val="24"/>
          <w:lang w:val="de-DE"/>
        </w:rPr>
        <w:t>Ketteler Verlag.</w:t>
      </w:r>
    </w:p>
    <w:p w14:paraId="485C61AC" w14:textId="77777777" w:rsidR="00DA43B9" w:rsidRPr="000915D0" w:rsidRDefault="00DA43B9" w:rsidP="00DA43B9">
      <w:pPr>
        <w:spacing w:after="120" w:line="240" w:lineRule="auto"/>
        <w:ind w:left="284" w:hanging="284"/>
        <w:jc w:val="both"/>
        <w:rPr>
          <w:rFonts w:ascii="Times New Roman" w:hAnsi="Times New Roman" w:cs="Times New Roman"/>
          <w:i/>
          <w:iCs/>
          <w:sz w:val="24"/>
          <w:szCs w:val="24"/>
          <w:lang w:val="de-DE"/>
        </w:rPr>
      </w:pPr>
      <w:r w:rsidRPr="000915D0">
        <w:rPr>
          <w:rFonts w:ascii="Times New Roman" w:hAnsi="Times New Roman" w:cs="Times New Roman"/>
          <w:sz w:val="24"/>
          <w:szCs w:val="24"/>
          <w:lang w:val="de-DE"/>
        </w:rPr>
        <w:t xml:space="preserve">Krämer W. (2000), « Mitbestimmung im Betrieb, auch in wirtschaftlichen </w:t>
      </w:r>
      <w:proofErr w:type="gramStart"/>
      <w:r w:rsidRPr="000915D0">
        <w:rPr>
          <w:rFonts w:ascii="Times New Roman" w:hAnsi="Times New Roman" w:cs="Times New Roman"/>
          <w:sz w:val="24"/>
          <w:szCs w:val="24"/>
          <w:lang w:val="de-DE"/>
        </w:rPr>
        <w:t>Fragen :</w:t>
      </w:r>
      <w:proofErr w:type="gramEnd"/>
      <w:r w:rsidRPr="000915D0">
        <w:rPr>
          <w:rFonts w:ascii="Times New Roman" w:hAnsi="Times New Roman" w:cs="Times New Roman"/>
          <w:sz w:val="24"/>
          <w:szCs w:val="24"/>
          <w:lang w:val="de-DE"/>
        </w:rPr>
        <w:t xml:space="preserve"> Die Forderung der Strukturreformer auf dem Bochumer Katholikentag 1949 », </w:t>
      </w:r>
      <w:r w:rsidRPr="000915D0">
        <w:rPr>
          <w:rFonts w:ascii="Times New Roman" w:hAnsi="Times New Roman" w:cs="Times New Roman"/>
          <w:i/>
          <w:iCs/>
          <w:sz w:val="24"/>
          <w:szCs w:val="24"/>
          <w:lang w:val="de-DE"/>
        </w:rPr>
        <w:t>in</w:t>
      </w:r>
      <w:r w:rsidRPr="000915D0">
        <w:rPr>
          <w:rFonts w:ascii="Times New Roman" w:hAnsi="Times New Roman" w:cs="Times New Roman"/>
          <w:sz w:val="24"/>
          <w:szCs w:val="24"/>
          <w:lang w:val="de-DE"/>
        </w:rPr>
        <w:t xml:space="preserve"> H. Ludwig et K. Gabriel (éds.), </w:t>
      </w:r>
      <w:r w:rsidRPr="000915D0">
        <w:rPr>
          <w:rFonts w:ascii="Times New Roman" w:hAnsi="Times New Roman" w:cs="Times New Roman"/>
          <w:i/>
          <w:iCs/>
          <w:sz w:val="24"/>
          <w:szCs w:val="24"/>
          <w:lang w:val="de-DE"/>
        </w:rPr>
        <w:t>Gesellschaftliche Integration durch Arbeit: Über die Zukunftsfähigkeit sozialkatholischer Traditionen von Arbeit und Demokratie am Ende der Industriegesellschaft</w:t>
      </w:r>
      <w:r w:rsidRPr="000915D0">
        <w:rPr>
          <w:rFonts w:ascii="Times New Roman" w:hAnsi="Times New Roman" w:cs="Times New Roman"/>
          <w:sz w:val="24"/>
          <w:szCs w:val="24"/>
          <w:lang w:val="de-DE"/>
        </w:rPr>
        <w:t>, LIT Verlag, p. 135-168.</w:t>
      </w:r>
      <w:r w:rsidRPr="000915D0">
        <w:rPr>
          <w:rFonts w:ascii="Times New Roman" w:hAnsi="Times New Roman" w:cs="Times New Roman"/>
          <w:i/>
          <w:iCs/>
          <w:sz w:val="24"/>
          <w:szCs w:val="24"/>
          <w:lang w:val="de-DE"/>
        </w:rPr>
        <w:t xml:space="preserve"> </w:t>
      </w:r>
    </w:p>
    <w:p w14:paraId="1B1BED83" w14:textId="77777777" w:rsidR="00DA43B9" w:rsidRPr="000915D0" w:rsidRDefault="00DA43B9" w:rsidP="00DA43B9">
      <w:pPr>
        <w:spacing w:after="120" w:line="240" w:lineRule="auto"/>
        <w:ind w:left="284" w:hanging="284"/>
        <w:jc w:val="both"/>
        <w:rPr>
          <w:rFonts w:ascii="Times New Roman" w:hAnsi="Times New Roman" w:cs="Times New Roman"/>
          <w:sz w:val="24"/>
          <w:szCs w:val="24"/>
          <w:lang w:val="de-DE"/>
        </w:rPr>
      </w:pPr>
      <w:r w:rsidRPr="000915D0">
        <w:rPr>
          <w:rFonts w:ascii="Times New Roman" w:hAnsi="Times New Roman" w:cs="Times New Roman"/>
          <w:sz w:val="24"/>
          <w:szCs w:val="24"/>
          <w:lang w:val="de-DE"/>
        </w:rPr>
        <w:t xml:space="preserve">Langner A. (1980), </w:t>
      </w:r>
      <w:r w:rsidRPr="000915D0">
        <w:rPr>
          <w:rFonts w:ascii="Times New Roman" w:hAnsi="Times New Roman" w:cs="Times New Roman"/>
          <w:i/>
          <w:iCs/>
          <w:sz w:val="24"/>
          <w:szCs w:val="24"/>
          <w:lang w:val="de-DE"/>
        </w:rPr>
        <w:t>Katholizismus, Wirtschaftsordnung und Sozialpolitik 1945-1963</w:t>
      </w:r>
      <w:r w:rsidRPr="000915D0">
        <w:rPr>
          <w:rFonts w:ascii="Times New Roman" w:hAnsi="Times New Roman" w:cs="Times New Roman"/>
          <w:sz w:val="24"/>
          <w:szCs w:val="24"/>
          <w:lang w:val="de-DE"/>
        </w:rPr>
        <w:t>, Schöningh.</w:t>
      </w:r>
    </w:p>
    <w:p w14:paraId="15B2A940" w14:textId="10F4CEC2" w:rsidR="00DA43B9" w:rsidRPr="000915D0" w:rsidRDefault="00DA43B9" w:rsidP="00B106D7">
      <w:pPr>
        <w:spacing w:after="120" w:line="240" w:lineRule="auto"/>
        <w:ind w:left="284" w:hanging="284"/>
        <w:jc w:val="both"/>
        <w:rPr>
          <w:rFonts w:ascii="Times New Roman" w:hAnsi="Times New Roman" w:cs="Times New Roman"/>
          <w:sz w:val="24"/>
          <w:szCs w:val="24"/>
          <w:lang w:val="de-DE"/>
        </w:rPr>
      </w:pPr>
      <w:r w:rsidRPr="000915D0">
        <w:rPr>
          <w:rFonts w:ascii="Times New Roman" w:hAnsi="Times New Roman" w:cs="Times New Roman"/>
          <w:sz w:val="24"/>
          <w:szCs w:val="24"/>
          <w:lang w:val="de-DE"/>
        </w:rPr>
        <w:t xml:space="preserve">Langner A. (1980), « Wirtschaftliche Ordnungsvorstellungen im deutschen Katholizismus 1945-1963 », </w:t>
      </w:r>
      <w:r w:rsidRPr="000915D0">
        <w:rPr>
          <w:rFonts w:ascii="Times New Roman" w:hAnsi="Times New Roman" w:cs="Times New Roman"/>
          <w:i/>
          <w:iCs/>
          <w:sz w:val="24"/>
          <w:szCs w:val="24"/>
          <w:lang w:val="de-DE"/>
        </w:rPr>
        <w:t>in</w:t>
      </w:r>
      <w:r w:rsidRPr="000915D0">
        <w:rPr>
          <w:rFonts w:ascii="Times New Roman" w:hAnsi="Times New Roman" w:cs="Times New Roman"/>
          <w:sz w:val="24"/>
          <w:szCs w:val="24"/>
          <w:lang w:val="de-DE"/>
        </w:rPr>
        <w:t xml:space="preserve"> A. Langner, </w:t>
      </w:r>
      <w:r w:rsidRPr="000915D0">
        <w:rPr>
          <w:rFonts w:ascii="Times New Roman" w:hAnsi="Times New Roman" w:cs="Times New Roman"/>
          <w:i/>
          <w:iCs/>
          <w:sz w:val="24"/>
          <w:szCs w:val="24"/>
          <w:lang w:val="de-DE"/>
        </w:rPr>
        <w:t>Katholizismus, Wirtschaftsordnung und Sozialpolitik 1945-1963</w:t>
      </w:r>
      <w:r w:rsidRPr="000915D0">
        <w:rPr>
          <w:rFonts w:ascii="Times New Roman" w:hAnsi="Times New Roman" w:cs="Times New Roman"/>
          <w:sz w:val="24"/>
          <w:szCs w:val="24"/>
          <w:lang w:val="de-DE"/>
        </w:rPr>
        <w:t>, Schöningh, p. 27-108.</w:t>
      </w:r>
    </w:p>
    <w:p w14:paraId="31334CBB" w14:textId="77777777" w:rsidR="00085B48" w:rsidRPr="000915D0" w:rsidRDefault="00085B48" w:rsidP="005A2601">
      <w:pPr>
        <w:spacing w:after="120" w:line="240" w:lineRule="auto"/>
        <w:ind w:left="284" w:hanging="284"/>
        <w:jc w:val="both"/>
        <w:rPr>
          <w:rFonts w:ascii="Times New Roman" w:hAnsi="Times New Roman" w:cs="Times New Roman"/>
          <w:sz w:val="24"/>
          <w:szCs w:val="24"/>
          <w:lang w:val="en-US"/>
        </w:rPr>
      </w:pPr>
      <w:r w:rsidRPr="000915D0">
        <w:rPr>
          <w:rFonts w:ascii="Times New Roman" w:hAnsi="Times New Roman" w:cs="Times New Roman"/>
          <w:sz w:val="24"/>
          <w:szCs w:val="24"/>
          <w:lang w:val="en-US"/>
        </w:rPr>
        <w:t>La Porta, R., Lopez-de-Silanes, F., Shleifer, A., &amp; Vishny, R. (2000). Investor protection and corporate governance. </w:t>
      </w:r>
      <w:r w:rsidRPr="000915D0">
        <w:rPr>
          <w:rFonts w:ascii="Times New Roman" w:hAnsi="Times New Roman" w:cs="Times New Roman"/>
          <w:i/>
          <w:iCs/>
          <w:sz w:val="24"/>
          <w:szCs w:val="24"/>
          <w:lang w:val="en-US"/>
        </w:rPr>
        <w:t>Journal of financial economics</w:t>
      </w:r>
      <w:r w:rsidRPr="000915D0">
        <w:rPr>
          <w:rFonts w:ascii="Times New Roman" w:hAnsi="Times New Roman" w:cs="Times New Roman"/>
          <w:sz w:val="24"/>
          <w:szCs w:val="24"/>
          <w:lang w:val="en-US"/>
        </w:rPr>
        <w:t>, </w:t>
      </w:r>
      <w:r w:rsidRPr="000915D0">
        <w:rPr>
          <w:rFonts w:ascii="Times New Roman" w:hAnsi="Times New Roman" w:cs="Times New Roman"/>
          <w:i/>
          <w:iCs/>
          <w:sz w:val="24"/>
          <w:szCs w:val="24"/>
          <w:lang w:val="en-US"/>
        </w:rPr>
        <w:t>58</w:t>
      </w:r>
      <w:r w:rsidRPr="000915D0">
        <w:rPr>
          <w:rFonts w:ascii="Times New Roman" w:hAnsi="Times New Roman" w:cs="Times New Roman"/>
          <w:sz w:val="24"/>
          <w:szCs w:val="24"/>
          <w:lang w:val="en-US"/>
        </w:rPr>
        <w:t>(1-2), 3-27.</w:t>
      </w:r>
    </w:p>
    <w:p w14:paraId="16452B6A" w14:textId="78649BDB" w:rsidR="000D4B1B" w:rsidRPr="000915D0" w:rsidRDefault="000D4B1B"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lastRenderedPageBreak/>
        <w:t>Lasserre G. (1964), La Réforme de l’entreprise, Actes du colloque de L’Institut des Etudes Coopératives, Editions des de L’Institut des Etudes Coopératives.</w:t>
      </w:r>
    </w:p>
    <w:p w14:paraId="1F98FB77" w14:textId="25A21BA6" w:rsidR="008D1A35" w:rsidRPr="000915D0" w:rsidRDefault="008D1A35" w:rsidP="008D1A35">
      <w:pPr>
        <w:spacing w:after="120" w:line="240" w:lineRule="auto"/>
        <w:ind w:left="284" w:hanging="284"/>
        <w:jc w:val="both"/>
        <w:rPr>
          <w:rFonts w:ascii="Times New Roman" w:eastAsia="Times New Roman" w:hAnsi="Times New Roman" w:cs="Times New Roman"/>
          <w:sz w:val="24"/>
          <w:szCs w:val="24"/>
          <w:lang w:val="de-DE"/>
        </w:rPr>
      </w:pPr>
      <w:r w:rsidRPr="000915D0">
        <w:rPr>
          <w:rFonts w:ascii="Times New Roman" w:eastAsia="Times New Roman" w:hAnsi="Times New Roman" w:cs="Times New Roman"/>
          <w:sz w:val="24"/>
          <w:szCs w:val="24"/>
          <w:lang w:val="de-DE"/>
        </w:rPr>
        <w:t xml:space="preserve">Lauschke K. (2005), </w:t>
      </w:r>
      <w:r w:rsidRPr="000915D0">
        <w:rPr>
          <w:rFonts w:ascii="Times New Roman" w:eastAsia="Times New Roman" w:hAnsi="Times New Roman" w:cs="Times New Roman"/>
          <w:i/>
          <w:sz w:val="24"/>
          <w:szCs w:val="24"/>
          <w:lang w:val="de-DE"/>
        </w:rPr>
        <w:t>Hans Böckler - Band 2: Gewerkschaftlicher Neubeginn 1945-1951</w:t>
      </w:r>
      <w:r w:rsidRPr="000915D0">
        <w:rPr>
          <w:rFonts w:ascii="Times New Roman" w:eastAsia="Times New Roman" w:hAnsi="Times New Roman" w:cs="Times New Roman"/>
          <w:sz w:val="24"/>
          <w:szCs w:val="24"/>
          <w:lang w:val="de-DE"/>
        </w:rPr>
        <w:t>, Klartext Verlagsgesellschaft.</w:t>
      </w:r>
    </w:p>
    <w:p w14:paraId="62F25A3F" w14:textId="72F3AF3A" w:rsidR="0006760D" w:rsidRPr="000915D0" w:rsidRDefault="0006760D" w:rsidP="008D1A35">
      <w:pPr>
        <w:spacing w:after="120" w:line="240" w:lineRule="auto"/>
        <w:ind w:left="284" w:hanging="284"/>
        <w:jc w:val="both"/>
        <w:rPr>
          <w:rFonts w:ascii="Times New Roman" w:eastAsia="Times New Roman" w:hAnsi="Times New Roman" w:cs="Times New Roman"/>
          <w:sz w:val="24"/>
          <w:szCs w:val="24"/>
          <w:lang w:val="de-DE"/>
        </w:rPr>
      </w:pPr>
      <w:r w:rsidRPr="000915D0">
        <w:rPr>
          <w:rFonts w:ascii="Times New Roman" w:eastAsia="Times New Roman" w:hAnsi="Times New Roman" w:cs="Times New Roman"/>
          <w:sz w:val="24"/>
          <w:szCs w:val="24"/>
          <w:lang w:val="de-DE"/>
        </w:rPr>
        <w:t>Lazonick, W., &amp; O'Sullivan, M. (1997). Finance and industrial development. Part I: the United States and the United Kingdom1. Financial History Review, 4(1), 7-29.</w:t>
      </w:r>
    </w:p>
    <w:p w14:paraId="18135C9B" w14:textId="1BFB775B" w:rsidR="00085B48" w:rsidRPr="000915D0" w:rsidRDefault="00085B48" w:rsidP="005A2601">
      <w:pPr>
        <w:spacing w:after="120" w:line="240" w:lineRule="auto"/>
        <w:ind w:left="284" w:hanging="284"/>
        <w:jc w:val="both"/>
        <w:rPr>
          <w:rFonts w:ascii="Times New Roman" w:hAnsi="Times New Roman" w:cs="Times New Roman"/>
          <w:sz w:val="24"/>
          <w:szCs w:val="24"/>
          <w:lang w:val="en-US"/>
        </w:rPr>
      </w:pPr>
      <w:r w:rsidRPr="000915D0">
        <w:rPr>
          <w:rFonts w:ascii="Times New Roman" w:hAnsi="Times New Roman" w:cs="Times New Roman"/>
          <w:sz w:val="24"/>
          <w:szCs w:val="24"/>
          <w:lang w:val="en-US"/>
        </w:rPr>
        <w:t xml:space="preserve">Jackson, G. (2005), “Employee representation in the board compared: a fuzzy sets analysis of corporate governance, unionism and political institutions”, Industrielle Beziehungen, Vol. 12 No. 3, pp. 1-28. </w:t>
      </w:r>
    </w:p>
    <w:p w14:paraId="39D46267" w14:textId="0FCA7357" w:rsidR="00085B48" w:rsidRPr="000915D0" w:rsidRDefault="00085B48" w:rsidP="005A2601">
      <w:pPr>
        <w:spacing w:after="120" w:line="240" w:lineRule="auto"/>
        <w:ind w:left="284" w:hanging="284"/>
        <w:jc w:val="both"/>
        <w:rPr>
          <w:rFonts w:ascii="Times New Roman" w:hAnsi="Times New Roman" w:cs="Times New Roman"/>
          <w:sz w:val="24"/>
          <w:szCs w:val="24"/>
          <w:lang w:val="en-US"/>
        </w:rPr>
      </w:pPr>
      <w:r w:rsidRPr="000915D0">
        <w:rPr>
          <w:rFonts w:ascii="Times New Roman" w:hAnsi="Times New Roman" w:cs="Times New Roman"/>
          <w:sz w:val="24"/>
          <w:szCs w:val="24"/>
          <w:lang w:val="en-US"/>
        </w:rPr>
        <w:t>Jackson, G. (2005b), “Contested boundaries: ambiguity and creativity in the evolution of German codetermination”, in Streeck, W. and Thelen, K. (Eds), Beyond Continuity, Oxford University Press, Oxford</w:t>
      </w:r>
      <w:r w:rsidR="00AC109E" w:rsidRPr="000915D0">
        <w:rPr>
          <w:rFonts w:ascii="Times New Roman" w:hAnsi="Times New Roman" w:cs="Times New Roman"/>
          <w:sz w:val="24"/>
          <w:szCs w:val="24"/>
          <w:lang w:val="en-US"/>
        </w:rPr>
        <w:t>.</w:t>
      </w:r>
    </w:p>
    <w:p w14:paraId="64B79550" w14:textId="4B27207E" w:rsidR="00E471E8" w:rsidRPr="000915D0" w:rsidRDefault="00E471E8" w:rsidP="005A2601">
      <w:pPr>
        <w:spacing w:after="120" w:line="240" w:lineRule="auto"/>
        <w:ind w:left="284" w:hanging="284"/>
        <w:jc w:val="both"/>
        <w:rPr>
          <w:rFonts w:ascii="Times New Roman" w:hAnsi="Times New Roman" w:cs="Times New Roman"/>
          <w:sz w:val="24"/>
          <w:szCs w:val="24"/>
        </w:rPr>
      </w:pPr>
      <w:r w:rsidRPr="000915D0">
        <w:rPr>
          <w:rFonts w:ascii="Times New Roman" w:hAnsi="Times New Roman" w:cs="Times New Roman"/>
          <w:sz w:val="24"/>
          <w:szCs w:val="24"/>
        </w:rPr>
        <w:t>Lasserre, G. (1964), La Réforme de l’entreprise, Actes du colloque de L’Institut des Études Coopératives, Éditions de L’Institut des Études Coopératives</w:t>
      </w:r>
    </w:p>
    <w:p w14:paraId="3716595E" w14:textId="3A612110" w:rsidR="00E471E8" w:rsidRPr="000915D0" w:rsidRDefault="00E471E8" w:rsidP="005A2601">
      <w:pPr>
        <w:spacing w:after="120" w:line="240" w:lineRule="auto"/>
        <w:ind w:left="284" w:hanging="284"/>
        <w:jc w:val="both"/>
        <w:rPr>
          <w:rFonts w:ascii="Times New Roman" w:hAnsi="Times New Roman" w:cs="Times New Roman"/>
          <w:sz w:val="24"/>
          <w:szCs w:val="24"/>
        </w:rPr>
      </w:pPr>
      <w:r w:rsidRPr="000915D0">
        <w:rPr>
          <w:rFonts w:ascii="Times New Roman" w:hAnsi="Times New Roman" w:cs="Times New Roman"/>
          <w:sz w:val="24"/>
          <w:szCs w:val="24"/>
        </w:rPr>
        <w:t>Loichot, M. (1966), La réforme pancapitaliste, Paris, Robert Laffont</w:t>
      </w:r>
    </w:p>
    <w:p w14:paraId="2BB44319" w14:textId="6B22A0A1" w:rsidR="00675CEF" w:rsidRPr="000915D0" w:rsidRDefault="00675CEF" w:rsidP="00730C58">
      <w:pPr>
        <w:spacing w:after="120" w:line="240" w:lineRule="auto"/>
        <w:ind w:left="284" w:hanging="284"/>
        <w:jc w:val="both"/>
        <w:rPr>
          <w:rFonts w:ascii="Times New Roman" w:hAnsi="Times New Roman" w:cs="Times New Roman"/>
          <w:sz w:val="24"/>
          <w:szCs w:val="24"/>
          <w:lang w:val="de-DE"/>
        </w:rPr>
      </w:pPr>
      <w:r w:rsidRPr="000915D0">
        <w:rPr>
          <w:rFonts w:ascii="Times New Roman" w:hAnsi="Times New Roman" w:cs="Times New Roman"/>
          <w:sz w:val="24"/>
          <w:szCs w:val="24"/>
          <w:lang w:val="de-DE"/>
        </w:rPr>
        <w:t xml:space="preserve">Mertsching K. (2006), « Matthias </w:t>
      </w:r>
      <w:proofErr w:type="gramStart"/>
      <w:r w:rsidRPr="000915D0">
        <w:rPr>
          <w:rFonts w:ascii="Times New Roman" w:hAnsi="Times New Roman" w:cs="Times New Roman"/>
          <w:sz w:val="24"/>
          <w:szCs w:val="24"/>
          <w:lang w:val="de-DE"/>
        </w:rPr>
        <w:t>Föcher :</w:t>
      </w:r>
      <w:proofErr w:type="gramEnd"/>
      <w:r w:rsidRPr="000915D0">
        <w:rPr>
          <w:rFonts w:ascii="Times New Roman" w:hAnsi="Times New Roman" w:cs="Times New Roman"/>
          <w:sz w:val="24"/>
          <w:szCs w:val="24"/>
          <w:lang w:val="de-DE"/>
        </w:rPr>
        <w:t xml:space="preserve"> Ein christlicher Gewerkschafter in der Einheitsgewerkschaft », </w:t>
      </w:r>
      <w:r w:rsidRPr="000915D0">
        <w:rPr>
          <w:rFonts w:ascii="Times New Roman" w:hAnsi="Times New Roman" w:cs="Times New Roman"/>
          <w:i/>
          <w:iCs/>
          <w:sz w:val="24"/>
          <w:szCs w:val="24"/>
          <w:lang w:val="de-DE"/>
        </w:rPr>
        <w:t>Mitteilungsblatt des Instituts für soziale Bewegungen</w:t>
      </w:r>
      <w:r w:rsidRPr="000915D0">
        <w:rPr>
          <w:rFonts w:ascii="Times New Roman" w:hAnsi="Times New Roman" w:cs="Times New Roman"/>
          <w:sz w:val="24"/>
          <w:szCs w:val="24"/>
          <w:lang w:val="de-DE"/>
        </w:rPr>
        <w:t>,  35, p. 75-83.</w:t>
      </w:r>
    </w:p>
    <w:p w14:paraId="2A792AAA" w14:textId="2FCA902E" w:rsidR="00241B1A" w:rsidRPr="000915D0" w:rsidRDefault="00241B1A" w:rsidP="00730C58">
      <w:pPr>
        <w:spacing w:after="120" w:line="240" w:lineRule="auto"/>
        <w:ind w:left="284" w:hanging="284"/>
        <w:jc w:val="both"/>
        <w:rPr>
          <w:rFonts w:ascii="Times New Roman" w:hAnsi="Times New Roman" w:cs="Times New Roman"/>
          <w:sz w:val="24"/>
          <w:szCs w:val="24"/>
          <w:lang w:val="de-DE"/>
        </w:rPr>
      </w:pPr>
      <w:r w:rsidRPr="000915D0">
        <w:rPr>
          <w:rFonts w:ascii="Times New Roman" w:hAnsi="Times New Roman" w:cs="Times New Roman"/>
          <w:sz w:val="24"/>
          <w:szCs w:val="24"/>
          <w:lang w:val="de-DE"/>
        </w:rPr>
        <w:t>Miles, M. B., &amp; Huberman, A. M. (1994). Qualitative data analysis: An expanded sourcebook. sage.</w:t>
      </w:r>
    </w:p>
    <w:p w14:paraId="172513DF" w14:textId="05791873" w:rsidR="00750B41" w:rsidRPr="000915D0" w:rsidRDefault="00750B41" w:rsidP="00750B41">
      <w:pPr>
        <w:spacing w:after="120" w:line="240" w:lineRule="auto"/>
        <w:ind w:left="284" w:hanging="284"/>
        <w:jc w:val="both"/>
        <w:rPr>
          <w:rFonts w:ascii="Times New Roman" w:hAnsi="Times New Roman" w:cs="Times New Roman"/>
          <w:sz w:val="24"/>
          <w:szCs w:val="24"/>
          <w:lang w:val="de-DE"/>
        </w:rPr>
      </w:pPr>
      <w:r w:rsidRPr="000915D0">
        <w:rPr>
          <w:rFonts w:ascii="Times New Roman" w:hAnsi="Times New Roman" w:cs="Times New Roman"/>
          <w:sz w:val="24"/>
          <w:szCs w:val="24"/>
          <w:lang w:val="de-DE"/>
        </w:rPr>
        <w:t xml:space="preserve">Müller-Armack A. (1948, Neuauflage 2004), </w:t>
      </w:r>
      <w:r w:rsidRPr="000915D0">
        <w:rPr>
          <w:rFonts w:ascii="Times New Roman" w:hAnsi="Times New Roman" w:cs="Times New Roman"/>
          <w:i/>
          <w:iCs/>
          <w:sz w:val="24"/>
          <w:szCs w:val="24"/>
          <w:lang w:val="de-DE"/>
        </w:rPr>
        <w:t>Das Jahrhundert ohne Gott: zur Kultursoziologie unserer Zeit</w:t>
      </w:r>
      <w:r w:rsidRPr="000915D0">
        <w:rPr>
          <w:rFonts w:ascii="Times New Roman" w:hAnsi="Times New Roman" w:cs="Times New Roman"/>
          <w:sz w:val="24"/>
          <w:szCs w:val="24"/>
          <w:lang w:val="de-DE"/>
        </w:rPr>
        <w:t>, Siegburg, Verlag Franz Schmitt.</w:t>
      </w:r>
    </w:p>
    <w:p w14:paraId="3E448558" w14:textId="13F4F421" w:rsidR="008E387B" w:rsidRPr="000915D0" w:rsidRDefault="008E387B" w:rsidP="00750B41">
      <w:pPr>
        <w:spacing w:after="120" w:line="240" w:lineRule="auto"/>
        <w:ind w:left="284" w:hanging="284"/>
        <w:jc w:val="both"/>
        <w:rPr>
          <w:rFonts w:ascii="Times New Roman" w:hAnsi="Times New Roman" w:cs="Times New Roman"/>
          <w:sz w:val="24"/>
          <w:szCs w:val="24"/>
          <w:lang w:val="de-DE"/>
        </w:rPr>
      </w:pPr>
      <w:r w:rsidRPr="000915D0">
        <w:rPr>
          <w:rFonts w:ascii="Times New Roman" w:hAnsi="Times New Roman" w:cs="Times New Roman"/>
          <w:sz w:val="24"/>
          <w:szCs w:val="24"/>
          <w:lang w:val="de-DE"/>
        </w:rPr>
        <w:t>Müller-List</w:t>
      </w:r>
      <w:r w:rsidR="00D16AE6" w:rsidRPr="000915D0">
        <w:rPr>
          <w:rFonts w:ascii="Times New Roman" w:hAnsi="Times New Roman" w:cs="Times New Roman"/>
          <w:sz w:val="24"/>
          <w:szCs w:val="24"/>
          <w:lang w:val="de-DE"/>
        </w:rPr>
        <w:t xml:space="preserve"> G. (1984), </w:t>
      </w:r>
      <w:r w:rsidR="00D16AE6" w:rsidRPr="000915D0">
        <w:rPr>
          <w:rFonts w:ascii="Times New Roman" w:hAnsi="Times New Roman" w:cs="Times New Roman"/>
          <w:i/>
          <w:iCs/>
          <w:sz w:val="24"/>
          <w:szCs w:val="24"/>
          <w:lang w:val="de-DE"/>
        </w:rPr>
        <w:t>Montanmitbestimmung</w:t>
      </w:r>
      <w:r w:rsidR="00C03503" w:rsidRPr="000915D0">
        <w:rPr>
          <w:rFonts w:ascii="Times New Roman" w:hAnsi="Times New Roman" w:cs="Times New Roman"/>
          <w:sz w:val="24"/>
          <w:szCs w:val="24"/>
          <w:lang w:val="de-DE"/>
        </w:rPr>
        <w:t xml:space="preserve">, collection „Quellen </w:t>
      </w:r>
      <w:r w:rsidR="000A2384" w:rsidRPr="000915D0">
        <w:rPr>
          <w:rFonts w:ascii="Times New Roman" w:hAnsi="Times New Roman" w:cs="Times New Roman"/>
          <w:sz w:val="24"/>
          <w:szCs w:val="24"/>
          <w:lang w:val="de-DE"/>
        </w:rPr>
        <w:t>zur Geschichte de</w:t>
      </w:r>
      <w:r w:rsidR="00463191" w:rsidRPr="000915D0">
        <w:rPr>
          <w:rFonts w:ascii="Times New Roman" w:hAnsi="Times New Roman" w:cs="Times New Roman"/>
          <w:sz w:val="24"/>
          <w:szCs w:val="24"/>
          <w:lang w:val="de-DE"/>
        </w:rPr>
        <w:t>s</w:t>
      </w:r>
      <w:r w:rsidR="000A2384" w:rsidRPr="000915D0">
        <w:rPr>
          <w:rFonts w:ascii="Times New Roman" w:hAnsi="Times New Roman" w:cs="Times New Roman"/>
          <w:sz w:val="24"/>
          <w:szCs w:val="24"/>
          <w:lang w:val="de-DE"/>
        </w:rPr>
        <w:t xml:space="preserve"> Parlamentarismus und der politischen Parteien</w:t>
      </w:r>
      <w:r w:rsidR="00970A83" w:rsidRPr="000915D0">
        <w:rPr>
          <w:rFonts w:ascii="Times New Roman" w:hAnsi="Times New Roman" w:cs="Times New Roman"/>
          <w:sz w:val="24"/>
          <w:szCs w:val="24"/>
          <w:lang w:val="de-DE"/>
        </w:rPr>
        <w:t>“, vierte Reihe</w:t>
      </w:r>
      <w:r w:rsidR="00463191" w:rsidRPr="000915D0">
        <w:rPr>
          <w:rFonts w:ascii="Times New Roman" w:hAnsi="Times New Roman" w:cs="Times New Roman"/>
          <w:sz w:val="24"/>
          <w:szCs w:val="24"/>
          <w:lang w:val="de-DE"/>
        </w:rPr>
        <w:t>:</w:t>
      </w:r>
      <w:r w:rsidR="00970A83" w:rsidRPr="000915D0">
        <w:rPr>
          <w:rFonts w:ascii="Times New Roman" w:hAnsi="Times New Roman" w:cs="Times New Roman"/>
          <w:sz w:val="24"/>
          <w:szCs w:val="24"/>
          <w:lang w:val="de-DE"/>
        </w:rPr>
        <w:t xml:space="preserve"> Deutschland seit 1945</w:t>
      </w:r>
      <w:r w:rsidR="00E83FDA" w:rsidRPr="000915D0">
        <w:rPr>
          <w:rFonts w:ascii="Times New Roman" w:hAnsi="Times New Roman" w:cs="Times New Roman"/>
          <w:sz w:val="24"/>
          <w:szCs w:val="24"/>
          <w:lang w:val="de-DE"/>
        </w:rPr>
        <w:t>, Droste Verlag, Düsseldorf</w:t>
      </w:r>
      <w:r w:rsidR="00463191" w:rsidRPr="000915D0">
        <w:rPr>
          <w:rFonts w:ascii="Times New Roman" w:hAnsi="Times New Roman" w:cs="Times New Roman"/>
          <w:sz w:val="24"/>
          <w:szCs w:val="24"/>
          <w:lang w:val="de-DE"/>
        </w:rPr>
        <w:t>.</w:t>
      </w:r>
    </w:p>
    <w:p w14:paraId="406F488A" w14:textId="09297E57" w:rsidR="00AC109E" w:rsidRPr="000915D0" w:rsidRDefault="00AC109E"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Notat, N., &amp; Sénard, J. D.</w:t>
      </w:r>
      <w:r w:rsidR="00E93362" w:rsidRPr="000915D0">
        <w:rPr>
          <w:rFonts w:ascii="Times New Roman" w:eastAsia="Times New Roman" w:hAnsi="Times New Roman" w:cs="Times New Roman"/>
          <w:sz w:val="24"/>
          <w:szCs w:val="24"/>
        </w:rPr>
        <w:t xml:space="preserve"> (</w:t>
      </w:r>
      <w:r w:rsidRPr="000915D0">
        <w:rPr>
          <w:rFonts w:ascii="Times New Roman" w:eastAsia="Times New Roman" w:hAnsi="Times New Roman" w:cs="Times New Roman"/>
          <w:sz w:val="24"/>
          <w:szCs w:val="24"/>
        </w:rPr>
        <w:t>2018</w:t>
      </w:r>
      <w:r w:rsidR="00E93362" w:rsidRPr="000915D0">
        <w:rPr>
          <w:rFonts w:ascii="Times New Roman" w:eastAsia="Times New Roman" w:hAnsi="Times New Roman" w:cs="Times New Roman"/>
          <w:sz w:val="24"/>
          <w:szCs w:val="24"/>
        </w:rPr>
        <w:t>)</w:t>
      </w:r>
      <w:r w:rsidRPr="000915D0">
        <w:rPr>
          <w:rFonts w:ascii="Times New Roman" w:eastAsia="Times New Roman" w:hAnsi="Times New Roman" w:cs="Times New Roman"/>
          <w:sz w:val="24"/>
          <w:szCs w:val="24"/>
        </w:rPr>
        <w:t>, L’entreprise, objet d’intérêt collectif. Rapport aux Ministres de la transition écologique et solidaire, de la justice, de l'économie et des finances du travail.</w:t>
      </w:r>
    </w:p>
    <w:p w14:paraId="0CC9D52A" w14:textId="77777777" w:rsidR="008705CC" w:rsidRPr="000915D0" w:rsidRDefault="008705CC" w:rsidP="008705CC">
      <w:pPr>
        <w:spacing w:after="120" w:line="240" w:lineRule="auto"/>
        <w:ind w:left="284" w:hanging="284"/>
        <w:jc w:val="both"/>
        <w:rPr>
          <w:rFonts w:ascii="Times New Roman" w:eastAsia="Times New Roman" w:hAnsi="Times New Roman" w:cs="Times New Roman"/>
          <w:sz w:val="24"/>
          <w:szCs w:val="24"/>
          <w:lang w:val="de-DE"/>
        </w:rPr>
      </w:pPr>
      <w:r w:rsidRPr="000915D0">
        <w:rPr>
          <w:rFonts w:ascii="Times New Roman" w:eastAsia="Times New Roman" w:hAnsi="Times New Roman" w:cs="Times New Roman"/>
          <w:sz w:val="24"/>
          <w:szCs w:val="24"/>
          <w:lang w:val="de-DE"/>
        </w:rPr>
        <w:t xml:space="preserve">Potthoff E. (1955), « Montanindustrie in der </w:t>
      </w:r>
      <w:proofErr w:type="gramStart"/>
      <w:r w:rsidRPr="000915D0">
        <w:rPr>
          <w:rFonts w:ascii="Times New Roman" w:eastAsia="Times New Roman" w:hAnsi="Times New Roman" w:cs="Times New Roman"/>
          <w:sz w:val="24"/>
          <w:szCs w:val="24"/>
          <w:lang w:val="de-DE"/>
        </w:rPr>
        <w:t>Retorte :</w:t>
      </w:r>
      <w:proofErr w:type="gramEnd"/>
      <w:r w:rsidRPr="000915D0">
        <w:rPr>
          <w:rFonts w:ascii="Times New Roman" w:eastAsia="Times New Roman" w:hAnsi="Times New Roman" w:cs="Times New Roman"/>
          <w:sz w:val="24"/>
          <w:szCs w:val="24"/>
          <w:lang w:val="de-DE"/>
        </w:rPr>
        <w:t xml:space="preserve"> ein Beitrag zur Geschichte der betrieblichen Mitbestimmung in den Jahren 1948-1951 », </w:t>
      </w:r>
      <w:r w:rsidRPr="000915D0">
        <w:rPr>
          <w:rFonts w:ascii="Times New Roman" w:eastAsia="Times New Roman" w:hAnsi="Times New Roman" w:cs="Times New Roman"/>
          <w:i/>
          <w:iCs/>
          <w:sz w:val="24"/>
          <w:szCs w:val="24"/>
          <w:lang w:val="de-DE"/>
        </w:rPr>
        <w:t>Gewerkschaftliche Monatshefte</w:t>
      </w:r>
      <w:r w:rsidRPr="000915D0">
        <w:rPr>
          <w:rFonts w:ascii="Times New Roman" w:eastAsia="Times New Roman" w:hAnsi="Times New Roman" w:cs="Times New Roman"/>
          <w:sz w:val="24"/>
          <w:szCs w:val="24"/>
          <w:lang w:val="de-DE"/>
        </w:rPr>
        <w:t>, 1955-04, p. 209-217.</w:t>
      </w:r>
    </w:p>
    <w:p w14:paraId="360365E1" w14:textId="77777777" w:rsidR="008705CC" w:rsidRPr="000915D0" w:rsidRDefault="008705CC" w:rsidP="008705CC">
      <w:pPr>
        <w:spacing w:after="120" w:line="240" w:lineRule="auto"/>
        <w:ind w:left="284" w:hanging="284"/>
        <w:jc w:val="both"/>
        <w:rPr>
          <w:rFonts w:ascii="Times New Roman" w:eastAsia="Times New Roman" w:hAnsi="Times New Roman" w:cs="Times New Roman"/>
          <w:sz w:val="24"/>
          <w:szCs w:val="24"/>
          <w:lang w:val="de-DE"/>
        </w:rPr>
      </w:pPr>
      <w:r w:rsidRPr="000915D0">
        <w:rPr>
          <w:rFonts w:ascii="Times New Roman" w:eastAsia="Times New Roman" w:hAnsi="Times New Roman" w:cs="Times New Roman"/>
          <w:sz w:val="24"/>
          <w:szCs w:val="24"/>
          <w:lang w:val="de-DE"/>
        </w:rPr>
        <w:t xml:space="preserve">Rauscher A. (1968, 2. Aufl. 1969), </w:t>
      </w:r>
      <w:r w:rsidRPr="000915D0">
        <w:rPr>
          <w:rFonts w:ascii="Times New Roman" w:eastAsia="Times New Roman" w:hAnsi="Times New Roman" w:cs="Times New Roman"/>
          <w:i/>
          <w:iCs/>
          <w:sz w:val="24"/>
          <w:szCs w:val="24"/>
          <w:lang w:val="de-DE"/>
        </w:rPr>
        <w:t>Mitbestimmung</w:t>
      </w:r>
      <w:r w:rsidRPr="000915D0">
        <w:rPr>
          <w:rFonts w:ascii="Times New Roman" w:eastAsia="Times New Roman" w:hAnsi="Times New Roman" w:cs="Times New Roman"/>
          <w:sz w:val="24"/>
          <w:szCs w:val="24"/>
          <w:lang w:val="de-DE"/>
        </w:rPr>
        <w:t>, Köln, J.P. Bachem Verlag.</w:t>
      </w:r>
    </w:p>
    <w:p w14:paraId="4AAF90F0" w14:textId="51173275" w:rsidR="008705CC" w:rsidRPr="000915D0" w:rsidRDefault="008705CC" w:rsidP="008705CC">
      <w:pPr>
        <w:spacing w:after="120" w:line="240" w:lineRule="auto"/>
        <w:ind w:left="284" w:hanging="284"/>
        <w:jc w:val="both"/>
        <w:rPr>
          <w:rFonts w:ascii="Times New Roman" w:eastAsia="Times New Roman" w:hAnsi="Times New Roman" w:cs="Times New Roman"/>
          <w:sz w:val="24"/>
          <w:szCs w:val="24"/>
          <w:lang w:val="de-DE"/>
        </w:rPr>
      </w:pPr>
      <w:r w:rsidRPr="000915D0">
        <w:rPr>
          <w:rFonts w:ascii="Times New Roman" w:eastAsia="Times New Roman" w:hAnsi="Times New Roman" w:cs="Times New Roman"/>
          <w:sz w:val="24"/>
          <w:szCs w:val="24"/>
          <w:lang w:val="de-DE"/>
        </w:rPr>
        <w:t xml:space="preserve">Raymond W. (1954), </w:t>
      </w:r>
      <w:r w:rsidRPr="000915D0">
        <w:rPr>
          <w:rFonts w:ascii="Times New Roman" w:eastAsia="Times New Roman" w:hAnsi="Times New Roman" w:cs="Times New Roman"/>
          <w:i/>
          <w:iCs/>
          <w:sz w:val="24"/>
          <w:szCs w:val="24"/>
          <w:lang w:val="de-DE"/>
        </w:rPr>
        <w:t>Reden eines Arbeitgebers</w:t>
      </w:r>
      <w:r w:rsidRPr="000915D0">
        <w:rPr>
          <w:rFonts w:ascii="Times New Roman" w:eastAsia="Times New Roman" w:hAnsi="Times New Roman" w:cs="Times New Roman"/>
          <w:sz w:val="24"/>
          <w:szCs w:val="24"/>
          <w:lang w:val="de-DE"/>
        </w:rPr>
        <w:t>, Werkschriften-Verlag.</w:t>
      </w:r>
    </w:p>
    <w:p w14:paraId="17E09332" w14:textId="3529835C" w:rsidR="00F21689" w:rsidRPr="000915D0" w:rsidRDefault="00F21689"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Rimbaud, C., 2004, Pierre Sudreau, Le Cherche Midi.</w:t>
      </w:r>
    </w:p>
    <w:p w14:paraId="63AE9C83" w14:textId="02BD36B2" w:rsidR="00510094" w:rsidRPr="000915D0" w:rsidRDefault="00085B48" w:rsidP="005A2601">
      <w:pPr>
        <w:spacing w:after="120" w:line="240" w:lineRule="auto"/>
        <w:ind w:left="284" w:hanging="284"/>
        <w:jc w:val="both"/>
        <w:rPr>
          <w:rFonts w:ascii="Times New Roman" w:hAnsi="Times New Roman" w:cs="Times New Roman"/>
          <w:sz w:val="24"/>
          <w:szCs w:val="24"/>
          <w:lang w:val="en-US"/>
        </w:rPr>
      </w:pPr>
      <w:r w:rsidRPr="000915D0">
        <w:rPr>
          <w:rFonts w:ascii="Times New Roman" w:hAnsi="Times New Roman" w:cs="Times New Roman"/>
          <w:sz w:val="24"/>
          <w:szCs w:val="24"/>
          <w:lang w:val="en-US"/>
        </w:rPr>
        <w:t>Roe, M. J. (2003). </w:t>
      </w:r>
      <w:r w:rsidRPr="000915D0">
        <w:rPr>
          <w:rFonts w:ascii="Times New Roman" w:hAnsi="Times New Roman" w:cs="Times New Roman"/>
          <w:i/>
          <w:iCs/>
          <w:sz w:val="24"/>
          <w:szCs w:val="24"/>
          <w:lang w:val="en-US"/>
        </w:rPr>
        <w:t>Political determinants of corporate governance: Political context, corporate impact</w:t>
      </w:r>
      <w:r w:rsidRPr="000915D0">
        <w:rPr>
          <w:rFonts w:ascii="Times New Roman" w:hAnsi="Times New Roman" w:cs="Times New Roman"/>
          <w:sz w:val="24"/>
          <w:szCs w:val="24"/>
          <w:lang w:val="en-US"/>
        </w:rPr>
        <w:t>. Oxford University Press.</w:t>
      </w:r>
    </w:p>
    <w:p w14:paraId="2FE80B7A" w14:textId="7BEB4740" w:rsidR="0086455C" w:rsidRPr="000915D0" w:rsidRDefault="0086455C" w:rsidP="005A2601">
      <w:pPr>
        <w:spacing w:after="120" w:line="240" w:lineRule="auto"/>
        <w:ind w:left="284" w:hanging="284"/>
        <w:jc w:val="both"/>
        <w:rPr>
          <w:rFonts w:ascii="Times New Roman" w:hAnsi="Times New Roman" w:cs="Times New Roman"/>
          <w:sz w:val="24"/>
          <w:szCs w:val="24"/>
        </w:rPr>
      </w:pPr>
      <w:r w:rsidRPr="000915D0">
        <w:rPr>
          <w:rFonts w:ascii="Times New Roman" w:hAnsi="Times New Roman" w:cs="Times New Roman"/>
          <w:sz w:val="24"/>
          <w:szCs w:val="24"/>
        </w:rPr>
        <w:t>Roger, B. (éd.)., (2012), L’entreprise, formes de la propriété et responsabilités sociales, Paris, Lethielleux,</w:t>
      </w:r>
    </w:p>
    <w:p w14:paraId="0C195D83" w14:textId="4E60087C" w:rsidR="0086455C" w:rsidRPr="000915D0" w:rsidRDefault="0086455C" w:rsidP="005A2601">
      <w:pPr>
        <w:spacing w:after="120" w:line="240" w:lineRule="auto"/>
        <w:ind w:left="284" w:hanging="284"/>
        <w:jc w:val="both"/>
        <w:rPr>
          <w:rFonts w:ascii="Times New Roman" w:hAnsi="Times New Roman" w:cs="Times New Roman"/>
          <w:sz w:val="24"/>
          <w:szCs w:val="24"/>
        </w:rPr>
      </w:pPr>
      <w:r w:rsidRPr="000915D0">
        <w:rPr>
          <w:rFonts w:ascii="Times New Roman" w:hAnsi="Times New Roman" w:cs="Times New Roman"/>
          <w:sz w:val="24"/>
          <w:szCs w:val="24"/>
        </w:rPr>
        <w:t>Roger B., 2015, Penser l’entreprise – nouvel horizon du politique, Parole et Silence</w:t>
      </w:r>
    </w:p>
    <w:p w14:paraId="0581D4FC" w14:textId="65C3ADF6" w:rsidR="00E471E8" w:rsidRPr="000915D0" w:rsidRDefault="00E471E8" w:rsidP="005A2601">
      <w:pPr>
        <w:spacing w:after="120" w:line="240" w:lineRule="auto"/>
        <w:ind w:left="284" w:hanging="284"/>
        <w:jc w:val="both"/>
        <w:rPr>
          <w:rFonts w:ascii="Times New Roman" w:hAnsi="Times New Roman" w:cs="Times New Roman"/>
          <w:sz w:val="24"/>
          <w:szCs w:val="24"/>
        </w:rPr>
      </w:pPr>
      <w:r w:rsidRPr="000915D0">
        <w:rPr>
          <w:rFonts w:ascii="Times New Roman" w:hAnsi="Times New Roman" w:cs="Times New Roman"/>
          <w:sz w:val="24"/>
          <w:szCs w:val="24"/>
        </w:rPr>
        <w:t>Roux, A. (1976), La Réforme de l'entreprise : Rapport présenté à l'Assemblée générale du C.N.P.F, Centre national du patronat français</w:t>
      </w:r>
    </w:p>
    <w:p w14:paraId="5C6B3875" w14:textId="4E919A5D" w:rsidR="000129B9" w:rsidRPr="000915D0" w:rsidRDefault="000129B9"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 xml:space="preserve">Rosanvallon P., </w:t>
      </w:r>
      <w:r w:rsidR="00D10005" w:rsidRPr="000915D0">
        <w:rPr>
          <w:rFonts w:ascii="Times New Roman" w:eastAsia="Times New Roman" w:hAnsi="Times New Roman" w:cs="Times New Roman"/>
          <w:sz w:val="24"/>
          <w:szCs w:val="24"/>
        </w:rPr>
        <w:t>(</w:t>
      </w:r>
      <w:r w:rsidRPr="000915D0">
        <w:rPr>
          <w:rFonts w:ascii="Times New Roman" w:eastAsia="Times New Roman" w:hAnsi="Times New Roman" w:cs="Times New Roman"/>
          <w:sz w:val="24"/>
          <w:szCs w:val="24"/>
        </w:rPr>
        <w:t>1976</w:t>
      </w:r>
      <w:r w:rsidR="00D10005" w:rsidRPr="000915D0">
        <w:rPr>
          <w:rFonts w:ascii="Times New Roman" w:eastAsia="Times New Roman" w:hAnsi="Times New Roman" w:cs="Times New Roman"/>
          <w:sz w:val="24"/>
          <w:szCs w:val="24"/>
        </w:rPr>
        <w:t>)</w:t>
      </w:r>
      <w:r w:rsidRPr="000915D0">
        <w:rPr>
          <w:rFonts w:ascii="Times New Roman" w:eastAsia="Times New Roman" w:hAnsi="Times New Roman" w:cs="Times New Roman"/>
          <w:sz w:val="24"/>
          <w:szCs w:val="24"/>
        </w:rPr>
        <w:t xml:space="preserve">, L'âge de l'autogestion, Paris, Seuil. </w:t>
      </w:r>
    </w:p>
    <w:p w14:paraId="42DBBE79" w14:textId="0E099419" w:rsidR="0086455C" w:rsidRPr="000915D0" w:rsidRDefault="0086455C"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Segrestin, B. &amp; Hatchuel A., 2012, Refonder l’entreprise, Seuil.</w:t>
      </w:r>
    </w:p>
    <w:p w14:paraId="2083440C" w14:textId="4A99D1DC" w:rsidR="0086455C" w:rsidRPr="000915D0" w:rsidRDefault="0086455C"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lastRenderedPageBreak/>
        <w:t>Segrestin B. et Levillain K. (dir.), 2018, La mission de l’entreprise responsable. Principes et normes de gestion, Presses des Mines</w:t>
      </w:r>
    </w:p>
    <w:p w14:paraId="293A8BB8" w14:textId="56A0B311" w:rsidR="00D10005" w:rsidRPr="000915D0" w:rsidRDefault="00D10005" w:rsidP="005A2601">
      <w:pPr>
        <w:spacing w:after="120" w:line="240" w:lineRule="auto"/>
        <w:ind w:left="284" w:hanging="284"/>
        <w:jc w:val="both"/>
        <w:rPr>
          <w:rFonts w:ascii="Times New Roman" w:eastAsia="Times New Roman" w:hAnsi="Times New Roman" w:cs="Times New Roman"/>
          <w:sz w:val="24"/>
          <w:szCs w:val="24"/>
        </w:rPr>
      </w:pPr>
      <w:r w:rsidRPr="000915D0">
        <w:rPr>
          <w:rFonts w:ascii="Times New Roman" w:eastAsia="Times New Roman" w:hAnsi="Times New Roman" w:cs="Times New Roman"/>
          <w:sz w:val="24"/>
          <w:szCs w:val="24"/>
        </w:rPr>
        <w:t>Sudreau P., (1975), La Réforme de l’entreprise, La documentation française et 10/18.</w:t>
      </w:r>
    </w:p>
    <w:p w14:paraId="11C231C4" w14:textId="2F84BA57" w:rsidR="004414AB" w:rsidRPr="000915D0" w:rsidRDefault="004414AB" w:rsidP="005A2601">
      <w:pPr>
        <w:spacing w:after="120" w:line="240" w:lineRule="auto"/>
        <w:ind w:left="284" w:hanging="284"/>
        <w:jc w:val="both"/>
        <w:rPr>
          <w:rFonts w:ascii="Times New Roman" w:hAnsi="Times New Roman" w:cs="Times New Roman"/>
          <w:sz w:val="24"/>
          <w:szCs w:val="24"/>
          <w:lang w:val="en-US"/>
        </w:rPr>
      </w:pPr>
      <w:r w:rsidRPr="000915D0">
        <w:rPr>
          <w:rFonts w:ascii="Times New Roman" w:hAnsi="Times New Roman" w:cs="Times New Roman"/>
          <w:sz w:val="24"/>
          <w:szCs w:val="24"/>
          <w:lang w:val="en-US"/>
        </w:rPr>
        <w:t>Von Nell-Breuning</w:t>
      </w:r>
      <w:r w:rsidR="000D3B1A" w:rsidRPr="000915D0">
        <w:rPr>
          <w:rFonts w:ascii="Times New Roman" w:hAnsi="Times New Roman" w:cs="Times New Roman"/>
          <w:sz w:val="24"/>
          <w:szCs w:val="24"/>
          <w:lang w:val="en-US"/>
        </w:rPr>
        <w:t xml:space="preserve">, O. (1968). </w:t>
      </w:r>
      <w:r w:rsidR="000D3B1A" w:rsidRPr="000915D0">
        <w:rPr>
          <w:rFonts w:ascii="Times New Roman" w:hAnsi="Times New Roman" w:cs="Times New Roman"/>
          <w:i/>
          <w:iCs/>
          <w:sz w:val="24"/>
          <w:szCs w:val="24"/>
          <w:lang w:val="en-US"/>
        </w:rPr>
        <w:t>Streit u</w:t>
      </w:r>
      <w:r w:rsidR="009B3FEA" w:rsidRPr="000915D0">
        <w:rPr>
          <w:rFonts w:ascii="Times New Roman" w:hAnsi="Times New Roman" w:cs="Times New Roman"/>
          <w:i/>
          <w:iCs/>
          <w:sz w:val="24"/>
          <w:szCs w:val="24"/>
          <w:lang w:val="en-US"/>
        </w:rPr>
        <w:t>m Mitbestimmung.</w:t>
      </w:r>
      <w:r w:rsidR="009B3FEA" w:rsidRPr="000915D0">
        <w:rPr>
          <w:rFonts w:ascii="Times New Roman" w:hAnsi="Times New Roman" w:cs="Times New Roman"/>
          <w:sz w:val="24"/>
          <w:szCs w:val="24"/>
          <w:lang w:val="en-US"/>
        </w:rPr>
        <w:t xml:space="preserve"> Europäische Verlagsanstalt</w:t>
      </w:r>
      <w:r w:rsidR="00510094" w:rsidRPr="000915D0">
        <w:rPr>
          <w:rFonts w:ascii="Times New Roman" w:hAnsi="Times New Roman" w:cs="Times New Roman"/>
          <w:sz w:val="24"/>
          <w:szCs w:val="24"/>
          <w:lang w:val="en-US"/>
        </w:rPr>
        <w:t>.</w:t>
      </w:r>
    </w:p>
    <w:p w14:paraId="11ED55AE" w14:textId="6055459C" w:rsidR="00510094" w:rsidRPr="000915D0" w:rsidRDefault="00510094" w:rsidP="005A2601">
      <w:pPr>
        <w:spacing w:after="120" w:line="240" w:lineRule="auto"/>
        <w:ind w:left="284" w:hanging="284"/>
        <w:jc w:val="both"/>
        <w:rPr>
          <w:rFonts w:ascii="Times New Roman" w:hAnsi="Times New Roman" w:cs="Times New Roman"/>
          <w:sz w:val="24"/>
          <w:szCs w:val="24"/>
        </w:rPr>
      </w:pPr>
      <w:r w:rsidRPr="000915D0">
        <w:rPr>
          <w:rFonts w:ascii="Times New Roman" w:hAnsi="Times New Roman" w:cs="Times New Roman"/>
          <w:sz w:val="24"/>
          <w:szCs w:val="24"/>
          <w:lang w:val="en-US"/>
        </w:rPr>
        <w:t>Von Nell-Breuning, O. (1950)</w:t>
      </w:r>
      <w:r w:rsidR="005430D1" w:rsidRPr="000915D0">
        <w:rPr>
          <w:rFonts w:ascii="Times New Roman" w:hAnsi="Times New Roman" w:cs="Times New Roman"/>
          <w:sz w:val="24"/>
          <w:szCs w:val="24"/>
          <w:lang w:val="en-US"/>
        </w:rPr>
        <w:t xml:space="preserve">. </w:t>
      </w:r>
      <w:r w:rsidR="00D26728" w:rsidRPr="000915D0">
        <w:rPr>
          <w:rFonts w:ascii="Times New Roman" w:hAnsi="Times New Roman" w:cs="Times New Roman"/>
          <w:i/>
          <w:iCs/>
          <w:sz w:val="24"/>
          <w:szCs w:val="24"/>
          <w:lang w:val="en-US"/>
        </w:rPr>
        <w:t>Mitbestimmung</w:t>
      </w:r>
      <w:r w:rsidR="00D26728" w:rsidRPr="000915D0">
        <w:rPr>
          <w:rFonts w:ascii="Times New Roman" w:hAnsi="Times New Roman" w:cs="Times New Roman"/>
          <w:sz w:val="24"/>
          <w:szCs w:val="24"/>
          <w:lang w:val="en-US"/>
        </w:rPr>
        <w:t xml:space="preserve">. </w:t>
      </w:r>
      <w:r w:rsidR="00D26728" w:rsidRPr="000915D0">
        <w:rPr>
          <w:rFonts w:ascii="Times New Roman" w:hAnsi="Times New Roman" w:cs="Times New Roman"/>
          <w:sz w:val="24"/>
          <w:szCs w:val="24"/>
        </w:rPr>
        <w:t>Landshut.</w:t>
      </w:r>
    </w:p>
    <w:p w14:paraId="7771021D" w14:textId="77777777" w:rsidR="00085B48" w:rsidRPr="000915D0" w:rsidRDefault="00085B48" w:rsidP="005A2601">
      <w:pPr>
        <w:spacing w:after="120" w:line="240" w:lineRule="auto"/>
        <w:ind w:left="284" w:hanging="284"/>
        <w:jc w:val="both"/>
        <w:rPr>
          <w:rFonts w:ascii="Times New Roman" w:hAnsi="Times New Roman" w:cs="Times New Roman"/>
          <w:sz w:val="24"/>
          <w:szCs w:val="24"/>
        </w:rPr>
      </w:pPr>
      <w:r w:rsidRPr="000915D0">
        <w:rPr>
          <w:rFonts w:ascii="Times New Roman" w:hAnsi="Times New Roman" w:cs="Times New Roman"/>
          <w:sz w:val="24"/>
          <w:szCs w:val="24"/>
        </w:rPr>
        <w:t>Wirtz, P. (2002), Politique De Financement Et Gouvernement D’entreprise, Economica, Paris.</w:t>
      </w:r>
    </w:p>
    <w:p w14:paraId="456B0BD8" w14:textId="77777777" w:rsidR="00085B48" w:rsidRPr="000915D0" w:rsidRDefault="00085B48" w:rsidP="005A2601">
      <w:pPr>
        <w:spacing w:after="120" w:line="240" w:lineRule="auto"/>
        <w:ind w:left="284" w:hanging="284"/>
        <w:jc w:val="both"/>
        <w:rPr>
          <w:rFonts w:ascii="Times New Roman" w:hAnsi="Times New Roman" w:cs="Times New Roman"/>
          <w:sz w:val="24"/>
          <w:szCs w:val="24"/>
          <w:lang w:val="en-US"/>
        </w:rPr>
      </w:pPr>
      <w:r w:rsidRPr="000915D0">
        <w:rPr>
          <w:rFonts w:ascii="Times New Roman" w:hAnsi="Times New Roman" w:cs="Times New Roman"/>
          <w:sz w:val="24"/>
          <w:szCs w:val="24"/>
          <w:lang w:val="en-US"/>
        </w:rPr>
        <w:t>Wirtz, P. (2020). Changing Corporate Governance in France in the Late Twentieth Century. </w:t>
      </w:r>
      <w:r w:rsidRPr="000915D0">
        <w:rPr>
          <w:rFonts w:ascii="Times New Roman" w:hAnsi="Times New Roman" w:cs="Times New Roman"/>
          <w:i/>
          <w:iCs/>
          <w:sz w:val="24"/>
          <w:szCs w:val="24"/>
          <w:lang w:val="en-US"/>
        </w:rPr>
        <w:t>The Palgrave Handbook of Management History</w:t>
      </w:r>
      <w:r w:rsidRPr="000915D0">
        <w:rPr>
          <w:rFonts w:ascii="Times New Roman" w:hAnsi="Times New Roman" w:cs="Times New Roman"/>
          <w:sz w:val="24"/>
          <w:szCs w:val="24"/>
          <w:lang w:val="en-US"/>
        </w:rPr>
        <w:t>, 1141-1161.</w:t>
      </w:r>
    </w:p>
    <w:p w14:paraId="36B23A4E" w14:textId="77777777" w:rsidR="00085B48" w:rsidRPr="000915D0" w:rsidRDefault="00085B48" w:rsidP="005A2601">
      <w:pPr>
        <w:spacing w:after="120" w:line="240" w:lineRule="auto"/>
        <w:ind w:left="284" w:hanging="284"/>
        <w:jc w:val="both"/>
        <w:rPr>
          <w:rFonts w:ascii="Times New Roman" w:hAnsi="Times New Roman" w:cs="Times New Roman"/>
          <w:sz w:val="24"/>
          <w:szCs w:val="24"/>
        </w:rPr>
      </w:pPr>
      <w:r w:rsidRPr="000915D0">
        <w:rPr>
          <w:rFonts w:ascii="Times New Roman" w:hAnsi="Times New Roman" w:cs="Times New Roman"/>
          <w:sz w:val="24"/>
          <w:szCs w:val="24"/>
          <w:lang w:val="en-US"/>
        </w:rPr>
        <w:t>Yoshimori, M. (1995). Whose company is it? The concept of the corporation in Japan and the West. </w:t>
      </w:r>
      <w:r w:rsidRPr="000915D0">
        <w:rPr>
          <w:rFonts w:ascii="Times New Roman" w:hAnsi="Times New Roman" w:cs="Times New Roman"/>
          <w:i/>
          <w:iCs/>
          <w:sz w:val="24"/>
          <w:szCs w:val="24"/>
        </w:rPr>
        <w:t>Long range planning</w:t>
      </w:r>
      <w:r w:rsidRPr="000915D0">
        <w:rPr>
          <w:rFonts w:ascii="Times New Roman" w:hAnsi="Times New Roman" w:cs="Times New Roman"/>
          <w:sz w:val="24"/>
          <w:szCs w:val="24"/>
        </w:rPr>
        <w:t>, </w:t>
      </w:r>
      <w:r w:rsidRPr="000915D0">
        <w:rPr>
          <w:rFonts w:ascii="Times New Roman" w:hAnsi="Times New Roman" w:cs="Times New Roman"/>
          <w:i/>
          <w:iCs/>
          <w:sz w:val="24"/>
          <w:szCs w:val="24"/>
        </w:rPr>
        <w:t>28</w:t>
      </w:r>
      <w:r w:rsidRPr="000915D0">
        <w:rPr>
          <w:rFonts w:ascii="Times New Roman" w:hAnsi="Times New Roman" w:cs="Times New Roman"/>
          <w:sz w:val="24"/>
          <w:szCs w:val="24"/>
        </w:rPr>
        <w:t>(4), 2-44.</w:t>
      </w:r>
    </w:p>
    <w:p w14:paraId="0BB13756" w14:textId="77777777" w:rsidR="00A447BD" w:rsidRPr="000915D0" w:rsidRDefault="00A447BD" w:rsidP="00A447BD">
      <w:pPr>
        <w:spacing w:line="360" w:lineRule="auto"/>
        <w:jc w:val="both"/>
        <w:rPr>
          <w:rFonts w:ascii="Times New Roman" w:hAnsi="Times New Roman" w:cs="Times New Roman"/>
          <w:sz w:val="24"/>
          <w:szCs w:val="24"/>
        </w:rPr>
        <w:sectPr w:rsidR="00A447BD" w:rsidRPr="000915D0" w:rsidSect="0022270D">
          <w:pgSz w:w="11906" w:h="16838"/>
          <w:pgMar w:top="1417" w:right="1417" w:bottom="1417" w:left="1417" w:header="708" w:footer="708" w:gutter="0"/>
          <w:cols w:space="708"/>
          <w:docGrid w:linePitch="360"/>
        </w:sectPr>
      </w:pPr>
    </w:p>
    <w:p w14:paraId="0290670E" w14:textId="32020681" w:rsidR="003956A0" w:rsidRPr="000915D0" w:rsidRDefault="003956A0" w:rsidP="005A2601">
      <w:pPr>
        <w:jc w:val="center"/>
        <w:rPr>
          <w:rFonts w:ascii="Times New Roman" w:hAnsi="Times New Roman" w:cs="Times New Roman"/>
          <w:sz w:val="20"/>
          <w:szCs w:val="20"/>
        </w:rPr>
      </w:pPr>
      <w:r w:rsidRPr="000915D0">
        <w:rPr>
          <w:rFonts w:ascii="Times New Roman" w:hAnsi="Times New Roman" w:cs="Times New Roman"/>
          <w:b/>
          <w:sz w:val="24"/>
          <w:szCs w:val="24"/>
        </w:rPr>
        <w:lastRenderedPageBreak/>
        <w:t xml:space="preserve">Annexe : </w:t>
      </w:r>
      <w:r w:rsidRPr="000915D0">
        <w:rPr>
          <w:rFonts w:ascii="Times New Roman" w:hAnsi="Times New Roman" w:cs="Times New Roman"/>
          <w:b/>
        </w:rPr>
        <w:t>Résultats du codage des dimensions de la mobilisation dans le cas français</w:t>
      </w:r>
      <w:r w:rsidR="00BB562E" w:rsidRPr="000915D0">
        <w:rPr>
          <w:rFonts w:ascii="Times New Roman" w:hAnsi="Times New Roman" w:cs="Times New Roman"/>
          <w:b/>
        </w:rPr>
        <w:br/>
      </w:r>
      <w:proofErr w:type="gramStart"/>
      <w:r w:rsidR="00BB562E" w:rsidRPr="000915D0">
        <w:rPr>
          <w:rFonts w:ascii="Times New Roman" w:hAnsi="Times New Roman" w:cs="Times New Roman"/>
          <w:sz w:val="20"/>
          <w:szCs w:val="20"/>
        </w:rPr>
        <w:t>Note:</w:t>
      </w:r>
      <w:proofErr w:type="gramEnd"/>
      <w:r w:rsidR="00BB562E" w:rsidRPr="000915D0">
        <w:rPr>
          <w:rFonts w:ascii="Times New Roman" w:hAnsi="Times New Roman" w:cs="Times New Roman"/>
          <w:sz w:val="20"/>
          <w:szCs w:val="20"/>
        </w:rPr>
        <w:t xml:space="preserve"> nous présentons dans le tableau ci-dessous </w:t>
      </w:r>
      <w:r w:rsidR="00EB2B17" w:rsidRPr="000915D0">
        <w:rPr>
          <w:rFonts w:ascii="Times New Roman" w:hAnsi="Times New Roman" w:cs="Times New Roman"/>
          <w:sz w:val="20"/>
          <w:szCs w:val="20"/>
        </w:rPr>
        <w:t>les passages les plus représentatifs</w:t>
      </w:r>
    </w:p>
    <w:tbl>
      <w:tblPr>
        <w:tblW w:w="153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5"/>
        <w:gridCol w:w="1528"/>
        <w:gridCol w:w="1607"/>
        <w:gridCol w:w="1546"/>
        <w:gridCol w:w="8844"/>
      </w:tblGrid>
      <w:tr w:rsidR="005A2601" w:rsidRPr="000915D0" w14:paraId="3EFC625A" w14:textId="77777777" w:rsidTr="005C309F">
        <w:tc>
          <w:tcPr>
            <w:tcW w:w="1785" w:type="dxa"/>
            <w:tcBorders>
              <w:top w:val="single" w:sz="4" w:space="0" w:color="auto"/>
              <w:left w:val="single" w:sz="4" w:space="0" w:color="auto"/>
              <w:bottom w:val="single" w:sz="4" w:space="0" w:color="auto"/>
              <w:right w:val="single" w:sz="4" w:space="0" w:color="auto"/>
            </w:tcBorders>
            <w:hideMark/>
          </w:tcPr>
          <w:p w14:paraId="4B65FDCD" w14:textId="17EBD15A" w:rsidR="005702E9" w:rsidRPr="000915D0" w:rsidRDefault="005702E9" w:rsidP="005A2601">
            <w:pPr>
              <w:spacing w:after="0"/>
              <w:jc w:val="center"/>
              <w:rPr>
                <w:rFonts w:ascii="Times New Roman" w:hAnsi="Times New Roman" w:cs="Times New Roman"/>
                <w:b/>
                <w:bCs/>
                <w:smallCaps/>
                <w:sz w:val="20"/>
                <w:szCs w:val="20"/>
              </w:rPr>
            </w:pPr>
            <w:r w:rsidRPr="000915D0">
              <w:rPr>
                <w:rFonts w:ascii="Times New Roman" w:hAnsi="Times New Roman" w:cs="Times New Roman"/>
                <w:b/>
                <w:bCs/>
                <w:smallCaps/>
                <w:sz w:val="20"/>
                <w:szCs w:val="20"/>
              </w:rPr>
              <w:t xml:space="preserve">Dimensions de la mobilisation </w:t>
            </w:r>
          </w:p>
        </w:tc>
        <w:tc>
          <w:tcPr>
            <w:tcW w:w="1528" w:type="dxa"/>
            <w:tcBorders>
              <w:top w:val="single" w:sz="4" w:space="0" w:color="auto"/>
              <w:left w:val="single" w:sz="4" w:space="0" w:color="auto"/>
              <w:bottom w:val="single" w:sz="4" w:space="0" w:color="auto"/>
              <w:right w:val="single" w:sz="4" w:space="0" w:color="auto"/>
            </w:tcBorders>
            <w:vAlign w:val="center"/>
            <w:hideMark/>
          </w:tcPr>
          <w:p w14:paraId="22C682BB" w14:textId="77777777" w:rsidR="005702E9" w:rsidRPr="000915D0" w:rsidRDefault="005702E9" w:rsidP="005A2601">
            <w:pPr>
              <w:spacing w:after="0"/>
              <w:jc w:val="center"/>
              <w:rPr>
                <w:rFonts w:ascii="Times New Roman" w:hAnsi="Times New Roman" w:cs="Times New Roman"/>
                <w:b/>
                <w:bCs/>
                <w:smallCaps/>
                <w:sz w:val="20"/>
                <w:szCs w:val="20"/>
              </w:rPr>
            </w:pPr>
            <w:r w:rsidRPr="000915D0">
              <w:rPr>
                <w:rFonts w:ascii="Times New Roman" w:hAnsi="Times New Roman" w:cs="Times New Roman"/>
                <w:b/>
                <w:bCs/>
                <w:smallCaps/>
                <w:sz w:val="20"/>
                <w:szCs w:val="20"/>
              </w:rPr>
              <w:t>Date</w:t>
            </w:r>
          </w:p>
        </w:tc>
        <w:tc>
          <w:tcPr>
            <w:tcW w:w="1607" w:type="dxa"/>
            <w:tcBorders>
              <w:top w:val="single" w:sz="4" w:space="0" w:color="auto"/>
              <w:left w:val="single" w:sz="4" w:space="0" w:color="auto"/>
              <w:bottom w:val="single" w:sz="4" w:space="0" w:color="auto"/>
              <w:right w:val="single" w:sz="4" w:space="0" w:color="auto"/>
            </w:tcBorders>
            <w:vAlign w:val="center"/>
            <w:hideMark/>
          </w:tcPr>
          <w:p w14:paraId="349210EF" w14:textId="3D85BAE4" w:rsidR="005702E9" w:rsidRPr="000915D0" w:rsidRDefault="001113CF" w:rsidP="005A2601">
            <w:pPr>
              <w:spacing w:after="0"/>
              <w:jc w:val="center"/>
              <w:rPr>
                <w:rFonts w:ascii="Times New Roman" w:hAnsi="Times New Roman" w:cs="Times New Roman"/>
                <w:b/>
                <w:bCs/>
                <w:smallCaps/>
                <w:sz w:val="20"/>
                <w:szCs w:val="20"/>
              </w:rPr>
            </w:pPr>
            <w:r w:rsidRPr="000915D0">
              <w:rPr>
                <w:rFonts w:ascii="Times New Roman" w:hAnsi="Times New Roman" w:cs="Times New Roman"/>
                <w:b/>
                <w:bCs/>
                <w:smallCaps/>
                <w:sz w:val="20"/>
                <w:szCs w:val="20"/>
              </w:rPr>
              <w:t>Description</w:t>
            </w:r>
          </w:p>
        </w:tc>
        <w:tc>
          <w:tcPr>
            <w:tcW w:w="1546" w:type="dxa"/>
            <w:tcBorders>
              <w:top w:val="single" w:sz="4" w:space="0" w:color="auto"/>
              <w:left w:val="single" w:sz="4" w:space="0" w:color="auto"/>
              <w:bottom w:val="single" w:sz="4" w:space="0" w:color="auto"/>
              <w:right w:val="single" w:sz="4" w:space="0" w:color="auto"/>
            </w:tcBorders>
            <w:vAlign w:val="center"/>
            <w:hideMark/>
          </w:tcPr>
          <w:p w14:paraId="62A061DC" w14:textId="4E5F904C" w:rsidR="005702E9" w:rsidRPr="000915D0" w:rsidRDefault="001113CF" w:rsidP="005A2601">
            <w:pPr>
              <w:spacing w:after="0"/>
              <w:jc w:val="center"/>
              <w:rPr>
                <w:rFonts w:ascii="Times New Roman" w:hAnsi="Times New Roman" w:cs="Times New Roman"/>
                <w:b/>
                <w:bCs/>
                <w:smallCaps/>
                <w:sz w:val="20"/>
                <w:szCs w:val="20"/>
              </w:rPr>
            </w:pPr>
            <w:r w:rsidRPr="000915D0">
              <w:rPr>
                <w:rFonts w:ascii="Times New Roman" w:hAnsi="Times New Roman" w:cs="Times New Roman"/>
                <w:b/>
                <w:bCs/>
                <w:smallCaps/>
                <w:sz w:val="20"/>
                <w:szCs w:val="20"/>
              </w:rPr>
              <w:t>Acteurs</w:t>
            </w:r>
          </w:p>
        </w:tc>
        <w:tc>
          <w:tcPr>
            <w:tcW w:w="8844" w:type="dxa"/>
            <w:tcBorders>
              <w:top w:val="single" w:sz="4" w:space="0" w:color="auto"/>
              <w:left w:val="single" w:sz="4" w:space="0" w:color="auto"/>
              <w:bottom w:val="single" w:sz="4" w:space="0" w:color="auto"/>
              <w:right w:val="single" w:sz="4" w:space="0" w:color="auto"/>
            </w:tcBorders>
            <w:hideMark/>
          </w:tcPr>
          <w:p w14:paraId="3DD7283D" w14:textId="2336DE2C" w:rsidR="005702E9" w:rsidRPr="000915D0" w:rsidRDefault="005702E9" w:rsidP="005A2601">
            <w:pPr>
              <w:spacing w:after="0"/>
              <w:jc w:val="center"/>
              <w:rPr>
                <w:rFonts w:ascii="Times New Roman" w:hAnsi="Times New Roman" w:cs="Times New Roman"/>
                <w:b/>
                <w:bCs/>
                <w:smallCaps/>
                <w:sz w:val="20"/>
                <w:szCs w:val="20"/>
              </w:rPr>
            </w:pPr>
            <w:r w:rsidRPr="000915D0">
              <w:rPr>
                <w:rFonts w:ascii="Times New Roman" w:hAnsi="Times New Roman" w:cs="Times New Roman"/>
                <w:b/>
                <w:bCs/>
                <w:smallCaps/>
                <w:sz w:val="20"/>
                <w:szCs w:val="20"/>
              </w:rPr>
              <w:t>Citations</w:t>
            </w:r>
          </w:p>
        </w:tc>
      </w:tr>
      <w:tr w:rsidR="005702E9" w:rsidRPr="000915D0" w14:paraId="5CBE1217" w14:textId="77777777" w:rsidTr="005C309F">
        <w:tc>
          <w:tcPr>
            <w:tcW w:w="1785" w:type="dxa"/>
            <w:tcBorders>
              <w:top w:val="single" w:sz="4" w:space="0" w:color="auto"/>
              <w:left w:val="single" w:sz="4" w:space="0" w:color="auto"/>
              <w:bottom w:val="single" w:sz="4" w:space="0" w:color="auto"/>
              <w:right w:val="single" w:sz="4" w:space="0" w:color="auto"/>
            </w:tcBorders>
            <w:hideMark/>
          </w:tcPr>
          <w:p w14:paraId="431C07E4" w14:textId="58DE89C3" w:rsidR="005702E9" w:rsidRPr="000915D0" w:rsidRDefault="005702E9" w:rsidP="00240518">
            <w:pPr>
              <w:spacing w:after="0"/>
              <w:jc w:val="both"/>
              <w:rPr>
                <w:rFonts w:ascii="Times New Roman" w:hAnsi="Times New Roman" w:cs="Times New Roman"/>
                <w:smallCaps/>
                <w:sz w:val="20"/>
                <w:szCs w:val="20"/>
              </w:rPr>
            </w:pPr>
            <w:r w:rsidRPr="000915D0">
              <w:rPr>
                <w:rFonts w:ascii="Times New Roman" w:hAnsi="Times New Roman" w:cs="Times New Roman"/>
                <w:b/>
                <w:bCs/>
                <w:smallCaps/>
                <w:sz w:val="20"/>
                <w:szCs w:val="20"/>
              </w:rPr>
              <w:t>Contexte d’opportunité politique</w:t>
            </w:r>
            <w:r w:rsidRPr="000915D0" w:rsidDel="0001640A">
              <w:rPr>
                <w:rFonts w:ascii="Times New Roman" w:hAnsi="Times New Roman" w:cs="Times New Roman"/>
                <w:b/>
                <w:bCs/>
                <w:smallCaps/>
                <w:sz w:val="20"/>
                <w:szCs w:val="20"/>
              </w:rPr>
              <w:t xml:space="preserve"> </w:t>
            </w:r>
          </w:p>
        </w:tc>
        <w:tc>
          <w:tcPr>
            <w:tcW w:w="1528" w:type="dxa"/>
            <w:tcBorders>
              <w:top w:val="single" w:sz="4" w:space="0" w:color="auto"/>
              <w:left w:val="single" w:sz="4" w:space="0" w:color="auto"/>
              <w:bottom w:val="single" w:sz="4" w:space="0" w:color="auto"/>
              <w:right w:val="single" w:sz="4" w:space="0" w:color="auto"/>
            </w:tcBorders>
            <w:vAlign w:val="center"/>
            <w:hideMark/>
          </w:tcPr>
          <w:p w14:paraId="25678448" w14:textId="6C57DA73"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1944-1969</w:t>
            </w:r>
          </w:p>
        </w:tc>
        <w:tc>
          <w:tcPr>
            <w:tcW w:w="1607" w:type="dxa"/>
            <w:tcBorders>
              <w:top w:val="single" w:sz="4" w:space="0" w:color="auto"/>
              <w:left w:val="single" w:sz="4" w:space="0" w:color="auto"/>
              <w:bottom w:val="single" w:sz="4" w:space="0" w:color="auto"/>
              <w:right w:val="single" w:sz="4" w:space="0" w:color="auto"/>
            </w:tcBorders>
            <w:vAlign w:val="center"/>
          </w:tcPr>
          <w:p w14:paraId="0F4A7874"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Programme du CNR</w:t>
            </w:r>
          </w:p>
          <w:p w14:paraId="3D222212" w14:textId="77777777" w:rsidR="005702E9" w:rsidRPr="000915D0" w:rsidRDefault="005702E9" w:rsidP="005A2601">
            <w:pPr>
              <w:spacing w:after="0"/>
              <w:jc w:val="center"/>
              <w:rPr>
                <w:rFonts w:ascii="Times New Roman" w:hAnsi="Times New Roman" w:cs="Times New Roman"/>
                <w:sz w:val="20"/>
                <w:szCs w:val="20"/>
              </w:rPr>
            </w:pPr>
          </w:p>
          <w:p w14:paraId="3F6C1DA7" w14:textId="1977305E"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Discours De Gaulle</w:t>
            </w:r>
          </w:p>
          <w:p w14:paraId="5A069925" w14:textId="77777777" w:rsidR="005702E9" w:rsidRPr="000915D0" w:rsidRDefault="005702E9" w:rsidP="005A2601">
            <w:pPr>
              <w:spacing w:after="0"/>
              <w:jc w:val="center"/>
              <w:rPr>
                <w:rFonts w:ascii="Times New Roman" w:hAnsi="Times New Roman" w:cs="Times New Roman"/>
                <w:sz w:val="20"/>
                <w:szCs w:val="20"/>
              </w:rPr>
            </w:pPr>
          </w:p>
          <w:p w14:paraId="7212031E"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Loi Bacon</w:t>
            </w:r>
          </w:p>
          <w:p w14:paraId="09F83E51" w14:textId="77777777" w:rsidR="005702E9" w:rsidRPr="000915D0" w:rsidRDefault="005702E9" w:rsidP="005A2601">
            <w:pPr>
              <w:spacing w:after="0"/>
              <w:jc w:val="center"/>
              <w:rPr>
                <w:rFonts w:ascii="Times New Roman" w:hAnsi="Times New Roman" w:cs="Times New Roman"/>
                <w:sz w:val="20"/>
                <w:szCs w:val="20"/>
              </w:rPr>
            </w:pPr>
          </w:p>
          <w:p w14:paraId="203FD09D"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Rapport Lasserre</w:t>
            </w:r>
          </w:p>
          <w:p w14:paraId="18CCE641" w14:textId="77777777" w:rsidR="005702E9" w:rsidRPr="000915D0" w:rsidRDefault="005702E9" w:rsidP="005A2601">
            <w:pPr>
              <w:spacing w:after="0"/>
              <w:jc w:val="center"/>
              <w:rPr>
                <w:rFonts w:ascii="Times New Roman" w:hAnsi="Times New Roman" w:cs="Times New Roman"/>
                <w:sz w:val="20"/>
                <w:szCs w:val="20"/>
              </w:rPr>
            </w:pPr>
          </w:p>
          <w:p w14:paraId="5FF8CD7D" w14:textId="7A96BC7B"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Rencontre</w:t>
            </w:r>
            <w:r w:rsidR="008873C1" w:rsidRPr="000915D0">
              <w:rPr>
                <w:rFonts w:ascii="Times New Roman" w:hAnsi="Times New Roman" w:cs="Times New Roman"/>
                <w:sz w:val="20"/>
                <w:szCs w:val="20"/>
              </w:rPr>
              <w:t xml:space="preserve"> du Centre de recherche et d'action sociales (</w:t>
            </w:r>
            <w:r w:rsidRPr="000915D0">
              <w:rPr>
                <w:rFonts w:ascii="Times New Roman" w:hAnsi="Times New Roman" w:cs="Times New Roman"/>
                <w:sz w:val="20"/>
                <w:szCs w:val="20"/>
              </w:rPr>
              <w:t>CERAS</w:t>
            </w:r>
            <w:r w:rsidR="008873C1" w:rsidRPr="000915D0">
              <w:rPr>
                <w:rFonts w:ascii="Times New Roman" w:hAnsi="Times New Roman" w:cs="Times New Roman"/>
                <w:sz w:val="20"/>
                <w:szCs w:val="20"/>
              </w:rPr>
              <w:t>)</w:t>
            </w:r>
            <w:r w:rsidRPr="000915D0">
              <w:rPr>
                <w:rFonts w:ascii="Times New Roman" w:hAnsi="Times New Roman" w:cs="Times New Roman"/>
                <w:sz w:val="20"/>
                <w:szCs w:val="20"/>
              </w:rPr>
              <w:t xml:space="preserve"> avec</w:t>
            </w:r>
          </w:p>
          <w:p w14:paraId="5C171F05" w14:textId="2C2C9DD1"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Bloch Lainé,</w:t>
            </w:r>
          </w:p>
          <w:p w14:paraId="73940D7B" w14:textId="77777777" w:rsidR="005702E9" w:rsidRPr="000915D0" w:rsidRDefault="005702E9" w:rsidP="005A2601">
            <w:pPr>
              <w:spacing w:after="0"/>
              <w:jc w:val="center"/>
              <w:rPr>
                <w:rFonts w:ascii="Times New Roman" w:hAnsi="Times New Roman" w:cs="Times New Roman"/>
                <w:sz w:val="20"/>
                <w:szCs w:val="20"/>
              </w:rPr>
            </w:pPr>
          </w:p>
          <w:p w14:paraId="5141DC6D" w14:textId="165FF579"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Discours de Chaban-Delmas sur la Nouvelle société</w:t>
            </w:r>
          </w:p>
          <w:p w14:paraId="763C7902" w14:textId="3A4C1528" w:rsidR="005702E9" w:rsidRPr="000915D0" w:rsidRDefault="005702E9" w:rsidP="005A2601">
            <w:pPr>
              <w:spacing w:after="0"/>
              <w:jc w:val="center"/>
              <w:rPr>
                <w:rFonts w:ascii="Times New Roman" w:hAnsi="Times New Roman" w:cs="Times New Roman"/>
                <w:sz w:val="20"/>
                <w:szCs w:val="20"/>
              </w:rPr>
            </w:pPr>
          </w:p>
        </w:tc>
        <w:tc>
          <w:tcPr>
            <w:tcW w:w="1546" w:type="dxa"/>
            <w:tcBorders>
              <w:top w:val="single" w:sz="4" w:space="0" w:color="auto"/>
              <w:left w:val="single" w:sz="4" w:space="0" w:color="auto"/>
              <w:bottom w:val="single" w:sz="4" w:space="0" w:color="auto"/>
              <w:right w:val="single" w:sz="4" w:space="0" w:color="auto"/>
            </w:tcBorders>
            <w:vAlign w:val="center"/>
          </w:tcPr>
          <w:p w14:paraId="6107F84A"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De Gaulle</w:t>
            </w:r>
          </w:p>
          <w:p w14:paraId="5F02CA3B" w14:textId="52352BF9"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 xml:space="preserve">Bacon </w:t>
            </w:r>
          </w:p>
          <w:p w14:paraId="0562517C" w14:textId="763EFE2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Lasserre</w:t>
            </w:r>
          </w:p>
          <w:p w14:paraId="5E27091B"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lang w:val="de-DE"/>
              </w:rPr>
              <w:t xml:space="preserve">Bigo et Desbuquois, </w:t>
            </w:r>
            <w:r w:rsidRPr="000915D0">
              <w:rPr>
                <w:rFonts w:ascii="Times New Roman" w:hAnsi="Times New Roman" w:cs="Times New Roman"/>
                <w:sz w:val="20"/>
                <w:szCs w:val="20"/>
              </w:rPr>
              <w:t>Capitant</w:t>
            </w:r>
          </w:p>
          <w:p w14:paraId="462B84E0"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Loichot</w:t>
            </w:r>
          </w:p>
          <w:p w14:paraId="71087A8E" w14:textId="6E27F59E"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Bloch-Lainé, Chaban-Delmas et Delors</w:t>
            </w:r>
          </w:p>
        </w:tc>
        <w:tc>
          <w:tcPr>
            <w:tcW w:w="8844" w:type="dxa"/>
            <w:tcBorders>
              <w:top w:val="single" w:sz="4" w:space="0" w:color="auto"/>
              <w:left w:val="single" w:sz="4" w:space="0" w:color="auto"/>
              <w:bottom w:val="single" w:sz="4" w:space="0" w:color="auto"/>
              <w:right w:val="single" w:sz="4" w:space="0" w:color="auto"/>
            </w:tcBorders>
          </w:tcPr>
          <w:p w14:paraId="324298CE" w14:textId="65E50D57" w:rsidR="005702E9" w:rsidRPr="000915D0" w:rsidRDefault="005702E9" w:rsidP="00240518">
            <w:pPr>
              <w:spacing w:after="0"/>
              <w:jc w:val="both"/>
              <w:rPr>
                <w:rFonts w:ascii="Times New Roman" w:hAnsi="Times New Roman" w:cs="Times New Roman"/>
                <w:sz w:val="20"/>
                <w:szCs w:val="20"/>
              </w:rPr>
            </w:pPr>
            <w:r w:rsidRPr="000915D0">
              <w:rPr>
                <w:rFonts w:ascii="Times New Roman" w:hAnsi="Times New Roman" w:cs="Times New Roman"/>
                <w:sz w:val="20"/>
                <w:szCs w:val="20"/>
                <w:u w:val="single"/>
              </w:rPr>
              <w:t>CNR </w:t>
            </w:r>
            <w:r w:rsidRPr="000915D0">
              <w:rPr>
                <w:rFonts w:ascii="Times New Roman" w:hAnsi="Times New Roman" w:cs="Times New Roman"/>
                <w:sz w:val="20"/>
                <w:szCs w:val="20"/>
              </w:rPr>
              <w:t xml:space="preserve">: « - le droit d’accès, dans le cadre de l’entreprise, aux fonctions de direction et d’administration, pour les ouvriers possédant les qualifications nécessaires, et la participation des travailleurs à la direction de l’économie ; </w:t>
            </w:r>
          </w:p>
          <w:p w14:paraId="3F26B4CD" w14:textId="1F3DA8CF" w:rsidR="005702E9" w:rsidRPr="000915D0" w:rsidRDefault="005702E9" w:rsidP="00240518">
            <w:pPr>
              <w:spacing w:after="0"/>
              <w:jc w:val="both"/>
              <w:rPr>
                <w:rFonts w:ascii="Times New Roman" w:hAnsi="Times New Roman" w:cs="Times New Roman"/>
                <w:sz w:val="20"/>
                <w:szCs w:val="20"/>
              </w:rPr>
            </w:pPr>
            <w:r w:rsidRPr="000915D0">
              <w:rPr>
                <w:rFonts w:ascii="Times New Roman" w:hAnsi="Times New Roman" w:cs="Times New Roman"/>
                <w:sz w:val="20"/>
                <w:szCs w:val="20"/>
              </w:rPr>
              <w:t>- la reconstitution, dans ses libertés traditionnelles, d’un syndicalisme indépendant, doté de larges pouvoirs dans l’organisation de la vie économique et sociale. »</w:t>
            </w:r>
          </w:p>
          <w:p w14:paraId="721CDFFF" w14:textId="495FA538" w:rsidR="005702E9" w:rsidRPr="000915D0" w:rsidRDefault="005702E9" w:rsidP="00612CA9">
            <w:pPr>
              <w:spacing w:after="0"/>
              <w:jc w:val="both"/>
              <w:rPr>
                <w:rFonts w:ascii="Times New Roman" w:hAnsi="Times New Roman" w:cs="Times New Roman"/>
                <w:sz w:val="20"/>
                <w:szCs w:val="20"/>
              </w:rPr>
            </w:pPr>
            <w:r w:rsidRPr="000915D0">
              <w:rPr>
                <w:rFonts w:ascii="Times New Roman" w:hAnsi="Times New Roman" w:cs="Times New Roman"/>
                <w:sz w:val="20"/>
                <w:szCs w:val="20"/>
                <w:u w:val="single"/>
              </w:rPr>
              <w:t>Bigo Desbuquois :</w:t>
            </w:r>
            <w:r w:rsidRPr="000915D0">
              <w:rPr>
                <w:rFonts w:ascii="Times New Roman" w:hAnsi="Times New Roman" w:cs="Times New Roman"/>
                <w:sz w:val="20"/>
                <w:szCs w:val="20"/>
              </w:rPr>
              <w:t xml:space="preserve"> « « En pratique, la représentation n’exige pas davantage que deux ou trois membres désignés par le personnel, dans le conseil d’administration. La gestion pourrait, au contraire, avec les discriminations que nous avons dites, être assurée de manière paritaire par le capital et par le travail. Mais sur un terrain aussi difficile, il faut procéder par étapes et étendre progressivement la participation à de catégories de plus en plus larges de personnel, selon leur intégration plus ou moins profonde dans la vie de l’entreprise » (note du bas de la page 17).</w:t>
            </w:r>
          </w:p>
          <w:p w14:paraId="63C0E52D" w14:textId="6DB50690" w:rsidR="005702E9" w:rsidRPr="000915D0" w:rsidRDefault="005702E9" w:rsidP="00BA743C">
            <w:pPr>
              <w:spacing w:after="0"/>
              <w:jc w:val="both"/>
              <w:rPr>
                <w:rFonts w:ascii="Times New Roman" w:hAnsi="Times New Roman" w:cs="Times New Roman"/>
                <w:sz w:val="20"/>
                <w:szCs w:val="20"/>
              </w:rPr>
            </w:pPr>
          </w:p>
          <w:p w14:paraId="7A24D459" w14:textId="77777777" w:rsidR="005702E9" w:rsidRPr="000915D0" w:rsidRDefault="005702E9" w:rsidP="00240518">
            <w:pPr>
              <w:spacing w:after="0"/>
              <w:jc w:val="both"/>
              <w:rPr>
                <w:rFonts w:ascii="Times New Roman" w:hAnsi="Times New Roman" w:cs="Times New Roman"/>
                <w:sz w:val="20"/>
                <w:szCs w:val="20"/>
              </w:rPr>
            </w:pPr>
            <w:r w:rsidRPr="000915D0">
              <w:rPr>
                <w:rFonts w:ascii="Times New Roman" w:hAnsi="Times New Roman" w:cs="Times New Roman"/>
                <w:sz w:val="20"/>
                <w:szCs w:val="20"/>
                <w:u w:val="single"/>
              </w:rPr>
              <w:t>Bacon :</w:t>
            </w:r>
            <w:r w:rsidRPr="000915D0">
              <w:rPr>
                <w:rFonts w:ascii="Times New Roman" w:hAnsi="Times New Roman" w:cs="Times New Roman"/>
                <w:sz w:val="20"/>
                <w:szCs w:val="20"/>
              </w:rPr>
              <w:t xml:space="preserve"> « Après l’étape du comité d’entreprise, simple organe consultatif, l’étape de la participation et de la cogestion sera bien près d’être franchie [..] Les privilèges du capital s’effaceront peu à peu devant les droits et les prérogatives du travail et les ouvriers pourront enfin administrer la preuve de leur capacité économique et financière » (Bacon, </w:t>
            </w:r>
            <w:proofErr w:type="gramStart"/>
            <w:r w:rsidRPr="000915D0">
              <w:rPr>
                <w:rFonts w:ascii="Times New Roman" w:hAnsi="Times New Roman" w:cs="Times New Roman"/>
                <w:sz w:val="20"/>
                <w:szCs w:val="20"/>
              </w:rPr>
              <w:t>1949  ;</w:t>
            </w:r>
            <w:proofErr w:type="gramEnd"/>
            <w:r w:rsidRPr="000915D0">
              <w:rPr>
                <w:rFonts w:ascii="Times New Roman" w:hAnsi="Times New Roman" w:cs="Times New Roman"/>
                <w:sz w:val="20"/>
                <w:szCs w:val="20"/>
              </w:rPr>
              <w:t xml:space="preserve"> p. 36).</w:t>
            </w:r>
          </w:p>
          <w:p w14:paraId="71F354D6" w14:textId="77777777" w:rsidR="005702E9" w:rsidRPr="000915D0" w:rsidRDefault="005702E9" w:rsidP="00240518">
            <w:pPr>
              <w:spacing w:after="0"/>
              <w:jc w:val="both"/>
              <w:rPr>
                <w:rFonts w:ascii="Times New Roman" w:hAnsi="Times New Roman" w:cs="Times New Roman"/>
                <w:sz w:val="20"/>
                <w:szCs w:val="20"/>
              </w:rPr>
            </w:pPr>
          </w:p>
          <w:p w14:paraId="1F0A9559" w14:textId="151D9D14" w:rsidR="005702E9" w:rsidRPr="000915D0" w:rsidRDefault="005702E9" w:rsidP="00240518">
            <w:pPr>
              <w:spacing w:after="0"/>
              <w:jc w:val="both"/>
              <w:rPr>
                <w:rFonts w:ascii="Times New Roman" w:hAnsi="Times New Roman" w:cs="Times New Roman"/>
                <w:sz w:val="20"/>
                <w:szCs w:val="20"/>
              </w:rPr>
            </w:pPr>
            <w:r w:rsidRPr="000915D0">
              <w:rPr>
                <w:rFonts w:ascii="Times New Roman" w:hAnsi="Times New Roman" w:cs="Times New Roman"/>
                <w:sz w:val="20"/>
                <w:szCs w:val="20"/>
                <w:u w:val="single"/>
              </w:rPr>
              <w:t>Proposition de Loi Bacon art. 6-9</w:t>
            </w:r>
          </w:p>
          <w:p w14:paraId="741037B1" w14:textId="77777777" w:rsidR="005702E9" w:rsidRPr="000915D0" w:rsidRDefault="005702E9" w:rsidP="00240518">
            <w:pPr>
              <w:spacing w:after="0"/>
              <w:jc w:val="both"/>
              <w:rPr>
                <w:rFonts w:ascii="Times New Roman" w:hAnsi="Times New Roman" w:cs="Times New Roman"/>
                <w:sz w:val="20"/>
                <w:szCs w:val="20"/>
              </w:rPr>
            </w:pPr>
          </w:p>
          <w:p w14:paraId="2D3582A1" w14:textId="77777777" w:rsidR="005702E9" w:rsidRPr="000915D0" w:rsidRDefault="005702E9" w:rsidP="00240518">
            <w:pPr>
              <w:spacing w:after="0"/>
              <w:jc w:val="both"/>
              <w:rPr>
                <w:rFonts w:ascii="Times New Roman" w:hAnsi="Times New Roman" w:cs="Times New Roman"/>
                <w:sz w:val="20"/>
                <w:szCs w:val="20"/>
              </w:rPr>
            </w:pPr>
            <w:r w:rsidRPr="000915D0">
              <w:rPr>
                <w:rFonts w:ascii="Times New Roman" w:hAnsi="Times New Roman" w:cs="Times New Roman"/>
                <w:sz w:val="20"/>
                <w:szCs w:val="20"/>
                <w:u w:val="single"/>
              </w:rPr>
              <w:t>Rapport Lasserre (p. 25)</w:t>
            </w:r>
            <w:r w:rsidRPr="000915D0">
              <w:rPr>
                <w:rFonts w:ascii="Times New Roman" w:eastAsia="Segoe UI Emoji" w:hAnsi="Times New Roman" w:cs="Times New Roman"/>
                <w:sz w:val="20"/>
                <w:szCs w:val="20"/>
              </w:rPr>
              <w:t> : « Voici l’idée de base : le travail étant, dans la production, un facteur au moins aussi important que le capital, il n’est pas juste que celui-ci possède seul la souveraineté de l’entreprise. Cette-ci doit être partagée, et le travail devenir l’associé du capital dans l’entreprise. Le capital doit céder au travail une fraction de ses prérogatives »</w:t>
            </w:r>
          </w:p>
        </w:tc>
      </w:tr>
      <w:tr w:rsidR="005702E9" w:rsidRPr="000915D0" w14:paraId="2AEAD1EE" w14:textId="77777777" w:rsidTr="005C309F">
        <w:tc>
          <w:tcPr>
            <w:tcW w:w="1785" w:type="dxa"/>
            <w:vMerge w:val="restart"/>
            <w:tcBorders>
              <w:top w:val="single" w:sz="4" w:space="0" w:color="auto"/>
              <w:left w:val="single" w:sz="4" w:space="0" w:color="auto"/>
              <w:right w:val="single" w:sz="4" w:space="0" w:color="auto"/>
            </w:tcBorders>
          </w:tcPr>
          <w:p w14:paraId="09367A6B" w14:textId="77777777" w:rsidR="005702E9" w:rsidRPr="000915D0" w:rsidRDefault="005702E9" w:rsidP="005A2601">
            <w:pPr>
              <w:spacing w:after="0"/>
              <w:jc w:val="center"/>
              <w:rPr>
                <w:rFonts w:ascii="Times New Roman" w:hAnsi="Times New Roman" w:cs="Times New Roman"/>
                <w:b/>
                <w:bCs/>
                <w:smallCaps/>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hideMark/>
          </w:tcPr>
          <w:p w14:paraId="0A0305F5" w14:textId="001B52D4"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1973-1975</w:t>
            </w:r>
          </w:p>
        </w:tc>
        <w:tc>
          <w:tcPr>
            <w:tcW w:w="1607" w:type="dxa"/>
            <w:tcBorders>
              <w:top w:val="single" w:sz="4" w:space="0" w:color="auto"/>
              <w:left w:val="single" w:sz="4" w:space="0" w:color="auto"/>
              <w:bottom w:val="single" w:sz="4" w:space="0" w:color="auto"/>
              <w:right w:val="single" w:sz="4" w:space="0" w:color="auto"/>
            </w:tcBorders>
            <w:vAlign w:val="center"/>
            <w:hideMark/>
          </w:tcPr>
          <w:p w14:paraId="31084C7D"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Comité et rapport Sudreau</w:t>
            </w:r>
          </w:p>
        </w:tc>
        <w:tc>
          <w:tcPr>
            <w:tcW w:w="1546" w:type="dxa"/>
            <w:tcBorders>
              <w:top w:val="single" w:sz="4" w:space="0" w:color="auto"/>
              <w:left w:val="single" w:sz="4" w:space="0" w:color="auto"/>
              <w:bottom w:val="single" w:sz="4" w:space="0" w:color="auto"/>
              <w:right w:val="single" w:sz="4" w:space="0" w:color="auto"/>
            </w:tcBorders>
            <w:vAlign w:val="center"/>
            <w:hideMark/>
          </w:tcPr>
          <w:p w14:paraId="266B3200"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Giscard</w:t>
            </w:r>
          </w:p>
          <w:p w14:paraId="7969F4A0"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Sudreau</w:t>
            </w:r>
          </w:p>
          <w:p w14:paraId="70DA9B07"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CFDT</w:t>
            </w:r>
          </w:p>
        </w:tc>
        <w:tc>
          <w:tcPr>
            <w:tcW w:w="8844" w:type="dxa"/>
            <w:tcBorders>
              <w:top w:val="single" w:sz="4" w:space="0" w:color="auto"/>
              <w:left w:val="single" w:sz="4" w:space="0" w:color="auto"/>
              <w:bottom w:val="single" w:sz="4" w:space="0" w:color="auto"/>
              <w:right w:val="single" w:sz="4" w:space="0" w:color="auto"/>
            </w:tcBorders>
            <w:hideMark/>
          </w:tcPr>
          <w:p w14:paraId="0D7A53F5" w14:textId="77777777" w:rsidR="005702E9" w:rsidRPr="000915D0" w:rsidRDefault="005702E9" w:rsidP="00240518">
            <w:pPr>
              <w:spacing w:after="0"/>
              <w:jc w:val="both"/>
              <w:rPr>
                <w:rFonts w:ascii="Times New Roman" w:hAnsi="Times New Roman" w:cs="Times New Roman"/>
                <w:sz w:val="20"/>
                <w:szCs w:val="20"/>
              </w:rPr>
            </w:pPr>
            <w:r w:rsidRPr="000915D0">
              <w:rPr>
                <w:rFonts w:ascii="Times New Roman" w:hAnsi="Times New Roman" w:cs="Times New Roman"/>
                <w:sz w:val="20"/>
                <w:szCs w:val="20"/>
              </w:rPr>
              <w:t xml:space="preserve">Proposition 12 du rapport </w:t>
            </w:r>
            <w:proofErr w:type="gramStart"/>
            <w:r w:rsidRPr="000915D0">
              <w:rPr>
                <w:rFonts w:ascii="Times New Roman" w:hAnsi="Times New Roman" w:cs="Times New Roman"/>
                <w:sz w:val="20"/>
                <w:szCs w:val="20"/>
              </w:rPr>
              <w:t>Sudreau:</w:t>
            </w:r>
            <w:proofErr w:type="gramEnd"/>
            <w:r w:rsidRPr="000915D0">
              <w:rPr>
                <w:rFonts w:ascii="Times New Roman" w:hAnsi="Times New Roman" w:cs="Times New Roman"/>
                <w:sz w:val="20"/>
                <w:szCs w:val="20"/>
              </w:rPr>
              <w:t xml:space="preserve"> </w:t>
            </w:r>
          </w:p>
          <w:p w14:paraId="28F38D96" w14:textId="6FB224EF" w:rsidR="005702E9" w:rsidRPr="000915D0" w:rsidRDefault="005702E9" w:rsidP="00240518">
            <w:pPr>
              <w:spacing w:after="0"/>
              <w:jc w:val="both"/>
              <w:rPr>
                <w:rFonts w:ascii="Times New Roman" w:hAnsi="Times New Roman" w:cs="Times New Roman"/>
                <w:sz w:val="20"/>
                <w:szCs w:val="20"/>
              </w:rPr>
            </w:pPr>
            <w:r w:rsidRPr="000915D0">
              <w:rPr>
                <w:rFonts w:ascii="Times New Roman" w:hAnsi="Times New Roman" w:cs="Times New Roman"/>
                <w:sz w:val="20"/>
                <w:szCs w:val="20"/>
              </w:rPr>
              <w:t>« Ouvrir une nouvelle voie de participation : la cosurveillance. </w:t>
            </w:r>
          </w:p>
          <w:p w14:paraId="228B7415" w14:textId="7DE13E11" w:rsidR="005702E9" w:rsidRPr="000915D0" w:rsidRDefault="005702E9" w:rsidP="00240518">
            <w:pPr>
              <w:spacing w:after="0"/>
              <w:jc w:val="both"/>
              <w:rPr>
                <w:rFonts w:ascii="Times New Roman" w:hAnsi="Times New Roman" w:cs="Times New Roman"/>
                <w:sz w:val="20"/>
                <w:szCs w:val="20"/>
              </w:rPr>
            </w:pPr>
            <w:r w:rsidRPr="000915D0">
              <w:rPr>
                <w:rFonts w:ascii="Times New Roman" w:hAnsi="Times New Roman" w:cs="Times New Roman"/>
                <w:sz w:val="20"/>
                <w:szCs w:val="20"/>
              </w:rPr>
              <w:t>Prendre des mesures nécessaires pour autoriser la représentation des salariés dans les conseils d’administration et de surveillance des sociétés qui le souhaitent. Susciter un débat public sur la possibilité d’introduire, à titre obligatoire et dans la proportion du tiers, des représentants des salariés dans les conseils d’administration et de surveillance des sociétés d’une certaine importance. Détermination du délai approprié et du mode de désignation</w:t>
            </w:r>
            <w:r w:rsidR="00A0566D" w:rsidRPr="000915D0">
              <w:rPr>
                <w:rFonts w:ascii="Times New Roman" w:hAnsi="Times New Roman" w:cs="Times New Roman"/>
                <w:sz w:val="20"/>
                <w:szCs w:val="20"/>
              </w:rPr>
              <w:t>. »</w:t>
            </w:r>
          </w:p>
        </w:tc>
      </w:tr>
      <w:tr w:rsidR="005702E9" w:rsidRPr="000915D0" w14:paraId="617BFA3D" w14:textId="77777777" w:rsidTr="005C309F">
        <w:tc>
          <w:tcPr>
            <w:tcW w:w="1785" w:type="dxa"/>
            <w:vMerge/>
            <w:tcBorders>
              <w:left w:val="single" w:sz="4" w:space="0" w:color="auto"/>
              <w:right w:val="single" w:sz="4" w:space="0" w:color="auto"/>
            </w:tcBorders>
          </w:tcPr>
          <w:p w14:paraId="0D8460D2" w14:textId="77777777" w:rsidR="005702E9" w:rsidRPr="000915D0" w:rsidRDefault="005702E9" w:rsidP="00240518">
            <w:pPr>
              <w:spacing w:after="0"/>
              <w:jc w:val="both"/>
              <w:rPr>
                <w:rFonts w:ascii="Times New Roman" w:hAnsi="Times New Roman" w:cs="Times New Roman"/>
                <w:b/>
                <w:bCs/>
                <w:smallCaps/>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hideMark/>
          </w:tcPr>
          <w:p w14:paraId="2A830519"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1982-1983 et 1994</w:t>
            </w:r>
          </w:p>
        </w:tc>
        <w:tc>
          <w:tcPr>
            <w:tcW w:w="1607" w:type="dxa"/>
            <w:tcBorders>
              <w:top w:val="single" w:sz="4" w:space="0" w:color="auto"/>
              <w:left w:val="single" w:sz="4" w:space="0" w:color="auto"/>
              <w:bottom w:val="single" w:sz="4" w:space="0" w:color="auto"/>
              <w:right w:val="single" w:sz="4" w:space="0" w:color="auto"/>
            </w:tcBorders>
            <w:vAlign w:val="center"/>
            <w:hideMark/>
          </w:tcPr>
          <w:p w14:paraId="7F675B62"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Lois Auroux</w:t>
            </w:r>
          </w:p>
          <w:p w14:paraId="3B29AD7F"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Tournant de la rigueur</w:t>
            </w:r>
          </w:p>
          <w:p w14:paraId="48F1B462"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Loi de 1983 complétée ensuite par la loi Giraud 1994 (pour les anciennes entreprises publiques)</w:t>
            </w:r>
          </w:p>
        </w:tc>
        <w:tc>
          <w:tcPr>
            <w:tcW w:w="1546" w:type="dxa"/>
            <w:tcBorders>
              <w:top w:val="single" w:sz="4" w:space="0" w:color="auto"/>
              <w:left w:val="single" w:sz="4" w:space="0" w:color="auto"/>
              <w:bottom w:val="single" w:sz="4" w:space="0" w:color="auto"/>
              <w:right w:val="single" w:sz="4" w:space="0" w:color="auto"/>
            </w:tcBorders>
            <w:vAlign w:val="center"/>
          </w:tcPr>
          <w:p w14:paraId="4C2660FC" w14:textId="77777777" w:rsidR="0092023B" w:rsidRPr="000915D0" w:rsidRDefault="005702E9" w:rsidP="0026205F">
            <w:pPr>
              <w:spacing w:after="0"/>
              <w:jc w:val="center"/>
              <w:rPr>
                <w:rFonts w:ascii="Times New Roman" w:hAnsi="Times New Roman" w:cs="Times New Roman"/>
                <w:sz w:val="20"/>
                <w:szCs w:val="20"/>
              </w:rPr>
            </w:pPr>
            <w:r w:rsidRPr="000915D0">
              <w:rPr>
                <w:rFonts w:ascii="Times New Roman" w:hAnsi="Times New Roman" w:cs="Times New Roman"/>
                <w:sz w:val="20"/>
                <w:szCs w:val="20"/>
              </w:rPr>
              <w:t>Bloch-Lainé</w:t>
            </w:r>
          </w:p>
          <w:p w14:paraId="7503CB61" w14:textId="4AFC861D" w:rsidR="0092023B" w:rsidRPr="000915D0" w:rsidRDefault="005702E9" w:rsidP="0026205F">
            <w:pPr>
              <w:spacing w:after="0"/>
              <w:jc w:val="center"/>
              <w:rPr>
                <w:rFonts w:ascii="Times New Roman" w:hAnsi="Times New Roman" w:cs="Times New Roman"/>
                <w:sz w:val="20"/>
                <w:szCs w:val="20"/>
              </w:rPr>
            </w:pPr>
            <w:r w:rsidRPr="000915D0">
              <w:rPr>
                <w:rFonts w:ascii="Times New Roman" w:hAnsi="Times New Roman" w:cs="Times New Roman"/>
                <w:sz w:val="20"/>
                <w:szCs w:val="20"/>
              </w:rPr>
              <w:t>Auroux</w:t>
            </w:r>
          </w:p>
          <w:p w14:paraId="7BA1E5DF" w14:textId="54B1E8EA"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Aubry</w:t>
            </w:r>
          </w:p>
          <w:p w14:paraId="74E16232" w14:textId="589D833A"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Giraud</w:t>
            </w:r>
          </w:p>
        </w:tc>
        <w:tc>
          <w:tcPr>
            <w:tcW w:w="8844" w:type="dxa"/>
            <w:tcBorders>
              <w:top w:val="single" w:sz="4" w:space="0" w:color="auto"/>
              <w:left w:val="single" w:sz="4" w:space="0" w:color="auto"/>
              <w:bottom w:val="single" w:sz="4" w:space="0" w:color="auto"/>
              <w:right w:val="single" w:sz="4" w:space="0" w:color="auto"/>
            </w:tcBorders>
          </w:tcPr>
          <w:p w14:paraId="1EF3DAFB" w14:textId="35665A21" w:rsidR="005702E9" w:rsidRPr="000915D0" w:rsidRDefault="005702E9" w:rsidP="00240518">
            <w:pPr>
              <w:spacing w:after="0"/>
              <w:rPr>
                <w:rFonts w:ascii="Times New Roman" w:hAnsi="Times New Roman" w:cs="Times New Roman"/>
                <w:sz w:val="20"/>
                <w:szCs w:val="20"/>
              </w:rPr>
            </w:pPr>
            <w:r w:rsidRPr="000915D0">
              <w:rPr>
                <w:rFonts w:ascii="Times New Roman" w:hAnsi="Times New Roman" w:cs="Times New Roman"/>
                <w:sz w:val="20"/>
                <w:szCs w:val="20"/>
              </w:rPr>
              <w:t>Citoyenneté dans l’entreprise et reconnaissance du fait syndical.</w:t>
            </w:r>
          </w:p>
          <w:p w14:paraId="05811094" w14:textId="40E7F144" w:rsidR="005702E9" w:rsidRPr="000915D0" w:rsidRDefault="005702E9" w:rsidP="00240518">
            <w:pPr>
              <w:spacing w:after="0"/>
              <w:rPr>
                <w:rFonts w:ascii="Times New Roman" w:hAnsi="Times New Roman" w:cs="Times New Roman"/>
                <w:sz w:val="20"/>
                <w:szCs w:val="20"/>
              </w:rPr>
            </w:pPr>
            <w:r w:rsidRPr="000915D0">
              <w:rPr>
                <w:rFonts w:ascii="Times New Roman" w:hAnsi="Times New Roman" w:cs="Times New Roman"/>
                <w:sz w:val="20"/>
                <w:szCs w:val="20"/>
              </w:rPr>
              <w:t>Présence d’administrateurs représentants les salariés dans les entreprises publiques.</w:t>
            </w:r>
          </w:p>
        </w:tc>
      </w:tr>
      <w:tr w:rsidR="005702E9" w:rsidRPr="000915D0" w14:paraId="6FFD65FF" w14:textId="77777777" w:rsidTr="005C309F">
        <w:tc>
          <w:tcPr>
            <w:tcW w:w="1785" w:type="dxa"/>
            <w:vMerge/>
            <w:tcBorders>
              <w:left w:val="single" w:sz="4" w:space="0" w:color="auto"/>
              <w:right w:val="single" w:sz="4" w:space="0" w:color="auto"/>
            </w:tcBorders>
          </w:tcPr>
          <w:p w14:paraId="6C3BD744" w14:textId="77777777" w:rsidR="005702E9" w:rsidRPr="000915D0" w:rsidRDefault="005702E9" w:rsidP="00240518">
            <w:pPr>
              <w:spacing w:after="0"/>
              <w:jc w:val="both"/>
              <w:rPr>
                <w:rFonts w:ascii="Times New Roman" w:hAnsi="Times New Roman" w:cs="Times New Roman"/>
                <w:b/>
                <w:bCs/>
                <w:smallCaps/>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hideMark/>
          </w:tcPr>
          <w:p w14:paraId="4EBE3520"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2001</w:t>
            </w:r>
          </w:p>
        </w:tc>
        <w:tc>
          <w:tcPr>
            <w:tcW w:w="1607" w:type="dxa"/>
            <w:tcBorders>
              <w:top w:val="single" w:sz="4" w:space="0" w:color="auto"/>
              <w:left w:val="single" w:sz="4" w:space="0" w:color="auto"/>
              <w:bottom w:val="single" w:sz="4" w:space="0" w:color="auto"/>
              <w:right w:val="single" w:sz="4" w:space="0" w:color="auto"/>
            </w:tcBorders>
            <w:vAlign w:val="center"/>
            <w:hideMark/>
          </w:tcPr>
          <w:p w14:paraId="7208FC57"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Loi Fabius sur l’épargne salariale</w:t>
            </w:r>
          </w:p>
        </w:tc>
        <w:tc>
          <w:tcPr>
            <w:tcW w:w="1546" w:type="dxa"/>
            <w:tcBorders>
              <w:top w:val="single" w:sz="4" w:space="0" w:color="auto"/>
              <w:left w:val="single" w:sz="4" w:space="0" w:color="auto"/>
              <w:bottom w:val="single" w:sz="4" w:space="0" w:color="auto"/>
              <w:right w:val="single" w:sz="4" w:space="0" w:color="auto"/>
            </w:tcBorders>
            <w:vAlign w:val="center"/>
            <w:hideMark/>
          </w:tcPr>
          <w:p w14:paraId="5DC58F23" w14:textId="41F835C1"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 xml:space="preserve">Jospin </w:t>
            </w:r>
          </w:p>
        </w:tc>
        <w:tc>
          <w:tcPr>
            <w:tcW w:w="8844" w:type="dxa"/>
            <w:tcBorders>
              <w:top w:val="single" w:sz="4" w:space="0" w:color="auto"/>
              <w:left w:val="single" w:sz="4" w:space="0" w:color="auto"/>
              <w:bottom w:val="single" w:sz="4" w:space="0" w:color="auto"/>
              <w:right w:val="single" w:sz="4" w:space="0" w:color="auto"/>
            </w:tcBorders>
            <w:hideMark/>
          </w:tcPr>
          <w:p w14:paraId="7F112387" w14:textId="17BFF464" w:rsidR="005702E9" w:rsidRPr="000915D0" w:rsidRDefault="005702E9" w:rsidP="00240518">
            <w:pPr>
              <w:spacing w:after="0"/>
              <w:rPr>
                <w:rFonts w:ascii="Times New Roman" w:hAnsi="Times New Roman" w:cs="Times New Roman"/>
                <w:sz w:val="20"/>
                <w:szCs w:val="20"/>
              </w:rPr>
            </w:pPr>
            <w:r w:rsidRPr="000915D0">
              <w:rPr>
                <w:rFonts w:ascii="Times New Roman" w:hAnsi="Times New Roman" w:cs="Times New Roman"/>
                <w:sz w:val="20"/>
                <w:szCs w:val="20"/>
              </w:rPr>
              <w:t>Présence (non obligatoire) d’un administrateur représentant les actionnaires salariés dès lors qu’ils détiennent plus de 3% du capital des entreprises cotées.</w:t>
            </w:r>
          </w:p>
        </w:tc>
      </w:tr>
      <w:tr w:rsidR="005702E9" w:rsidRPr="000915D0" w14:paraId="27F33017" w14:textId="77777777" w:rsidTr="005C309F">
        <w:tc>
          <w:tcPr>
            <w:tcW w:w="1785" w:type="dxa"/>
            <w:vMerge/>
            <w:tcBorders>
              <w:left w:val="single" w:sz="4" w:space="0" w:color="auto"/>
              <w:right w:val="single" w:sz="4" w:space="0" w:color="auto"/>
            </w:tcBorders>
          </w:tcPr>
          <w:p w14:paraId="673EE9A3" w14:textId="77777777" w:rsidR="005702E9" w:rsidRPr="000915D0" w:rsidRDefault="005702E9" w:rsidP="00240518">
            <w:pPr>
              <w:spacing w:after="0"/>
              <w:jc w:val="both"/>
              <w:rPr>
                <w:rFonts w:ascii="Times New Roman" w:hAnsi="Times New Roman" w:cs="Times New Roman"/>
                <w:b/>
                <w:bCs/>
                <w:smallCaps/>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hideMark/>
          </w:tcPr>
          <w:p w14:paraId="7395F1BF"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2006</w:t>
            </w:r>
          </w:p>
        </w:tc>
        <w:tc>
          <w:tcPr>
            <w:tcW w:w="1607" w:type="dxa"/>
            <w:tcBorders>
              <w:top w:val="single" w:sz="4" w:space="0" w:color="auto"/>
              <w:left w:val="single" w:sz="4" w:space="0" w:color="auto"/>
              <w:bottom w:val="single" w:sz="4" w:space="0" w:color="auto"/>
              <w:right w:val="single" w:sz="4" w:space="0" w:color="auto"/>
            </w:tcBorders>
            <w:vAlign w:val="center"/>
            <w:hideMark/>
          </w:tcPr>
          <w:p w14:paraId="5386E731" w14:textId="7A9C2CE0" w:rsidR="0092023B" w:rsidRPr="000915D0" w:rsidRDefault="0092023B" w:rsidP="0026205F">
            <w:pPr>
              <w:spacing w:after="0"/>
              <w:jc w:val="center"/>
              <w:rPr>
                <w:rFonts w:ascii="Times New Roman" w:hAnsi="Times New Roman" w:cs="Times New Roman"/>
                <w:sz w:val="20"/>
                <w:szCs w:val="20"/>
              </w:rPr>
            </w:pPr>
            <w:r w:rsidRPr="000915D0">
              <w:rPr>
                <w:rFonts w:ascii="Times New Roman" w:hAnsi="Times New Roman" w:cs="Times New Roman"/>
                <w:sz w:val="20"/>
                <w:szCs w:val="20"/>
              </w:rPr>
              <w:t>Rapport Godfrain Cornut Gentielle</w:t>
            </w:r>
          </w:p>
          <w:p w14:paraId="262C08AE" w14:textId="77777777" w:rsidR="0092023B" w:rsidRPr="000915D0" w:rsidRDefault="0092023B" w:rsidP="0026205F">
            <w:pPr>
              <w:spacing w:after="0"/>
              <w:jc w:val="center"/>
              <w:rPr>
                <w:rFonts w:ascii="Times New Roman" w:hAnsi="Times New Roman" w:cs="Times New Roman"/>
                <w:sz w:val="20"/>
                <w:szCs w:val="20"/>
              </w:rPr>
            </w:pPr>
          </w:p>
          <w:p w14:paraId="5A681CEE" w14:textId="09EB6270"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Loi Breton sur le développement de l’actionnariat salarié et de la participation</w:t>
            </w:r>
          </w:p>
        </w:tc>
        <w:tc>
          <w:tcPr>
            <w:tcW w:w="1546" w:type="dxa"/>
            <w:tcBorders>
              <w:top w:val="single" w:sz="4" w:space="0" w:color="auto"/>
              <w:left w:val="single" w:sz="4" w:space="0" w:color="auto"/>
              <w:bottom w:val="single" w:sz="4" w:space="0" w:color="auto"/>
              <w:right w:val="single" w:sz="4" w:space="0" w:color="auto"/>
            </w:tcBorders>
            <w:vAlign w:val="center"/>
            <w:hideMark/>
          </w:tcPr>
          <w:p w14:paraId="672AA9B4" w14:textId="4C5A54FC"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 xml:space="preserve">Chirac </w:t>
            </w:r>
          </w:p>
        </w:tc>
        <w:tc>
          <w:tcPr>
            <w:tcW w:w="8844" w:type="dxa"/>
            <w:tcBorders>
              <w:top w:val="single" w:sz="4" w:space="0" w:color="auto"/>
              <w:left w:val="single" w:sz="4" w:space="0" w:color="auto"/>
              <w:bottom w:val="single" w:sz="4" w:space="0" w:color="auto"/>
              <w:right w:val="single" w:sz="4" w:space="0" w:color="auto"/>
            </w:tcBorders>
            <w:hideMark/>
          </w:tcPr>
          <w:p w14:paraId="6ABD5706" w14:textId="77777777" w:rsidR="005702E9" w:rsidRPr="000915D0" w:rsidRDefault="005702E9" w:rsidP="00240518">
            <w:pPr>
              <w:spacing w:after="0"/>
              <w:rPr>
                <w:rFonts w:ascii="Times New Roman" w:hAnsi="Times New Roman" w:cs="Times New Roman"/>
                <w:sz w:val="20"/>
                <w:szCs w:val="20"/>
              </w:rPr>
            </w:pPr>
            <w:r w:rsidRPr="000915D0">
              <w:rPr>
                <w:rFonts w:ascii="Times New Roman" w:hAnsi="Times New Roman" w:cs="Times New Roman"/>
                <w:sz w:val="20"/>
                <w:szCs w:val="20"/>
              </w:rPr>
              <w:t>Présence (obligatoire cette fois) d’un administrateur représentant les actionnaires salariés dès lors qu’ils détiennent plus de 3% du capital des entreprises cotées.</w:t>
            </w:r>
          </w:p>
        </w:tc>
      </w:tr>
      <w:tr w:rsidR="005702E9" w:rsidRPr="000915D0" w14:paraId="224A9F33" w14:textId="77777777" w:rsidTr="005C309F">
        <w:tc>
          <w:tcPr>
            <w:tcW w:w="1785" w:type="dxa"/>
            <w:vMerge/>
            <w:tcBorders>
              <w:left w:val="single" w:sz="4" w:space="0" w:color="auto"/>
              <w:right w:val="single" w:sz="4" w:space="0" w:color="auto"/>
            </w:tcBorders>
          </w:tcPr>
          <w:p w14:paraId="3788B899" w14:textId="77777777" w:rsidR="005702E9" w:rsidRPr="000915D0" w:rsidRDefault="005702E9" w:rsidP="00240518">
            <w:pPr>
              <w:spacing w:after="0"/>
              <w:jc w:val="both"/>
              <w:rPr>
                <w:rFonts w:ascii="Times New Roman" w:hAnsi="Times New Roman" w:cs="Times New Roman"/>
                <w:b/>
                <w:bCs/>
                <w:smallCaps/>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hideMark/>
          </w:tcPr>
          <w:p w14:paraId="131EA20C"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2012</w:t>
            </w:r>
          </w:p>
        </w:tc>
        <w:tc>
          <w:tcPr>
            <w:tcW w:w="1607" w:type="dxa"/>
            <w:tcBorders>
              <w:top w:val="single" w:sz="4" w:space="0" w:color="auto"/>
              <w:left w:val="single" w:sz="4" w:space="0" w:color="auto"/>
              <w:bottom w:val="single" w:sz="4" w:space="0" w:color="auto"/>
              <w:right w:val="single" w:sz="4" w:space="0" w:color="auto"/>
            </w:tcBorders>
            <w:vAlign w:val="center"/>
            <w:hideMark/>
          </w:tcPr>
          <w:p w14:paraId="193B5F62"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Rapport Gallois</w:t>
            </w:r>
          </w:p>
        </w:tc>
        <w:tc>
          <w:tcPr>
            <w:tcW w:w="1546" w:type="dxa"/>
            <w:tcBorders>
              <w:top w:val="single" w:sz="4" w:space="0" w:color="auto"/>
              <w:left w:val="single" w:sz="4" w:space="0" w:color="auto"/>
              <w:bottom w:val="single" w:sz="4" w:space="0" w:color="auto"/>
              <w:right w:val="single" w:sz="4" w:space="0" w:color="auto"/>
            </w:tcBorders>
            <w:vAlign w:val="center"/>
          </w:tcPr>
          <w:p w14:paraId="15C6EED9" w14:textId="13DB2690" w:rsidR="005702E9" w:rsidRPr="000915D0" w:rsidRDefault="00DD368E"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Gallois</w:t>
            </w:r>
          </w:p>
        </w:tc>
        <w:tc>
          <w:tcPr>
            <w:tcW w:w="8844" w:type="dxa"/>
            <w:tcBorders>
              <w:top w:val="single" w:sz="4" w:space="0" w:color="auto"/>
              <w:left w:val="single" w:sz="4" w:space="0" w:color="auto"/>
              <w:bottom w:val="single" w:sz="4" w:space="0" w:color="auto"/>
              <w:right w:val="single" w:sz="4" w:space="0" w:color="auto"/>
            </w:tcBorders>
            <w:hideMark/>
          </w:tcPr>
          <w:p w14:paraId="0BC5AFCF" w14:textId="77777777" w:rsidR="005702E9" w:rsidRPr="000915D0" w:rsidRDefault="005702E9" w:rsidP="00240518">
            <w:pPr>
              <w:spacing w:after="0"/>
              <w:rPr>
                <w:rFonts w:ascii="Times New Roman" w:hAnsi="Times New Roman" w:cs="Times New Roman"/>
                <w:sz w:val="20"/>
                <w:szCs w:val="20"/>
              </w:rPr>
            </w:pPr>
            <w:r w:rsidRPr="000915D0">
              <w:rPr>
                <w:rFonts w:ascii="Times New Roman" w:hAnsi="Times New Roman" w:cs="Times New Roman"/>
                <w:sz w:val="20"/>
                <w:szCs w:val="20"/>
              </w:rPr>
              <w:t xml:space="preserve">p. </w:t>
            </w:r>
            <w:proofErr w:type="gramStart"/>
            <w:r w:rsidRPr="000915D0">
              <w:rPr>
                <w:rFonts w:ascii="Times New Roman" w:hAnsi="Times New Roman" w:cs="Times New Roman"/>
                <w:sz w:val="20"/>
                <w:szCs w:val="20"/>
              </w:rPr>
              <w:t>21:</w:t>
            </w:r>
            <w:proofErr w:type="gramEnd"/>
            <w:r w:rsidRPr="000915D0">
              <w:rPr>
                <w:rFonts w:ascii="Times New Roman" w:hAnsi="Times New Roman" w:cs="Times New Roman"/>
                <w:sz w:val="20"/>
                <w:szCs w:val="20"/>
              </w:rPr>
              <w:t xml:space="preserve"> 2e proposition : introduire dans les Conseils d’Administration ou de Surveillance des entreprises de plus de 5 000 salariés, au moins 4 représentants des salariés, sans dépasser le tiers des membres, avec voix délibérative, y compris dans les comités des conseils.</w:t>
            </w:r>
          </w:p>
        </w:tc>
      </w:tr>
      <w:tr w:rsidR="005702E9" w:rsidRPr="000915D0" w14:paraId="50A225C5" w14:textId="77777777" w:rsidTr="005C309F">
        <w:tc>
          <w:tcPr>
            <w:tcW w:w="1785" w:type="dxa"/>
            <w:vMerge/>
            <w:tcBorders>
              <w:left w:val="single" w:sz="4" w:space="0" w:color="auto"/>
              <w:right w:val="single" w:sz="4" w:space="0" w:color="auto"/>
            </w:tcBorders>
          </w:tcPr>
          <w:p w14:paraId="23CA3993" w14:textId="77777777" w:rsidR="005702E9" w:rsidRPr="000915D0" w:rsidRDefault="005702E9" w:rsidP="00240518">
            <w:pPr>
              <w:spacing w:after="0"/>
              <w:jc w:val="both"/>
              <w:rPr>
                <w:rFonts w:ascii="Times New Roman" w:hAnsi="Times New Roman" w:cs="Times New Roman"/>
                <w:b/>
                <w:bCs/>
                <w:smallCaps/>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hideMark/>
          </w:tcPr>
          <w:p w14:paraId="200F9246"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2013</w:t>
            </w:r>
          </w:p>
        </w:tc>
        <w:tc>
          <w:tcPr>
            <w:tcW w:w="1607" w:type="dxa"/>
            <w:tcBorders>
              <w:top w:val="single" w:sz="4" w:space="0" w:color="auto"/>
              <w:left w:val="single" w:sz="4" w:space="0" w:color="auto"/>
              <w:bottom w:val="single" w:sz="4" w:space="0" w:color="auto"/>
              <w:right w:val="single" w:sz="4" w:space="0" w:color="auto"/>
            </w:tcBorders>
            <w:vAlign w:val="center"/>
            <w:hideMark/>
          </w:tcPr>
          <w:p w14:paraId="106B410E" w14:textId="46AF36CA"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Loi n° 2013-504 du 14 juin 2013 relative à la sécurisation de l’emploi.</w:t>
            </w:r>
          </w:p>
        </w:tc>
        <w:tc>
          <w:tcPr>
            <w:tcW w:w="1546" w:type="dxa"/>
            <w:tcBorders>
              <w:top w:val="single" w:sz="4" w:space="0" w:color="auto"/>
              <w:left w:val="single" w:sz="4" w:space="0" w:color="auto"/>
              <w:bottom w:val="single" w:sz="4" w:space="0" w:color="auto"/>
              <w:right w:val="single" w:sz="4" w:space="0" w:color="auto"/>
            </w:tcBorders>
            <w:vAlign w:val="center"/>
            <w:hideMark/>
          </w:tcPr>
          <w:p w14:paraId="7C0D4A83" w14:textId="4C837E3E" w:rsidR="00E53846" w:rsidRPr="000915D0" w:rsidRDefault="005702E9" w:rsidP="0026205F">
            <w:pPr>
              <w:spacing w:after="0"/>
              <w:jc w:val="center"/>
              <w:rPr>
                <w:rFonts w:ascii="Times New Roman" w:hAnsi="Times New Roman" w:cs="Times New Roman"/>
                <w:sz w:val="20"/>
                <w:szCs w:val="20"/>
              </w:rPr>
            </w:pPr>
            <w:r w:rsidRPr="000915D0">
              <w:rPr>
                <w:rFonts w:ascii="Times New Roman" w:hAnsi="Times New Roman" w:cs="Times New Roman"/>
                <w:sz w:val="20"/>
                <w:szCs w:val="20"/>
              </w:rPr>
              <w:t>Hollande</w:t>
            </w:r>
          </w:p>
          <w:p w14:paraId="7DAB5D58" w14:textId="663D3262"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 xml:space="preserve">Ayrault </w:t>
            </w:r>
          </w:p>
        </w:tc>
        <w:tc>
          <w:tcPr>
            <w:tcW w:w="8844" w:type="dxa"/>
            <w:tcBorders>
              <w:top w:val="single" w:sz="4" w:space="0" w:color="auto"/>
              <w:left w:val="single" w:sz="4" w:space="0" w:color="auto"/>
              <w:bottom w:val="single" w:sz="4" w:space="0" w:color="auto"/>
              <w:right w:val="single" w:sz="4" w:space="0" w:color="auto"/>
            </w:tcBorders>
            <w:hideMark/>
          </w:tcPr>
          <w:p w14:paraId="32290011" w14:textId="122790ED" w:rsidR="005702E9" w:rsidRPr="000915D0" w:rsidRDefault="005702E9" w:rsidP="00240518">
            <w:pPr>
              <w:spacing w:after="0"/>
              <w:rPr>
                <w:rFonts w:ascii="Times New Roman" w:hAnsi="Times New Roman" w:cs="Times New Roman"/>
                <w:sz w:val="20"/>
                <w:szCs w:val="20"/>
              </w:rPr>
            </w:pPr>
            <w:r w:rsidRPr="000915D0">
              <w:rPr>
                <w:rFonts w:ascii="Times New Roman" w:hAnsi="Times New Roman" w:cs="Times New Roman"/>
                <w:sz w:val="20"/>
                <w:szCs w:val="20"/>
              </w:rPr>
              <w:t xml:space="preserve">Un conseil composé de plus de 12 administrateurs devra nommer 2 </w:t>
            </w:r>
            <w:proofErr w:type="gramStart"/>
            <w:r w:rsidR="00F04641" w:rsidRPr="000915D0">
              <w:rPr>
                <w:rFonts w:ascii="Times New Roman" w:hAnsi="Times New Roman" w:cs="Times New Roman"/>
                <w:sz w:val="20"/>
                <w:szCs w:val="20"/>
              </w:rPr>
              <w:t>administrateur</w:t>
            </w:r>
            <w:proofErr w:type="gramEnd"/>
            <w:r w:rsidR="00F04641" w:rsidRPr="000915D0">
              <w:rPr>
                <w:rFonts w:ascii="Times New Roman" w:hAnsi="Times New Roman" w:cs="Times New Roman"/>
                <w:sz w:val="20"/>
                <w:szCs w:val="20"/>
              </w:rPr>
              <w:t xml:space="preserve"> représentant les salariés</w:t>
            </w:r>
            <w:r w:rsidRPr="000915D0">
              <w:rPr>
                <w:rFonts w:ascii="Times New Roman" w:hAnsi="Times New Roman" w:cs="Times New Roman"/>
                <w:sz w:val="20"/>
                <w:szCs w:val="20"/>
              </w:rPr>
              <w:t xml:space="preserve"> tandis qu’un conseil composé d’un nombre d’administrateurs inférieur ou égal à 12 ne devra en nommer qu’un</w:t>
            </w:r>
          </w:p>
          <w:p w14:paraId="69F452D5" w14:textId="77777777" w:rsidR="005702E9" w:rsidRPr="000915D0" w:rsidRDefault="005702E9" w:rsidP="00240518">
            <w:pPr>
              <w:spacing w:after="0"/>
              <w:rPr>
                <w:rFonts w:ascii="Times New Roman" w:hAnsi="Times New Roman" w:cs="Times New Roman"/>
                <w:sz w:val="20"/>
                <w:szCs w:val="20"/>
              </w:rPr>
            </w:pPr>
            <w:r w:rsidRPr="000915D0">
              <w:rPr>
                <w:rFonts w:ascii="Times New Roman" w:hAnsi="Times New Roman" w:cs="Times New Roman"/>
                <w:sz w:val="20"/>
                <w:szCs w:val="20"/>
              </w:rPr>
              <w:t>Seuils de désignation de 5000 salariés en France ou 10000 en France et à l’étranger</w:t>
            </w:r>
          </w:p>
        </w:tc>
      </w:tr>
      <w:tr w:rsidR="005702E9" w:rsidRPr="000915D0" w14:paraId="6702D298" w14:textId="77777777" w:rsidTr="005C309F">
        <w:tc>
          <w:tcPr>
            <w:tcW w:w="1785" w:type="dxa"/>
            <w:vMerge/>
            <w:tcBorders>
              <w:left w:val="single" w:sz="4" w:space="0" w:color="auto"/>
              <w:right w:val="single" w:sz="4" w:space="0" w:color="auto"/>
            </w:tcBorders>
          </w:tcPr>
          <w:p w14:paraId="778FD57F" w14:textId="77777777" w:rsidR="005702E9" w:rsidRPr="000915D0" w:rsidRDefault="005702E9" w:rsidP="00240518">
            <w:pPr>
              <w:spacing w:after="0"/>
              <w:jc w:val="both"/>
              <w:rPr>
                <w:rFonts w:ascii="Times New Roman" w:hAnsi="Times New Roman" w:cs="Times New Roman"/>
                <w:b/>
                <w:bCs/>
                <w:smallCaps/>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hideMark/>
          </w:tcPr>
          <w:p w14:paraId="63FE6EA8"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2015</w:t>
            </w:r>
          </w:p>
        </w:tc>
        <w:tc>
          <w:tcPr>
            <w:tcW w:w="1607" w:type="dxa"/>
            <w:tcBorders>
              <w:top w:val="single" w:sz="4" w:space="0" w:color="auto"/>
              <w:left w:val="single" w:sz="4" w:space="0" w:color="auto"/>
              <w:bottom w:val="single" w:sz="4" w:space="0" w:color="auto"/>
              <w:right w:val="single" w:sz="4" w:space="0" w:color="auto"/>
            </w:tcBorders>
            <w:vAlign w:val="center"/>
            <w:hideMark/>
          </w:tcPr>
          <w:p w14:paraId="32E8173F" w14:textId="54C2D29C"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 xml:space="preserve">Loi n° 2015-994 du 17 août 2015 relative au dialogue social et à l’emploi </w:t>
            </w:r>
          </w:p>
        </w:tc>
        <w:tc>
          <w:tcPr>
            <w:tcW w:w="1546" w:type="dxa"/>
            <w:tcBorders>
              <w:top w:val="single" w:sz="4" w:space="0" w:color="auto"/>
              <w:left w:val="single" w:sz="4" w:space="0" w:color="auto"/>
              <w:bottom w:val="single" w:sz="4" w:space="0" w:color="auto"/>
              <w:right w:val="single" w:sz="4" w:space="0" w:color="auto"/>
            </w:tcBorders>
            <w:vAlign w:val="center"/>
          </w:tcPr>
          <w:p w14:paraId="0CD09B2A" w14:textId="180B6FCB" w:rsidR="005702E9" w:rsidRPr="000915D0" w:rsidRDefault="00E53846"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Rebsamen</w:t>
            </w:r>
          </w:p>
        </w:tc>
        <w:tc>
          <w:tcPr>
            <w:tcW w:w="8844" w:type="dxa"/>
            <w:tcBorders>
              <w:top w:val="single" w:sz="4" w:space="0" w:color="auto"/>
              <w:left w:val="single" w:sz="4" w:space="0" w:color="auto"/>
              <w:bottom w:val="single" w:sz="4" w:space="0" w:color="auto"/>
              <w:right w:val="single" w:sz="4" w:space="0" w:color="auto"/>
            </w:tcBorders>
            <w:hideMark/>
          </w:tcPr>
          <w:p w14:paraId="39DD547A" w14:textId="77777777" w:rsidR="005702E9" w:rsidRPr="000915D0" w:rsidRDefault="005702E9" w:rsidP="00240518">
            <w:pPr>
              <w:spacing w:after="0"/>
              <w:rPr>
                <w:rFonts w:ascii="Times New Roman" w:hAnsi="Times New Roman" w:cs="Times New Roman"/>
                <w:sz w:val="20"/>
                <w:szCs w:val="20"/>
              </w:rPr>
            </w:pPr>
            <w:r w:rsidRPr="000915D0">
              <w:rPr>
                <w:rFonts w:ascii="Times New Roman" w:hAnsi="Times New Roman" w:cs="Times New Roman"/>
                <w:sz w:val="20"/>
                <w:szCs w:val="20"/>
              </w:rPr>
              <w:t>Abaissement des seuils de désignation à 1000 en France et 5000 en France et à l’étranger</w:t>
            </w:r>
          </w:p>
        </w:tc>
      </w:tr>
      <w:tr w:rsidR="005702E9" w:rsidRPr="000915D0" w14:paraId="45814226" w14:textId="77777777" w:rsidTr="005C309F">
        <w:tc>
          <w:tcPr>
            <w:tcW w:w="1785" w:type="dxa"/>
            <w:vMerge/>
            <w:tcBorders>
              <w:left w:val="single" w:sz="4" w:space="0" w:color="auto"/>
              <w:right w:val="single" w:sz="4" w:space="0" w:color="auto"/>
            </w:tcBorders>
          </w:tcPr>
          <w:p w14:paraId="72560042" w14:textId="77777777" w:rsidR="005702E9" w:rsidRPr="000915D0" w:rsidRDefault="005702E9" w:rsidP="00240518">
            <w:pPr>
              <w:spacing w:after="0"/>
              <w:jc w:val="both"/>
              <w:rPr>
                <w:rFonts w:ascii="Times New Roman" w:hAnsi="Times New Roman" w:cs="Times New Roman"/>
                <w:b/>
                <w:bCs/>
                <w:smallCaps/>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hideMark/>
          </w:tcPr>
          <w:p w14:paraId="6854EB85"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2018</w:t>
            </w:r>
          </w:p>
        </w:tc>
        <w:tc>
          <w:tcPr>
            <w:tcW w:w="1607" w:type="dxa"/>
            <w:tcBorders>
              <w:top w:val="single" w:sz="4" w:space="0" w:color="auto"/>
              <w:left w:val="single" w:sz="4" w:space="0" w:color="auto"/>
              <w:bottom w:val="single" w:sz="4" w:space="0" w:color="auto"/>
              <w:right w:val="single" w:sz="4" w:space="0" w:color="auto"/>
            </w:tcBorders>
            <w:vAlign w:val="center"/>
            <w:hideMark/>
          </w:tcPr>
          <w:p w14:paraId="1CDC3DC9"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Rapport Notat Senard</w:t>
            </w:r>
          </w:p>
        </w:tc>
        <w:tc>
          <w:tcPr>
            <w:tcW w:w="1546" w:type="dxa"/>
            <w:tcBorders>
              <w:top w:val="single" w:sz="4" w:space="0" w:color="auto"/>
              <w:left w:val="single" w:sz="4" w:space="0" w:color="auto"/>
              <w:bottom w:val="single" w:sz="4" w:space="0" w:color="auto"/>
              <w:right w:val="single" w:sz="4" w:space="0" w:color="auto"/>
            </w:tcBorders>
            <w:vAlign w:val="center"/>
            <w:hideMark/>
          </w:tcPr>
          <w:p w14:paraId="483B1426"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Notat</w:t>
            </w:r>
          </w:p>
          <w:p w14:paraId="1D80BE43"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Senard</w:t>
            </w:r>
          </w:p>
          <w:p w14:paraId="6F0FDC9D" w14:textId="725BBBCC" w:rsidR="005702E9" w:rsidRPr="000915D0" w:rsidRDefault="00DD368E"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 xml:space="preserve">Collège des </w:t>
            </w:r>
            <w:r w:rsidR="005702E9" w:rsidRPr="000915D0">
              <w:rPr>
                <w:rFonts w:ascii="Times New Roman" w:hAnsi="Times New Roman" w:cs="Times New Roman"/>
                <w:sz w:val="20"/>
                <w:szCs w:val="20"/>
              </w:rPr>
              <w:t>Bernardins</w:t>
            </w:r>
          </w:p>
        </w:tc>
        <w:tc>
          <w:tcPr>
            <w:tcW w:w="8844" w:type="dxa"/>
            <w:tcBorders>
              <w:top w:val="single" w:sz="4" w:space="0" w:color="auto"/>
              <w:left w:val="single" w:sz="4" w:space="0" w:color="auto"/>
              <w:bottom w:val="single" w:sz="4" w:space="0" w:color="auto"/>
              <w:right w:val="single" w:sz="4" w:space="0" w:color="auto"/>
            </w:tcBorders>
          </w:tcPr>
          <w:p w14:paraId="4E8F6FCA" w14:textId="77777777" w:rsidR="005702E9" w:rsidRPr="000915D0" w:rsidRDefault="005702E9" w:rsidP="00240518">
            <w:pPr>
              <w:spacing w:after="0"/>
              <w:rPr>
                <w:rFonts w:ascii="Times New Roman" w:hAnsi="Times New Roman" w:cs="Times New Roman"/>
                <w:sz w:val="20"/>
                <w:szCs w:val="20"/>
              </w:rPr>
            </w:pPr>
            <w:r w:rsidRPr="000915D0">
              <w:rPr>
                <w:rFonts w:ascii="Times New Roman" w:hAnsi="Times New Roman" w:cs="Times New Roman"/>
                <w:sz w:val="20"/>
                <w:szCs w:val="20"/>
              </w:rPr>
              <w:t xml:space="preserve">p. </w:t>
            </w:r>
            <w:proofErr w:type="gramStart"/>
            <w:r w:rsidRPr="000915D0">
              <w:rPr>
                <w:rFonts w:ascii="Times New Roman" w:hAnsi="Times New Roman" w:cs="Times New Roman"/>
                <w:sz w:val="20"/>
                <w:szCs w:val="20"/>
              </w:rPr>
              <w:t>7:</w:t>
            </w:r>
            <w:proofErr w:type="gramEnd"/>
            <w:r w:rsidRPr="000915D0">
              <w:rPr>
                <w:rFonts w:ascii="Times New Roman" w:hAnsi="Times New Roman" w:cs="Times New Roman"/>
                <w:sz w:val="20"/>
                <w:szCs w:val="20"/>
              </w:rPr>
              <w:t xml:space="preserve"> Recommandation n°6 : renforcer le nombre des administrateurs salariés dans les conseils d’administration ou de surveillance de plus de 1000 salariés partir de 2019, à deux salariés à partir de 8 administrateurs non-salariés et trois salariés à partir de 13 administrateurs non-salariés.</w:t>
            </w:r>
          </w:p>
          <w:p w14:paraId="6FC082DA" w14:textId="77777777" w:rsidR="005702E9" w:rsidRPr="000915D0" w:rsidRDefault="005702E9" w:rsidP="00240518">
            <w:pPr>
              <w:spacing w:after="0"/>
              <w:rPr>
                <w:rFonts w:ascii="Times New Roman" w:hAnsi="Times New Roman" w:cs="Times New Roman"/>
                <w:sz w:val="20"/>
                <w:szCs w:val="20"/>
              </w:rPr>
            </w:pPr>
            <w:r w:rsidRPr="000915D0">
              <w:rPr>
                <w:rFonts w:ascii="Times New Roman" w:hAnsi="Times New Roman" w:cs="Times New Roman"/>
                <w:sz w:val="20"/>
                <w:szCs w:val="20"/>
              </w:rPr>
              <w:t>Cette rédaction devra être déclinée dans les mutuelles, et si possible aux SAS dotées d’un conseil.</w:t>
            </w:r>
          </w:p>
          <w:p w14:paraId="4768E9AB" w14:textId="77777777" w:rsidR="005702E9" w:rsidRPr="000915D0" w:rsidRDefault="005702E9" w:rsidP="00240518">
            <w:pPr>
              <w:spacing w:after="0"/>
              <w:rPr>
                <w:rFonts w:ascii="Times New Roman" w:hAnsi="Times New Roman" w:cs="Times New Roman"/>
                <w:sz w:val="20"/>
                <w:szCs w:val="20"/>
              </w:rPr>
            </w:pPr>
            <w:r w:rsidRPr="000915D0">
              <w:rPr>
                <w:rFonts w:ascii="Times New Roman" w:hAnsi="Times New Roman" w:cs="Times New Roman"/>
                <w:sz w:val="20"/>
                <w:szCs w:val="20"/>
              </w:rPr>
              <w:t>Recommandation n°7 : faire le point sur la représentation des salariés dans les conseils par une mission tirant les enseignements de 12 ou 24 mois de pratique, avant d’envisager de l’étendre aux sociétés de 500 à 1000 salariés, ou d’augmenter la proportion des administrateurs salariés aux conseils.</w:t>
            </w:r>
          </w:p>
        </w:tc>
      </w:tr>
      <w:tr w:rsidR="005702E9" w:rsidRPr="000915D0" w14:paraId="72C3CC28" w14:textId="77777777" w:rsidTr="005C309F">
        <w:tc>
          <w:tcPr>
            <w:tcW w:w="1785" w:type="dxa"/>
            <w:vMerge/>
            <w:tcBorders>
              <w:left w:val="single" w:sz="4" w:space="0" w:color="auto"/>
              <w:bottom w:val="single" w:sz="4" w:space="0" w:color="auto"/>
              <w:right w:val="single" w:sz="4" w:space="0" w:color="auto"/>
            </w:tcBorders>
          </w:tcPr>
          <w:p w14:paraId="0AD39502" w14:textId="77777777" w:rsidR="005702E9" w:rsidRPr="000915D0" w:rsidRDefault="005702E9" w:rsidP="00240518">
            <w:pPr>
              <w:spacing w:after="0"/>
              <w:jc w:val="both"/>
              <w:rPr>
                <w:rFonts w:ascii="Times New Roman" w:hAnsi="Times New Roman" w:cs="Times New Roman"/>
                <w:b/>
                <w:bCs/>
                <w:smallCaps/>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hideMark/>
          </w:tcPr>
          <w:p w14:paraId="72082219"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2019</w:t>
            </w:r>
          </w:p>
        </w:tc>
        <w:tc>
          <w:tcPr>
            <w:tcW w:w="1607" w:type="dxa"/>
            <w:tcBorders>
              <w:top w:val="single" w:sz="4" w:space="0" w:color="auto"/>
              <w:left w:val="single" w:sz="4" w:space="0" w:color="auto"/>
              <w:bottom w:val="single" w:sz="4" w:space="0" w:color="auto"/>
              <w:right w:val="single" w:sz="4" w:space="0" w:color="auto"/>
            </w:tcBorders>
            <w:vAlign w:val="center"/>
            <w:hideMark/>
          </w:tcPr>
          <w:p w14:paraId="3D111803"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Loi PACTE</w:t>
            </w:r>
          </w:p>
        </w:tc>
        <w:tc>
          <w:tcPr>
            <w:tcW w:w="1546" w:type="dxa"/>
            <w:tcBorders>
              <w:top w:val="single" w:sz="4" w:space="0" w:color="auto"/>
              <w:left w:val="single" w:sz="4" w:space="0" w:color="auto"/>
              <w:bottom w:val="single" w:sz="4" w:space="0" w:color="auto"/>
              <w:right w:val="single" w:sz="4" w:space="0" w:color="auto"/>
            </w:tcBorders>
            <w:vAlign w:val="center"/>
            <w:hideMark/>
          </w:tcPr>
          <w:p w14:paraId="4AC053E5" w14:textId="511691EC" w:rsidR="00E32A3A" w:rsidRPr="000915D0" w:rsidRDefault="005702E9" w:rsidP="0026205F">
            <w:pPr>
              <w:spacing w:after="0"/>
              <w:jc w:val="center"/>
              <w:rPr>
                <w:rFonts w:ascii="Times New Roman" w:hAnsi="Times New Roman" w:cs="Times New Roman"/>
                <w:sz w:val="20"/>
                <w:szCs w:val="20"/>
              </w:rPr>
            </w:pPr>
            <w:r w:rsidRPr="000915D0">
              <w:rPr>
                <w:rFonts w:ascii="Times New Roman" w:hAnsi="Times New Roman" w:cs="Times New Roman"/>
                <w:sz w:val="20"/>
                <w:szCs w:val="20"/>
              </w:rPr>
              <w:t>Macron</w:t>
            </w:r>
          </w:p>
          <w:p w14:paraId="53D2F98A" w14:textId="1F5DC9B3"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Philippe</w:t>
            </w:r>
          </w:p>
        </w:tc>
        <w:tc>
          <w:tcPr>
            <w:tcW w:w="8844" w:type="dxa"/>
            <w:tcBorders>
              <w:top w:val="single" w:sz="4" w:space="0" w:color="auto"/>
              <w:left w:val="single" w:sz="4" w:space="0" w:color="auto"/>
              <w:bottom w:val="single" w:sz="4" w:space="0" w:color="auto"/>
              <w:right w:val="single" w:sz="4" w:space="0" w:color="auto"/>
            </w:tcBorders>
          </w:tcPr>
          <w:p w14:paraId="5FBC03CA" w14:textId="77777777" w:rsidR="005702E9" w:rsidRPr="000915D0" w:rsidRDefault="005702E9" w:rsidP="00240518">
            <w:pPr>
              <w:spacing w:after="0"/>
              <w:rPr>
                <w:rFonts w:ascii="Times New Roman" w:hAnsi="Times New Roman" w:cs="Times New Roman"/>
                <w:sz w:val="20"/>
                <w:szCs w:val="20"/>
              </w:rPr>
            </w:pPr>
            <w:r w:rsidRPr="000915D0">
              <w:rPr>
                <w:rFonts w:ascii="Times New Roman" w:hAnsi="Times New Roman" w:cs="Times New Roman"/>
                <w:sz w:val="20"/>
                <w:szCs w:val="20"/>
              </w:rPr>
              <w:t>Augmentation du nombre d’administrateurs salariés : Présence de 2 administrateurs salariés pour les conseils comportant plus de 8 membres (contre 12 auparavant)</w:t>
            </w:r>
          </w:p>
          <w:p w14:paraId="4AEA425C" w14:textId="77777777" w:rsidR="005702E9" w:rsidRPr="000915D0" w:rsidRDefault="005702E9" w:rsidP="00240518">
            <w:pPr>
              <w:spacing w:after="0"/>
              <w:rPr>
                <w:rFonts w:ascii="Times New Roman" w:hAnsi="Times New Roman" w:cs="Times New Roman"/>
                <w:sz w:val="20"/>
                <w:szCs w:val="20"/>
              </w:rPr>
            </w:pPr>
            <w:r w:rsidRPr="000915D0">
              <w:rPr>
                <w:rFonts w:ascii="Times New Roman" w:hAnsi="Times New Roman" w:cs="Times New Roman"/>
                <w:sz w:val="20"/>
                <w:szCs w:val="20"/>
              </w:rPr>
              <w:t>Extension de la représentation des actionnaires salariés aux sociétés non cotées.</w:t>
            </w:r>
          </w:p>
          <w:p w14:paraId="1800A56E" w14:textId="77777777" w:rsidR="005702E9" w:rsidRPr="000915D0" w:rsidRDefault="005702E9" w:rsidP="00240518">
            <w:pPr>
              <w:spacing w:after="0"/>
              <w:rPr>
                <w:rFonts w:ascii="Times New Roman" w:hAnsi="Times New Roman" w:cs="Times New Roman"/>
                <w:sz w:val="20"/>
                <w:szCs w:val="20"/>
              </w:rPr>
            </w:pPr>
          </w:p>
        </w:tc>
      </w:tr>
      <w:tr w:rsidR="009B5B25" w:rsidRPr="000915D0" w14:paraId="6A6809E3" w14:textId="77777777" w:rsidTr="005C309F">
        <w:tc>
          <w:tcPr>
            <w:tcW w:w="1785" w:type="dxa"/>
            <w:vMerge w:val="restart"/>
            <w:tcBorders>
              <w:top w:val="single" w:sz="4" w:space="0" w:color="auto"/>
              <w:left w:val="single" w:sz="4" w:space="0" w:color="auto"/>
              <w:right w:val="single" w:sz="4" w:space="0" w:color="auto"/>
            </w:tcBorders>
            <w:hideMark/>
          </w:tcPr>
          <w:p w14:paraId="5C7C1A5C" w14:textId="2C236264" w:rsidR="009B5B25" w:rsidRPr="000915D0" w:rsidRDefault="009B5B25" w:rsidP="00240518">
            <w:pPr>
              <w:spacing w:after="0"/>
              <w:jc w:val="both"/>
              <w:rPr>
                <w:rFonts w:ascii="Times New Roman" w:hAnsi="Times New Roman" w:cs="Times New Roman"/>
                <w:smallCaps/>
                <w:sz w:val="20"/>
                <w:szCs w:val="20"/>
              </w:rPr>
            </w:pPr>
            <w:r w:rsidRPr="000915D0">
              <w:rPr>
                <w:rFonts w:ascii="Times New Roman" w:hAnsi="Times New Roman" w:cs="Times New Roman"/>
                <w:b/>
                <w:bCs/>
                <w:smallCaps/>
                <w:sz w:val="20"/>
                <w:szCs w:val="20"/>
              </w:rPr>
              <w:t>Intérêts des acteurs</w:t>
            </w:r>
            <w:r w:rsidRPr="000915D0" w:rsidDel="005702E9">
              <w:rPr>
                <w:rFonts w:ascii="Times New Roman" w:hAnsi="Times New Roman" w:cs="Times New Roman"/>
                <w:b/>
                <w:bCs/>
                <w:smallCaps/>
                <w:sz w:val="20"/>
                <w:szCs w:val="20"/>
              </w:rPr>
              <w:t xml:space="preserve"> </w:t>
            </w:r>
          </w:p>
        </w:tc>
        <w:tc>
          <w:tcPr>
            <w:tcW w:w="1528" w:type="dxa"/>
            <w:tcBorders>
              <w:top w:val="single" w:sz="4" w:space="0" w:color="auto"/>
              <w:left w:val="single" w:sz="4" w:space="0" w:color="auto"/>
              <w:bottom w:val="single" w:sz="4" w:space="0" w:color="auto"/>
              <w:right w:val="single" w:sz="4" w:space="0" w:color="auto"/>
            </w:tcBorders>
            <w:vAlign w:val="center"/>
          </w:tcPr>
          <w:p w14:paraId="200C10C4" w14:textId="5EB6C91A" w:rsidR="009B5B25" w:rsidRPr="000915D0" w:rsidRDefault="00E23373"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Toute la période</w:t>
            </w:r>
          </w:p>
        </w:tc>
        <w:tc>
          <w:tcPr>
            <w:tcW w:w="1607" w:type="dxa"/>
            <w:tcBorders>
              <w:top w:val="single" w:sz="4" w:space="0" w:color="auto"/>
              <w:left w:val="single" w:sz="4" w:space="0" w:color="auto"/>
              <w:bottom w:val="single" w:sz="4" w:space="0" w:color="auto"/>
              <w:right w:val="single" w:sz="4" w:space="0" w:color="auto"/>
            </w:tcBorders>
            <w:vAlign w:val="center"/>
            <w:hideMark/>
          </w:tcPr>
          <w:p w14:paraId="09EC04C6" w14:textId="77777777" w:rsidR="009B5B25" w:rsidRPr="000915D0" w:rsidRDefault="009B5B25"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Jeu à somme nulle pour différents acteurs (ce que gagnent les salariés, le patronat le perd)</w:t>
            </w:r>
          </w:p>
          <w:p w14:paraId="3E7FE40A" w14:textId="6482509F" w:rsidR="009B5B25" w:rsidRPr="000915D0" w:rsidRDefault="009B5B25"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 xml:space="preserve">Pas </w:t>
            </w:r>
            <w:r w:rsidR="00DD368E" w:rsidRPr="000915D0">
              <w:rPr>
                <w:rFonts w:ascii="Times New Roman" w:hAnsi="Times New Roman" w:cs="Times New Roman"/>
                <w:sz w:val="20"/>
                <w:szCs w:val="20"/>
              </w:rPr>
              <w:t>homogénéité</w:t>
            </w:r>
            <w:r w:rsidRPr="000915D0">
              <w:rPr>
                <w:rFonts w:ascii="Times New Roman" w:hAnsi="Times New Roman" w:cs="Times New Roman"/>
                <w:sz w:val="20"/>
                <w:szCs w:val="20"/>
              </w:rPr>
              <w:t xml:space="preserve"> des intérêts au sein d’une même catégorie d’acteurs (entre syndicats salariés, entre syndicats patronaux)</w:t>
            </w:r>
          </w:p>
        </w:tc>
        <w:tc>
          <w:tcPr>
            <w:tcW w:w="1546" w:type="dxa"/>
            <w:tcBorders>
              <w:top w:val="single" w:sz="4" w:space="0" w:color="auto"/>
              <w:left w:val="single" w:sz="4" w:space="0" w:color="auto"/>
              <w:bottom w:val="single" w:sz="4" w:space="0" w:color="auto"/>
              <w:right w:val="single" w:sz="4" w:space="0" w:color="auto"/>
            </w:tcBorders>
            <w:vAlign w:val="center"/>
            <w:hideMark/>
          </w:tcPr>
          <w:p w14:paraId="4B5C31BE" w14:textId="765BC9BC" w:rsidR="009B5B25" w:rsidRPr="000915D0" w:rsidRDefault="0092023B"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Majorité d</w:t>
            </w:r>
            <w:r w:rsidR="009B5B25" w:rsidRPr="000915D0">
              <w:rPr>
                <w:rFonts w:ascii="Times New Roman" w:hAnsi="Times New Roman" w:cs="Times New Roman"/>
                <w:sz w:val="20"/>
                <w:szCs w:val="20"/>
              </w:rPr>
              <w:t>es syndicats</w:t>
            </w:r>
          </w:p>
        </w:tc>
        <w:tc>
          <w:tcPr>
            <w:tcW w:w="8844" w:type="dxa"/>
            <w:tcBorders>
              <w:top w:val="single" w:sz="4" w:space="0" w:color="auto"/>
              <w:left w:val="single" w:sz="4" w:space="0" w:color="auto"/>
              <w:bottom w:val="single" w:sz="4" w:space="0" w:color="auto"/>
              <w:right w:val="single" w:sz="4" w:space="0" w:color="auto"/>
            </w:tcBorders>
          </w:tcPr>
          <w:p w14:paraId="2AED2542" w14:textId="6EA6A271" w:rsidR="009B5B25" w:rsidRPr="000915D0" w:rsidRDefault="00E93463" w:rsidP="00240518">
            <w:pPr>
              <w:spacing w:after="0"/>
              <w:rPr>
                <w:rFonts w:ascii="Times New Roman" w:hAnsi="Times New Roman" w:cs="Times New Roman"/>
                <w:sz w:val="20"/>
                <w:szCs w:val="20"/>
              </w:rPr>
            </w:pPr>
            <w:r w:rsidRPr="000915D0">
              <w:rPr>
                <w:rFonts w:ascii="Times New Roman" w:hAnsi="Times New Roman" w:cs="Times New Roman"/>
                <w:sz w:val="20"/>
                <w:szCs w:val="20"/>
              </w:rPr>
              <w:t>« </w:t>
            </w:r>
            <w:r w:rsidR="009B5B25" w:rsidRPr="000915D0">
              <w:rPr>
                <w:rFonts w:ascii="Times New Roman" w:hAnsi="Times New Roman" w:cs="Times New Roman"/>
                <w:sz w:val="20"/>
                <w:szCs w:val="20"/>
              </w:rPr>
              <w:t>Que disent avec plus ou moins d’insistance les bruits de couloir ? En substance : que la Réforme de l’entreprise est mal partie, qu’au fond personne n’en veut, ni le patronat, ni la majorité, ni les syndicats. Et qu’elle restera donc pour longtemps un aimable sujet de conversation » (Antoine Silber)</w:t>
            </w:r>
          </w:p>
          <w:p w14:paraId="66BB29A5" w14:textId="77777777" w:rsidR="009B5B25" w:rsidRPr="000915D0" w:rsidRDefault="009B5B25" w:rsidP="00240518">
            <w:pPr>
              <w:spacing w:after="0"/>
              <w:rPr>
                <w:rFonts w:ascii="Times New Roman" w:hAnsi="Times New Roman" w:cs="Times New Roman"/>
                <w:sz w:val="20"/>
                <w:szCs w:val="20"/>
              </w:rPr>
            </w:pPr>
          </w:p>
          <w:p w14:paraId="7A511183" w14:textId="18E9EB6C" w:rsidR="009B5B25" w:rsidRPr="000915D0" w:rsidRDefault="009B5B25" w:rsidP="00240518">
            <w:pPr>
              <w:spacing w:after="0"/>
              <w:rPr>
                <w:rFonts w:ascii="Times New Roman" w:hAnsi="Times New Roman" w:cs="Times New Roman"/>
                <w:sz w:val="20"/>
                <w:szCs w:val="20"/>
              </w:rPr>
            </w:pPr>
            <w:r w:rsidRPr="000915D0">
              <w:rPr>
                <w:rFonts w:ascii="Times New Roman" w:hAnsi="Times New Roman" w:cs="Times New Roman"/>
                <w:sz w:val="20"/>
                <w:szCs w:val="20"/>
              </w:rPr>
              <w:t xml:space="preserve">« </w:t>
            </w:r>
            <w:proofErr w:type="gramStart"/>
            <w:r w:rsidRPr="000915D0">
              <w:rPr>
                <w:rFonts w:ascii="Times New Roman" w:hAnsi="Times New Roman" w:cs="Times New Roman"/>
                <w:sz w:val="20"/>
                <w:szCs w:val="20"/>
              </w:rPr>
              <w:t>le</w:t>
            </w:r>
            <w:proofErr w:type="gramEnd"/>
            <w:r w:rsidRPr="000915D0">
              <w:rPr>
                <w:rFonts w:ascii="Times New Roman" w:hAnsi="Times New Roman" w:cs="Times New Roman"/>
                <w:sz w:val="20"/>
                <w:szCs w:val="20"/>
              </w:rPr>
              <w:t xml:space="preserve"> statu quo, front syndical contre front patronal, satisfait chacun des partenaires sociaux, qui conservent ainsi leur clientèle au détriment d’une modernisation des rapports sociaux dans l’entreprise » (Bourlange, 2017</w:t>
            </w:r>
            <w:r w:rsidR="0092023B" w:rsidRPr="000915D0">
              <w:rPr>
                <w:rFonts w:ascii="Times New Roman" w:hAnsi="Times New Roman" w:cs="Times New Roman"/>
                <w:sz w:val="20"/>
                <w:szCs w:val="20"/>
              </w:rPr>
              <w:t> ;</w:t>
            </w:r>
            <w:r w:rsidRPr="000915D0">
              <w:rPr>
                <w:rFonts w:ascii="Times New Roman" w:hAnsi="Times New Roman" w:cs="Times New Roman"/>
                <w:sz w:val="20"/>
                <w:szCs w:val="20"/>
              </w:rPr>
              <w:t xml:space="preserve"> p. 197).</w:t>
            </w:r>
          </w:p>
          <w:p w14:paraId="1319CFB2" w14:textId="2829B1A1" w:rsidR="009B5B25" w:rsidRPr="000915D0" w:rsidRDefault="009B5B25" w:rsidP="00240518">
            <w:pPr>
              <w:spacing w:after="0"/>
              <w:rPr>
                <w:rFonts w:ascii="Times New Roman" w:hAnsi="Times New Roman" w:cs="Times New Roman"/>
                <w:sz w:val="20"/>
                <w:szCs w:val="20"/>
              </w:rPr>
            </w:pPr>
          </w:p>
        </w:tc>
      </w:tr>
      <w:tr w:rsidR="009B5B25" w:rsidRPr="000915D0" w14:paraId="06DD6E7B" w14:textId="77777777" w:rsidTr="005C309F">
        <w:tc>
          <w:tcPr>
            <w:tcW w:w="1785" w:type="dxa"/>
            <w:vMerge/>
            <w:tcBorders>
              <w:left w:val="single" w:sz="4" w:space="0" w:color="auto"/>
              <w:right w:val="single" w:sz="4" w:space="0" w:color="auto"/>
            </w:tcBorders>
          </w:tcPr>
          <w:p w14:paraId="3450380F" w14:textId="77777777" w:rsidR="009B5B25" w:rsidRPr="000915D0" w:rsidRDefault="009B5B25" w:rsidP="00240518">
            <w:pPr>
              <w:spacing w:after="0"/>
              <w:jc w:val="both"/>
              <w:rPr>
                <w:rFonts w:ascii="Times New Roman" w:hAnsi="Times New Roman" w:cs="Times New Roman"/>
                <w:b/>
                <w:bCs/>
                <w:smallCaps/>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hideMark/>
          </w:tcPr>
          <w:p w14:paraId="04837530" w14:textId="77777777" w:rsidR="009B5B25" w:rsidRPr="000915D0" w:rsidRDefault="009B5B25"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1963-2022</w:t>
            </w:r>
          </w:p>
        </w:tc>
        <w:tc>
          <w:tcPr>
            <w:tcW w:w="1607" w:type="dxa"/>
            <w:tcBorders>
              <w:top w:val="single" w:sz="4" w:space="0" w:color="auto"/>
              <w:left w:val="single" w:sz="4" w:space="0" w:color="auto"/>
              <w:bottom w:val="single" w:sz="4" w:space="0" w:color="auto"/>
              <w:right w:val="single" w:sz="4" w:space="0" w:color="auto"/>
            </w:tcBorders>
            <w:vAlign w:val="center"/>
            <w:hideMark/>
          </w:tcPr>
          <w:p w14:paraId="3A77785B" w14:textId="77777777" w:rsidR="009B5B25" w:rsidRPr="000915D0" w:rsidRDefault="009B5B25" w:rsidP="0026205F">
            <w:pPr>
              <w:spacing w:after="0"/>
              <w:jc w:val="center"/>
              <w:rPr>
                <w:rFonts w:ascii="Times New Roman" w:hAnsi="Times New Roman" w:cs="Times New Roman"/>
                <w:sz w:val="20"/>
                <w:szCs w:val="20"/>
              </w:rPr>
            </w:pPr>
            <w:r w:rsidRPr="000915D0">
              <w:rPr>
                <w:rFonts w:ascii="Times New Roman" w:hAnsi="Times New Roman" w:cs="Times New Roman"/>
                <w:sz w:val="20"/>
                <w:szCs w:val="20"/>
              </w:rPr>
              <w:t>Refus patronal</w:t>
            </w:r>
          </w:p>
          <w:p w14:paraId="275FB210" w14:textId="77777777" w:rsidR="00E32A3A" w:rsidRPr="000915D0" w:rsidRDefault="00E32A3A" w:rsidP="0026205F">
            <w:pPr>
              <w:spacing w:after="0"/>
              <w:jc w:val="center"/>
              <w:rPr>
                <w:rFonts w:ascii="Times New Roman" w:hAnsi="Times New Roman" w:cs="Times New Roman"/>
                <w:sz w:val="20"/>
                <w:szCs w:val="20"/>
              </w:rPr>
            </w:pPr>
          </w:p>
          <w:p w14:paraId="42336ED4" w14:textId="4D856C6A" w:rsidR="00E32A3A" w:rsidRPr="000915D0" w:rsidRDefault="00E32A3A"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Rapport Lasserre</w:t>
            </w:r>
          </w:p>
        </w:tc>
        <w:tc>
          <w:tcPr>
            <w:tcW w:w="1546" w:type="dxa"/>
            <w:tcBorders>
              <w:top w:val="single" w:sz="4" w:space="0" w:color="auto"/>
              <w:left w:val="single" w:sz="4" w:space="0" w:color="auto"/>
              <w:bottom w:val="single" w:sz="4" w:space="0" w:color="auto"/>
              <w:right w:val="single" w:sz="4" w:space="0" w:color="auto"/>
            </w:tcBorders>
            <w:vAlign w:val="center"/>
            <w:hideMark/>
          </w:tcPr>
          <w:p w14:paraId="3E570EDC" w14:textId="60F9454E" w:rsidR="009B5B25" w:rsidRPr="000915D0" w:rsidRDefault="009B5B25" w:rsidP="0026205F">
            <w:pPr>
              <w:spacing w:after="0"/>
              <w:jc w:val="center"/>
              <w:rPr>
                <w:rFonts w:ascii="Times New Roman" w:hAnsi="Times New Roman" w:cs="Times New Roman"/>
                <w:sz w:val="20"/>
                <w:szCs w:val="20"/>
              </w:rPr>
            </w:pPr>
            <w:r w:rsidRPr="000915D0">
              <w:rPr>
                <w:rFonts w:ascii="Times New Roman" w:hAnsi="Times New Roman" w:cs="Times New Roman"/>
                <w:sz w:val="20"/>
                <w:szCs w:val="20"/>
              </w:rPr>
              <w:t>Lasserre</w:t>
            </w:r>
          </w:p>
          <w:p w14:paraId="5CB17462" w14:textId="77777777" w:rsidR="004607B9" w:rsidRPr="000915D0" w:rsidRDefault="004607B9" w:rsidP="0026205F">
            <w:pPr>
              <w:spacing w:after="0"/>
              <w:jc w:val="center"/>
              <w:rPr>
                <w:rFonts w:ascii="Times New Roman" w:hAnsi="Times New Roman" w:cs="Times New Roman"/>
                <w:sz w:val="20"/>
                <w:szCs w:val="20"/>
              </w:rPr>
            </w:pPr>
          </w:p>
          <w:p w14:paraId="4A2FA44A" w14:textId="21636953" w:rsidR="004607B9" w:rsidRPr="000915D0" w:rsidRDefault="004607B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CNPF</w:t>
            </w:r>
          </w:p>
        </w:tc>
        <w:tc>
          <w:tcPr>
            <w:tcW w:w="8844" w:type="dxa"/>
            <w:tcBorders>
              <w:top w:val="single" w:sz="4" w:space="0" w:color="auto"/>
              <w:left w:val="single" w:sz="4" w:space="0" w:color="auto"/>
              <w:bottom w:val="single" w:sz="4" w:space="0" w:color="auto"/>
              <w:right w:val="single" w:sz="4" w:space="0" w:color="auto"/>
            </w:tcBorders>
            <w:hideMark/>
          </w:tcPr>
          <w:p w14:paraId="20BE8C97" w14:textId="19BA4897" w:rsidR="009B5B25" w:rsidRPr="000915D0" w:rsidRDefault="009B5B25" w:rsidP="00240518">
            <w:pPr>
              <w:spacing w:after="0"/>
              <w:rPr>
                <w:rFonts w:ascii="Times New Roman" w:hAnsi="Times New Roman" w:cs="Times New Roman"/>
                <w:sz w:val="20"/>
                <w:szCs w:val="20"/>
              </w:rPr>
            </w:pPr>
            <w:r w:rsidRPr="000915D0">
              <w:rPr>
                <w:rFonts w:ascii="Times New Roman" w:hAnsi="Times New Roman" w:cs="Times New Roman"/>
                <w:sz w:val="20"/>
                <w:szCs w:val="20"/>
              </w:rPr>
              <w:t xml:space="preserve">Rapport Lasserre (p. 36) : </w:t>
            </w:r>
            <w:r w:rsidR="00125631" w:rsidRPr="000915D0">
              <w:rPr>
                <w:rFonts w:ascii="Times New Roman" w:hAnsi="Times New Roman" w:cs="Times New Roman"/>
                <w:sz w:val="20"/>
                <w:szCs w:val="20"/>
              </w:rPr>
              <w:t xml:space="preserve">« L’hostilité </w:t>
            </w:r>
            <w:r w:rsidR="00CA1B13" w:rsidRPr="000915D0">
              <w:rPr>
                <w:rFonts w:ascii="Times New Roman" w:hAnsi="Times New Roman" w:cs="Times New Roman"/>
                <w:sz w:val="20"/>
                <w:szCs w:val="20"/>
              </w:rPr>
              <w:t>de l’</w:t>
            </w:r>
            <w:r w:rsidR="00125631" w:rsidRPr="000915D0">
              <w:rPr>
                <w:rFonts w:ascii="Times New Roman" w:hAnsi="Times New Roman" w:cs="Times New Roman"/>
                <w:sz w:val="20"/>
                <w:szCs w:val="20"/>
              </w:rPr>
              <w:t xml:space="preserve">immense </w:t>
            </w:r>
            <w:r w:rsidR="00CA1B13" w:rsidRPr="000915D0">
              <w:rPr>
                <w:rFonts w:ascii="Times New Roman" w:hAnsi="Times New Roman" w:cs="Times New Roman"/>
                <w:sz w:val="20"/>
                <w:szCs w:val="20"/>
              </w:rPr>
              <w:t>majorité du patronat</w:t>
            </w:r>
            <w:r w:rsidR="00125631" w:rsidRPr="000915D0">
              <w:rPr>
                <w:rFonts w:ascii="Times New Roman" w:hAnsi="Times New Roman" w:cs="Times New Roman"/>
                <w:sz w:val="20"/>
                <w:szCs w:val="20"/>
              </w:rPr>
              <w:t xml:space="preserve"> </w:t>
            </w:r>
            <w:r w:rsidR="00CA1B13" w:rsidRPr="000915D0">
              <w:rPr>
                <w:rFonts w:ascii="Times New Roman" w:hAnsi="Times New Roman" w:cs="Times New Roman"/>
                <w:sz w:val="20"/>
                <w:szCs w:val="20"/>
              </w:rPr>
              <w:t>à l’égard de toute association véritable du travail et du capital est à la fois facile à c</w:t>
            </w:r>
            <w:r w:rsidR="001338CB" w:rsidRPr="000915D0">
              <w:rPr>
                <w:rFonts w:ascii="Times New Roman" w:hAnsi="Times New Roman" w:cs="Times New Roman"/>
                <w:sz w:val="20"/>
                <w:szCs w:val="20"/>
              </w:rPr>
              <w:t>onstater et à comprendre. Elle implique en effet, au point de vue des profits et plus encore de la gestion des entreprises</w:t>
            </w:r>
            <w:r w:rsidR="003521D2" w:rsidRPr="000915D0">
              <w:rPr>
                <w:rFonts w:ascii="Times New Roman" w:hAnsi="Times New Roman" w:cs="Times New Roman"/>
                <w:sz w:val="20"/>
                <w:szCs w:val="20"/>
              </w:rPr>
              <w:t>, de très lourds sacrifices qui constituent presque une abdication. »</w:t>
            </w:r>
          </w:p>
          <w:p w14:paraId="4924514D" w14:textId="55E4AE95" w:rsidR="009B5B25" w:rsidRPr="000915D0" w:rsidRDefault="009B5B25" w:rsidP="00240518">
            <w:pPr>
              <w:spacing w:after="0"/>
              <w:rPr>
                <w:rFonts w:ascii="Times New Roman" w:hAnsi="Times New Roman" w:cs="Times New Roman"/>
                <w:sz w:val="20"/>
                <w:szCs w:val="20"/>
              </w:rPr>
            </w:pPr>
          </w:p>
        </w:tc>
      </w:tr>
      <w:tr w:rsidR="009B5B25" w:rsidRPr="000915D0" w14:paraId="0628CD96" w14:textId="77777777" w:rsidTr="005C309F">
        <w:tc>
          <w:tcPr>
            <w:tcW w:w="1785" w:type="dxa"/>
            <w:vMerge/>
            <w:tcBorders>
              <w:left w:val="single" w:sz="4" w:space="0" w:color="auto"/>
              <w:right w:val="single" w:sz="4" w:space="0" w:color="auto"/>
            </w:tcBorders>
          </w:tcPr>
          <w:p w14:paraId="77E42173" w14:textId="77777777" w:rsidR="009B5B25" w:rsidRPr="000915D0" w:rsidRDefault="009B5B25" w:rsidP="00240518">
            <w:pPr>
              <w:spacing w:after="0"/>
              <w:jc w:val="both"/>
              <w:rPr>
                <w:rFonts w:ascii="Times New Roman" w:hAnsi="Times New Roman" w:cs="Times New Roman"/>
                <w:b/>
                <w:bCs/>
                <w:smallCaps/>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hideMark/>
          </w:tcPr>
          <w:p w14:paraId="05E41E89" w14:textId="77777777" w:rsidR="009B5B25" w:rsidRPr="000915D0" w:rsidRDefault="009B5B25"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1963-2022</w:t>
            </w:r>
          </w:p>
        </w:tc>
        <w:tc>
          <w:tcPr>
            <w:tcW w:w="1607" w:type="dxa"/>
            <w:tcBorders>
              <w:top w:val="single" w:sz="4" w:space="0" w:color="auto"/>
              <w:left w:val="single" w:sz="4" w:space="0" w:color="auto"/>
              <w:bottom w:val="single" w:sz="4" w:space="0" w:color="auto"/>
              <w:right w:val="single" w:sz="4" w:space="0" w:color="auto"/>
            </w:tcBorders>
            <w:vAlign w:val="center"/>
            <w:hideMark/>
          </w:tcPr>
          <w:p w14:paraId="4DF5704C" w14:textId="77777777" w:rsidR="009B5B25" w:rsidRPr="000915D0" w:rsidRDefault="009B5B25" w:rsidP="0026205F">
            <w:pPr>
              <w:spacing w:after="0"/>
              <w:jc w:val="center"/>
              <w:rPr>
                <w:rFonts w:ascii="Times New Roman" w:hAnsi="Times New Roman" w:cs="Times New Roman"/>
                <w:sz w:val="20"/>
                <w:szCs w:val="20"/>
              </w:rPr>
            </w:pPr>
            <w:r w:rsidRPr="000915D0">
              <w:rPr>
                <w:rFonts w:ascii="Times New Roman" w:hAnsi="Times New Roman" w:cs="Times New Roman"/>
                <w:sz w:val="20"/>
                <w:szCs w:val="20"/>
              </w:rPr>
              <w:t>CGT et autres syndicats défavorables</w:t>
            </w:r>
          </w:p>
          <w:p w14:paraId="7BCF61BB" w14:textId="77777777" w:rsidR="004607B9" w:rsidRPr="000915D0" w:rsidRDefault="004607B9" w:rsidP="0026205F">
            <w:pPr>
              <w:spacing w:after="0"/>
              <w:jc w:val="center"/>
              <w:rPr>
                <w:rFonts w:ascii="Times New Roman" w:hAnsi="Times New Roman" w:cs="Times New Roman"/>
                <w:sz w:val="20"/>
                <w:szCs w:val="20"/>
              </w:rPr>
            </w:pPr>
          </w:p>
          <w:p w14:paraId="1F3DE9F2" w14:textId="77777777" w:rsidR="004607B9" w:rsidRPr="000915D0" w:rsidRDefault="004607B9" w:rsidP="004607B9">
            <w:pPr>
              <w:spacing w:after="0"/>
              <w:jc w:val="center"/>
              <w:rPr>
                <w:rFonts w:ascii="Times New Roman" w:hAnsi="Times New Roman" w:cs="Times New Roman"/>
                <w:sz w:val="20"/>
                <w:szCs w:val="20"/>
              </w:rPr>
            </w:pPr>
            <w:r w:rsidRPr="000915D0">
              <w:rPr>
                <w:rFonts w:ascii="Times New Roman" w:hAnsi="Times New Roman" w:cs="Times New Roman"/>
                <w:sz w:val="20"/>
                <w:szCs w:val="20"/>
              </w:rPr>
              <w:t>Rapport Lasserre</w:t>
            </w:r>
          </w:p>
          <w:p w14:paraId="1B7414A9" w14:textId="0498FA85" w:rsidR="004607B9" w:rsidRPr="000915D0" w:rsidRDefault="004607B9" w:rsidP="005A2601">
            <w:pPr>
              <w:spacing w:after="0"/>
              <w:jc w:val="center"/>
              <w:rPr>
                <w:rFonts w:ascii="Times New Roman" w:hAnsi="Times New Roman" w:cs="Times New Roman"/>
                <w:sz w:val="20"/>
                <w:szCs w:val="20"/>
              </w:rPr>
            </w:pPr>
          </w:p>
        </w:tc>
        <w:tc>
          <w:tcPr>
            <w:tcW w:w="1546" w:type="dxa"/>
            <w:tcBorders>
              <w:top w:val="single" w:sz="4" w:space="0" w:color="auto"/>
              <w:left w:val="single" w:sz="4" w:space="0" w:color="auto"/>
              <w:bottom w:val="single" w:sz="4" w:space="0" w:color="auto"/>
              <w:right w:val="single" w:sz="4" w:space="0" w:color="auto"/>
            </w:tcBorders>
            <w:vAlign w:val="center"/>
          </w:tcPr>
          <w:p w14:paraId="66379ED2" w14:textId="1D3CEC0B" w:rsidR="009B5B25" w:rsidRPr="000915D0" w:rsidRDefault="0092023B"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Majorité des syndicats</w:t>
            </w:r>
          </w:p>
        </w:tc>
        <w:tc>
          <w:tcPr>
            <w:tcW w:w="8844" w:type="dxa"/>
            <w:tcBorders>
              <w:top w:val="single" w:sz="4" w:space="0" w:color="auto"/>
              <w:left w:val="single" w:sz="4" w:space="0" w:color="auto"/>
              <w:bottom w:val="single" w:sz="4" w:space="0" w:color="auto"/>
              <w:right w:val="single" w:sz="4" w:space="0" w:color="auto"/>
            </w:tcBorders>
          </w:tcPr>
          <w:p w14:paraId="47235C8D" w14:textId="03CD2C7B" w:rsidR="009B5B25" w:rsidRPr="000915D0" w:rsidRDefault="009B5B25" w:rsidP="00240518">
            <w:pPr>
              <w:spacing w:after="0"/>
              <w:jc w:val="both"/>
              <w:rPr>
                <w:rFonts w:ascii="Times New Roman" w:hAnsi="Times New Roman" w:cs="Times New Roman"/>
                <w:sz w:val="20"/>
                <w:szCs w:val="20"/>
              </w:rPr>
            </w:pPr>
            <w:r w:rsidRPr="000915D0">
              <w:rPr>
                <w:rFonts w:ascii="Times New Roman" w:hAnsi="Times New Roman" w:cs="Times New Roman"/>
                <w:sz w:val="20"/>
                <w:szCs w:val="20"/>
                <w:u w:val="single"/>
              </w:rPr>
              <w:t>Rapport Lasserre (p. 111) :</w:t>
            </w:r>
            <w:r w:rsidRPr="000915D0">
              <w:rPr>
                <w:rFonts w:ascii="Times New Roman" w:hAnsi="Times New Roman" w:cs="Times New Roman"/>
                <w:sz w:val="20"/>
                <w:szCs w:val="20"/>
              </w:rPr>
              <w:t xml:space="preserve"> « Le conseil économique du travail qui était à l’organe d’étude établi en 1920 par la CGT proposa que la participation du personnel à la gestion fût rendue obligatoire dans toutes les entreprises</w:t>
            </w:r>
            <w:r w:rsidR="00726096" w:rsidRPr="000915D0">
              <w:rPr>
                <w:rFonts w:ascii="Times New Roman" w:hAnsi="Times New Roman" w:cs="Times New Roman"/>
                <w:sz w:val="20"/>
                <w:szCs w:val="20"/>
              </w:rPr>
              <w:t xml:space="preserve"> […]</w:t>
            </w:r>
            <w:r w:rsidR="00CB6094" w:rsidRPr="000915D0">
              <w:rPr>
                <w:rFonts w:ascii="Times New Roman" w:hAnsi="Times New Roman" w:cs="Times New Roman"/>
                <w:sz w:val="20"/>
                <w:szCs w:val="20"/>
              </w:rPr>
              <w:t xml:space="preserve">. </w:t>
            </w:r>
            <w:r w:rsidRPr="000915D0">
              <w:rPr>
                <w:rFonts w:ascii="Times New Roman" w:hAnsi="Times New Roman" w:cs="Times New Roman"/>
                <w:sz w:val="20"/>
                <w:szCs w:val="20"/>
              </w:rPr>
              <w:t>A la même époque, l’Union des catholiques sociaux, l’Union syndicale des techniciens de l’industrie, du commerce et de l’agriculture (l’U.S.T.I.</w:t>
            </w:r>
            <w:proofErr w:type="gramStart"/>
            <w:r w:rsidRPr="000915D0">
              <w:rPr>
                <w:rFonts w:ascii="Times New Roman" w:hAnsi="Times New Roman" w:cs="Times New Roman"/>
                <w:sz w:val="20"/>
                <w:szCs w:val="20"/>
              </w:rPr>
              <w:t>C.A</w:t>
            </w:r>
            <w:proofErr w:type="gramEnd"/>
            <w:r w:rsidRPr="000915D0">
              <w:rPr>
                <w:rFonts w:ascii="Times New Roman" w:hAnsi="Times New Roman" w:cs="Times New Roman"/>
                <w:sz w:val="20"/>
                <w:szCs w:val="20"/>
              </w:rPr>
              <w:t>) ainsi que l’association française pour la protection légale des travailleurs présentèrent également quelques projets relatifs à la participation à la gestion. »</w:t>
            </w:r>
          </w:p>
          <w:p w14:paraId="6B5A7499" w14:textId="77777777" w:rsidR="00726390" w:rsidRPr="000915D0" w:rsidRDefault="00726390" w:rsidP="00240518">
            <w:pPr>
              <w:spacing w:after="0"/>
              <w:jc w:val="both"/>
              <w:rPr>
                <w:rFonts w:ascii="Times New Roman" w:hAnsi="Times New Roman" w:cs="Times New Roman"/>
                <w:sz w:val="20"/>
                <w:szCs w:val="20"/>
              </w:rPr>
            </w:pPr>
          </w:p>
          <w:p w14:paraId="7A79967F" w14:textId="4DA0A7A0" w:rsidR="00726390" w:rsidRPr="000915D0" w:rsidRDefault="00726390" w:rsidP="00240518">
            <w:pPr>
              <w:spacing w:after="0"/>
              <w:jc w:val="both"/>
              <w:rPr>
                <w:rFonts w:ascii="Times New Roman" w:hAnsi="Times New Roman" w:cs="Times New Roman"/>
                <w:sz w:val="20"/>
                <w:szCs w:val="20"/>
              </w:rPr>
            </w:pPr>
            <w:r w:rsidRPr="000915D0">
              <w:rPr>
                <w:rFonts w:ascii="Times New Roman" w:hAnsi="Times New Roman" w:cs="Times New Roman"/>
                <w:sz w:val="20"/>
                <w:szCs w:val="20"/>
                <w:u w:val="single"/>
              </w:rPr>
              <w:lastRenderedPageBreak/>
              <w:t xml:space="preserve">Avis </w:t>
            </w:r>
            <w:r w:rsidR="002F624C" w:rsidRPr="000915D0">
              <w:rPr>
                <w:rFonts w:ascii="Times New Roman" w:hAnsi="Times New Roman" w:cs="Times New Roman"/>
                <w:sz w:val="20"/>
                <w:szCs w:val="20"/>
                <w:u w:val="single"/>
              </w:rPr>
              <w:t xml:space="preserve">de la CGT </w:t>
            </w:r>
            <w:r w:rsidRPr="000915D0">
              <w:rPr>
                <w:rFonts w:ascii="Times New Roman" w:hAnsi="Times New Roman" w:cs="Times New Roman"/>
                <w:sz w:val="20"/>
                <w:szCs w:val="20"/>
                <w:u w:val="single"/>
              </w:rPr>
              <w:t>du Conseil économique et social</w:t>
            </w:r>
            <w:r w:rsidR="004607B9" w:rsidRPr="000915D0">
              <w:rPr>
                <w:rFonts w:ascii="Times New Roman" w:hAnsi="Times New Roman" w:cs="Times New Roman"/>
                <w:sz w:val="20"/>
                <w:szCs w:val="20"/>
                <w:u w:val="single"/>
              </w:rPr>
              <w:t xml:space="preserve"> </w:t>
            </w:r>
            <w:r w:rsidR="00130D9D" w:rsidRPr="000915D0">
              <w:rPr>
                <w:rFonts w:ascii="Times New Roman" w:hAnsi="Times New Roman" w:cs="Times New Roman"/>
                <w:sz w:val="20"/>
                <w:szCs w:val="20"/>
                <w:u w:val="single"/>
              </w:rPr>
              <w:t>1946</w:t>
            </w:r>
            <w:r w:rsidRPr="000915D0">
              <w:rPr>
                <w:rFonts w:ascii="Times New Roman" w:hAnsi="Times New Roman" w:cs="Times New Roman"/>
                <w:sz w:val="20"/>
                <w:szCs w:val="20"/>
                <w:u w:val="single"/>
              </w:rPr>
              <w:t> :</w:t>
            </w:r>
            <w:r w:rsidRPr="000915D0">
              <w:rPr>
                <w:rFonts w:ascii="Times New Roman" w:hAnsi="Times New Roman" w:cs="Times New Roman"/>
                <w:sz w:val="20"/>
                <w:szCs w:val="20"/>
              </w:rPr>
              <w:t xml:space="preserve"> « </w:t>
            </w:r>
            <w:r w:rsidR="002F624C" w:rsidRPr="000915D0">
              <w:rPr>
                <w:rFonts w:ascii="Times New Roman" w:hAnsi="Times New Roman" w:cs="Times New Roman"/>
                <w:sz w:val="20"/>
                <w:szCs w:val="20"/>
              </w:rPr>
              <w:t>1° Qu’il convient de rejeter de la façon la plus définitive la formule de l’association capital-travail, dont le caractère typiquement fasciste</w:t>
            </w:r>
            <w:r w:rsidR="00A33CEB" w:rsidRPr="000915D0">
              <w:rPr>
                <w:rFonts w:ascii="Times New Roman" w:hAnsi="Times New Roman" w:cs="Times New Roman"/>
                <w:sz w:val="20"/>
                <w:szCs w:val="20"/>
              </w:rPr>
              <w:t>, renouveau de la charte du travail de Pétain, doit être dénoncé vigoureusement ».</w:t>
            </w:r>
          </w:p>
          <w:p w14:paraId="32A25694" w14:textId="28259C09" w:rsidR="009B5B25" w:rsidRPr="000915D0" w:rsidRDefault="009B5B25" w:rsidP="00240518">
            <w:pPr>
              <w:spacing w:after="0"/>
              <w:jc w:val="both"/>
              <w:rPr>
                <w:rFonts w:ascii="Times New Roman" w:hAnsi="Times New Roman" w:cs="Times New Roman"/>
                <w:sz w:val="20"/>
                <w:szCs w:val="20"/>
              </w:rPr>
            </w:pPr>
          </w:p>
          <w:p w14:paraId="18E03EF0" w14:textId="77777777" w:rsidR="009B5B25" w:rsidRPr="000915D0" w:rsidRDefault="009B5B25" w:rsidP="00240518">
            <w:pPr>
              <w:spacing w:after="0"/>
              <w:jc w:val="both"/>
              <w:rPr>
                <w:rFonts w:ascii="Times New Roman" w:hAnsi="Times New Roman" w:cs="Times New Roman"/>
                <w:sz w:val="20"/>
                <w:szCs w:val="20"/>
              </w:rPr>
            </w:pPr>
          </w:p>
        </w:tc>
      </w:tr>
      <w:tr w:rsidR="009B5B25" w:rsidRPr="000915D0" w14:paraId="17742E85" w14:textId="77777777" w:rsidTr="005C309F">
        <w:tc>
          <w:tcPr>
            <w:tcW w:w="1785" w:type="dxa"/>
            <w:vMerge/>
            <w:tcBorders>
              <w:left w:val="single" w:sz="4" w:space="0" w:color="auto"/>
              <w:right w:val="single" w:sz="4" w:space="0" w:color="auto"/>
            </w:tcBorders>
          </w:tcPr>
          <w:p w14:paraId="66639F66" w14:textId="77777777" w:rsidR="009B5B25" w:rsidRPr="000915D0" w:rsidRDefault="009B5B25" w:rsidP="00240518">
            <w:pPr>
              <w:spacing w:after="0"/>
              <w:jc w:val="both"/>
              <w:rPr>
                <w:rFonts w:ascii="Times New Roman" w:hAnsi="Times New Roman" w:cs="Times New Roman"/>
                <w:b/>
                <w:bCs/>
                <w:smallCaps/>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hideMark/>
          </w:tcPr>
          <w:p w14:paraId="16E6F6D5" w14:textId="77777777" w:rsidR="009B5B25" w:rsidRPr="000915D0" w:rsidRDefault="009B5B25"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1963-2022</w:t>
            </w:r>
          </w:p>
        </w:tc>
        <w:tc>
          <w:tcPr>
            <w:tcW w:w="1607" w:type="dxa"/>
            <w:tcBorders>
              <w:top w:val="single" w:sz="4" w:space="0" w:color="auto"/>
              <w:left w:val="single" w:sz="4" w:space="0" w:color="auto"/>
              <w:bottom w:val="single" w:sz="4" w:space="0" w:color="auto"/>
              <w:right w:val="single" w:sz="4" w:space="0" w:color="auto"/>
            </w:tcBorders>
            <w:vAlign w:val="center"/>
            <w:hideMark/>
          </w:tcPr>
          <w:p w14:paraId="3597F6A3" w14:textId="77777777" w:rsidR="009B5B25" w:rsidRPr="000915D0" w:rsidRDefault="009B5B25"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Divergences syndicales</w:t>
            </w:r>
          </w:p>
        </w:tc>
        <w:tc>
          <w:tcPr>
            <w:tcW w:w="1546" w:type="dxa"/>
            <w:tcBorders>
              <w:top w:val="single" w:sz="4" w:space="0" w:color="auto"/>
              <w:left w:val="single" w:sz="4" w:space="0" w:color="auto"/>
              <w:bottom w:val="single" w:sz="4" w:space="0" w:color="auto"/>
              <w:right w:val="single" w:sz="4" w:space="0" w:color="auto"/>
            </w:tcBorders>
            <w:vAlign w:val="center"/>
            <w:hideMark/>
          </w:tcPr>
          <w:p w14:paraId="21DD99F7" w14:textId="389BC58D" w:rsidR="009B5B25" w:rsidRPr="000915D0" w:rsidRDefault="009B5B25"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Bloch Lainé</w:t>
            </w:r>
          </w:p>
        </w:tc>
        <w:tc>
          <w:tcPr>
            <w:tcW w:w="8844" w:type="dxa"/>
            <w:tcBorders>
              <w:top w:val="single" w:sz="4" w:space="0" w:color="auto"/>
              <w:left w:val="single" w:sz="4" w:space="0" w:color="auto"/>
              <w:bottom w:val="single" w:sz="4" w:space="0" w:color="auto"/>
              <w:right w:val="single" w:sz="4" w:space="0" w:color="auto"/>
            </w:tcBorders>
            <w:hideMark/>
          </w:tcPr>
          <w:p w14:paraId="4D686EE6" w14:textId="71CA6F5A" w:rsidR="009B5B25" w:rsidRPr="000915D0" w:rsidRDefault="009B5B25" w:rsidP="00240518">
            <w:pPr>
              <w:spacing w:after="0"/>
              <w:rPr>
                <w:rFonts w:ascii="Times New Roman" w:hAnsi="Times New Roman" w:cs="Times New Roman"/>
                <w:sz w:val="20"/>
                <w:szCs w:val="20"/>
              </w:rPr>
            </w:pPr>
            <w:r w:rsidRPr="000915D0">
              <w:rPr>
                <w:rFonts w:ascii="Times New Roman" w:hAnsi="Times New Roman" w:cs="Times New Roman"/>
                <w:sz w:val="20"/>
                <w:szCs w:val="20"/>
              </w:rPr>
              <w:t xml:space="preserve">p. </w:t>
            </w:r>
            <w:proofErr w:type="gramStart"/>
            <w:r w:rsidRPr="000915D0">
              <w:rPr>
                <w:rFonts w:ascii="Times New Roman" w:hAnsi="Times New Roman" w:cs="Times New Roman"/>
                <w:sz w:val="20"/>
                <w:szCs w:val="20"/>
              </w:rPr>
              <w:t>97:</w:t>
            </w:r>
            <w:proofErr w:type="gramEnd"/>
            <w:r w:rsidRPr="000915D0">
              <w:rPr>
                <w:rFonts w:ascii="Times New Roman" w:hAnsi="Times New Roman" w:cs="Times New Roman"/>
                <w:sz w:val="20"/>
                <w:szCs w:val="20"/>
              </w:rPr>
              <w:t xml:space="preserve"> </w:t>
            </w:r>
            <w:r w:rsidR="007B614D" w:rsidRPr="000915D0">
              <w:rPr>
                <w:rFonts w:ascii="Times New Roman" w:hAnsi="Times New Roman" w:cs="Times New Roman"/>
                <w:sz w:val="20"/>
                <w:szCs w:val="20"/>
              </w:rPr>
              <w:t>« </w:t>
            </w:r>
            <w:r w:rsidRPr="000915D0">
              <w:rPr>
                <w:rFonts w:ascii="Times New Roman" w:hAnsi="Times New Roman" w:cs="Times New Roman"/>
                <w:sz w:val="20"/>
                <w:szCs w:val="20"/>
              </w:rPr>
              <w:t xml:space="preserve">La situation syndicale française, dans laquelle des organisations syndicales rivales sont portées à s’accuser réciproquement de mollesse accroît cette méfiance. </w:t>
            </w:r>
            <w:r w:rsidRPr="000915D0">
              <w:rPr>
                <w:rFonts w:ascii="Times New Roman" w:hAnsi="Times New Roman" w:cs="Times New Roman"/>
                <w:b/>
                <w:bCs/>
                <w:sz w:val="20"/>
                <w:szCs w:val="20"/>
                <w:u w:val="single"/>
              </w:rPr>
              <w:t>La duperie de la cogestion allemande</w:t>
            </w:r>
            <w:r w:rsidRPr="000915D0">
              <w:rPr>
                <w:rFonts w:ascii="Times New Roman" w:hAnsi="Times New Roman" w:cs="Times New Roman"/>
                <w:sz w:val="20"/>
                <w:szCs w:val="20"/>
              </w:rPr>
              <w:t xml:space="preserve"> s’y ajoute, pour expliquer une attitude qui semble contradictoire, faite d’une succession de pas en avant et de reculs</w:t>
            </w:r>
            <w:r w:rsidR="007B614D" w:rsidRPr="000915D0">
              <w:rPr>
                <w:rFonts w:ascii="Times New Roman" w:hAnsi="Times New Roman" w:cs="Times New Roman"/>
                <w:sz w:val="20"/>
                <w:szCs w:val="20"/>
              </w:rPr>
              <w:t> »</w:t>
            </w:r>
            <w:r w:rsidRPr="000915D0">
              <w:rPr>
                <w:rFonts w:ascii="Times New Roman" w:hAnsi="Times New Roman" w:cs="Times New Roman"/>
                <w:sz w:val="20"/>
                <w:szCs w:val="20"/>
              </w:rPr>
              <w:t>. (</w:t>
            </w:r>
            <w:r w:rsidR="00DB5B31" w:rsidRPr="000915D0">
              <w:rPr>
                <w:rFonts w:ascii="Times New Roman" w:hAnsi="Times New Roman" w:cs="Times New Roman"/>
                <w:sz w:val="20"/>
                <w:szCs w:val="20"/>
              </w:rPr>
              <w:t>Bloch-Lainé</w:t>
            </w:r>
            <w:r w:rsidRPr="000915D0">
              <w:rPr>
                <w:rFonts w:ascii="Times New Roman" w:hAnsi="Times New Roman" w:cs="Times New Roman"/>
                <w:sz w:val="20"/>
                <w:szCs w:val="20"/>
              </w:rPr>
              <w:t>, 1963)</w:t>
            </w:r>
          </w:p>
        </w:tc>
      </w:tr>
      <w:tr w:rsidR="009B5B25" w:rsidRPr="000915D0" w14:paraId="4315F4D4" w14:textId="77777777" w:rsidTr="005C309F">
        <w:tc>
          <w:tcPr>
            <w:tcW w:w="1785" w:type="dxa"/>
            <w:vMerge/>
            <w:tcBorders>
              <w:left w:val="single" w:sz="4" w:space="0" w:color="auto"/>
              <w:right w:val="single" w:sz="4" w:space="0" w:color="auto"/>
            </w:tcBorders>
          </w:tcPr>
          <w:p w14:paraId="5F295CE3" w14:textId="77777777" w:rsidR="009B5B25" w:rsidRPr="000915D0" w:rsidRDefault="009B5B25" w:rsidP="00240518">
            <w:pPr>
              <w:spacing w:after="0"/>
              <w:jc w:val="both"/>
              <w:rPr>
                <w:rFonts w:ascii="Times New Roman" w:hAnsi="Times New Roman" w:cs="Times New Roman"/>
                <w:b/>
                <w:bCs/>
                <w:smallCaps/>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hideMark/>
          </w:tcPr>
          <w:p w14:paraId="50DD4FA0" w14:textId="77777777" w:rsidR="009B5B25" w:rsidRPr="000915D0" w:rsidRDefault="009B5B25"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1963-2022</w:t>
            </w:r>
          </w:p>
        </w:tc>
        <w:tc>
          <w:tcPr>
            <w:tcW w:w="1607" w:type="dxa"/>
            <w:tcBorders>
              <w:top w:val="single" w:sz="4" w:space="0" w:color="auto"/>
              <w:left w:val="single" w:sz="4" w:space="0" w:color="auto"/>
              <w:bottom w:val="single" w:sz="4" w:space="0" w:color="auto"/>
              <w:right w:val="single" w:sz="4" w:space="0" w:color="auto"/>
            </w:tcBorders>
            <w:vAlign w:val="center"/>
            <w:hideMark/>
          </w:tcPr>
          <w:p w14:paraId="55447AD3" w14:textId="77777777" w:rsidR="009B5B25" w:rsidRPr="000915D0" w:rsidRDefault="009B5B25"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Refus de la coopération de classe</w:t>
            </w:r>
          </w:p>
        </w:tc>
        <w:tc>
          <w:tcPr>
            <w:tcW w:w="1546" w:type="dxa"/>
            <w:tcBorders>
              <w:top w:val="single" w:sz="4" w:space="0" w:color="auto"/>
              <w:left w:val="single" w:sz="4" w:space="0" w:color="auto"/>
              <w:bottom w:val="single" w:sz="4" w:space="0" w:color="auto"/>
              <w:right w:val="single" w:sz="4" w:space="0" w:color="auto"/>
            </w:tcBorders>
            <w:vAlign w:val="center"/>
            <w:hideMark/>
          </w:tcPr>
          <w:p w14:paraId="3F28D85A" w14:textId="4AF688C4" w:rsidR="009B5B25" w:rsidRPr="000915D0" w:rsidRDefault="009B5B25"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Bloch Lainé</w:t>
            </w:r>
          </w:p>
        </w:tc>
        <w:tc>
          <w:tcPr>
            <w:tcW w:w="8844" w:type="dxa"/>
            <w:tcBorders>
              <w:top w:val="single" w:sz="4" w:space="0" w:color="auto"/>
              <w:left w:val="single" w:sz="4" w:space="0" w:color="auto"/>
              <w:bottom w:val="single" w:sz="4" w:space="0" w:color="auto"/>
              <w:right w:val="single" w:sz="4" w:space="0" w:color="auto"/>
            </w:tcBorders>
            <w:hideMark/>
          </w:tcPr>
          <w:p w14:paraId="1D00DD86" w14:textId="2DE8F7F4" w:rsidR="009B5B25" w:rsidRPr="000915D0" w:rsidRDefault="009B5B25" w:rsidP="00240518">
            <w:pPr>
              <w:spacing w:after="0"/>
              <w:rPr>
                <w:rFonts w:ascii="Times New Roman" w:hAnsi="Times New Roman" w:cs="Times New Roman"/>
                <w:sz w:val="20"/>
                <w:szCs w:val="20"/>
              </w:rPr>
            </w:pPr>
            <w:r w:rsidRPr="000915D0">
              <w:rPr>
                <w:rFonts w:ascii="Times New Roman" w:hAnsi="Times New Roman" w:cs="Times New Roman"/>
                <w:sz w:val="20"/>
                <w:szCs w:val="20"/>
              </w:rPr>
              <w:t xml:space="preserve">p. 97 : </w:t>
            </w:r>
            <w:r w:rsidR="007B614D" w:rsidRPr="000915D0">
              <w:rPr>
                <w:rFonts w:ascii="Times New Roman" w:hAnsi="Times New Roman" w:cs="Times New Roman"/>
                <w:sz w:val="20"/>
                <w:szCs w:val="20"/>
              </w:rPr>
              <w:t>« </w:t>
            </w:r>
            <w:r w:rsidRPr="000915D0">
              <w:rPr>
                <w:rFonts w:ascii="Times New Roman" w:hAnsi="Times New Roman" w:cs="Times New Roman"/>
                <w:sz w:val="20"/>
                <w:szCs w:val="20"/>
              </w:rPr>
              <w:t xml:space="preserve">[Les syndicats] ne voudraient pas que leur assistance, plus ou moins silencieuse, pût être interprétée à tout coup comme un acquiescement qui les engagerait </w:t>
            </w:r>
            <w:proofErr w:type="gramStart"/>
            <w:r w:rsidRPr="000915D0">
              <w:rPr>
                <w:rFonts w:ascii="Times New Roman" w:hAnsi="Times New Roman" w:cs="Times New Roman"/>
                <w:sz w:val="20"/>
                <w:szCs w:val="20"/>
              </w:rPr>
              <w:t>ou</w:t>
            </w:r>
            <w:proofErr w:type="gramEnd"/>
            <w:r w:rsidRPr="000915D0">
              <w:rPr>
                <w:rFonts w:ascii="Times New Roman" w:hAnsi="Times New Roman" w:cs="Times New Roman"/>
                <w:sz w:val="20"/>
                <w:szCs w:val="20"/>
              </w:rPr>
              <w:t xml:space="preserve"> les paralyserait. Ils redoutent d’être mélés à des décisions sur lesquelles ils ne sont pas en mesure de peser vraiment. Ils éprouvent le sentiment qu’en leur offrant de causer comme on le fait, on cherche à </w:t>
            </w:r>
            <w:proofErr w:type="gramStart"/>
            <w:r w:rsidRPr="000915D0">
              <w:rPr>
                <w:rFonts w:ascii="Times New Roman" w:hAnsi="Times New Roman" w:cs="Times New Roman"/>
                <w:sz w:val="20"/>
                <w:szCs w:val="20"/>
              </w:rPr>
              <w:t>la intégrer</w:t>
            </w:r>
            <w:proofErr w:type="gramEnd"/>
            <w:r w:rsidRPr="000915D0">
              <w:rPr>
                <w:rFonts w:ascii="Times New Roman" w:hAnsi="Times New Roman" w:cs="Times New Roman"/>
                <w:sz w:val="20"/>
                <w:szCs w:val="20"/>
              </w:rPr>
              <w:t xml:space="preserve"> dans un système qui leur reste étranger, à leur faire cautionner ce à quoi ils ont peu de part effective</w:t>
            </w:r>
            <w:r w:rsidR="007B614D" w:rsidRPr="000915D0">
              <w:rPr>
                <w:rFonts w:ascii="Times New Roman" w:hAnsi="Times New Roman" w:cs="Times New Roman"/>
                <w:sz w:val="20"/>
                <w:szCs w:val="20"/>
              </w:rPr>
              <w:t> »</w:t>
            </w:r>
            <w:r w:rsidRPr="000915D0">
              <w:rPr>
                <w:rFonts w:ascii="Times New Roman" w:hAnsi="Times New Roman" w:cs="Times New Roman"/>
                <w:sz w:val="20"/>
                <w:szCs w:val="20"/>
              </w:rPr>
              <w:t>.</w:t>
            </w:r>
            <w:r w:rsidR="00DB5B31" w:rsidRPr="000915D0">
              <w:rPr>
                <w:rFonts w:ascii="Times New Roman" w:hAnsi="Times New Roman" w:cs="Times New Roman"/>
                <w:sz w:val="20"/>
                <w:szCs w:val="20"/>
              </w:rPr>
              <w:t xml:space="preserve"> (Bloch-Lainé, 1963)</w:t>
            </w:r>
          </w:p>
        </w:tc>
      </w:tr>
      <w:tr w:rsidR="009B5B25" w:rsidRPr="000915D0" w14:paraId="715FCF9A" w14:textId="77777777" w:rsidTr="005C309F">
        <w:tc>
          <w:tcPr>
            <w:tcW w:w="1785" w:type="dxa"/>
            <w:vMerge/>
            <w:tcBorders>
              <w:left w:val="single" w:sz="4" w:space="0" w:color="auto"/>
              <w:bottom w:val="single" w:sz="4" w:space="0" w:color="auto"/>
              <w:right w:val="single" w:sz="4" w:space="0" w:color="auto"/>
            </w:tcBorders>
          </w:tcPr>
          <w:p w14:paraId="3C5E4D58" w14:textId="77777777" w:rsidR="009B5B25" w:rsidRPr="000915D0" w:rsidRDefault="009B5B25" w:rsidP="00240518">
            <w:pPr>
              <w:spacing w:after="0"/>
              <w:jc w:val="both"/>
              <w:rPr>
                <w:rFonts w:ascii="Times New Roman" w:hAnsi="Times New Roman" w:cs="Times New Roman"/>
                <w:b/>
                <w:bCs/>
                <w:smallCaps/>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hideMark/>
          </w:tcPr>
          <w:p w14:paraId="08CA0B21" w14:textId="77777777" w:rsidR="009B5B25" w:rsidRPr="000915D0" w:rsidRDefault="009B5B25"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1963-2022</w:t>
            </w:r>
          </w:p>
        </w:tc>
        <w:tc>
          <w:tcPr>
            <w:tcW w:w="1607" w:type="dxa"/>
            <w:tcBorders>
              <w:top w:val="single" w:sz="4" w:space="0" w:color="auto"/>
              <w:left w:val="single" w:sz="4" w:space="0" w:color="auto"/>
              <w:bottom w:val="single" w:sz="4" w:space="0" w:color="auto"/>
              <w:right w:val="single" w:sz="4" w:space="0" w:color="auto"/>
            </w:tcBorders>
            <w:vAlign w:val="center"/>
            <w:hideMark/>
          </w:tcPr>
          <w:p w14:paraId="4A19A284" w14:textId="77777777" w:rsidR="009B5B25" w:rsidRPr="000915D0" w:rsidRDefault="009B5B25"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Rejet des dirigeants</w:t>
            </w:r>
          </w:p>
        </w:tc>
        <w:tc>
          <w:tcPr>
            <w:tcW w:w="1546" w:type="dxa"/>
            <w:tcBorders>
              <w:top w:val="single" w:sz="4" w:space="0" w:color="auto"/>
              <w:left w:val="single" w:sz="4" w:space="0" w:color="auto"/>
              <w:bottom w:val="single" w:sz="4" w:space="0" w:color="auto"/>
              <w:right w:val="single" w:sz="4" w:space="0" w:color="auto"/>
            </w:tcBorders>
            <w:vAlign w:val="center"/>
          </w:tcPr>
          <w:p w14:paraId="547C7E44" w14:textId="765EB0D0" w:rsidR="009B5B25" w:rsidRPr="000915D0" w:rsidRDefault="00130D9D"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CNPF</w:t>
            </w:r>
          </w:p>
        </w:tc>
        <w:tc>
          <w:tcPr>
            <w:tcW w:w="8844" w:type="dxa"/>
            <w:tcBorders>
              <w:top w:val="single" w:sz="4" w:space="0" w:color="auto"/>
              <w:left w:val="single" w:sz="4" w:space="0" w:color="auto"/>
              <w:bottom w:val="single" w:sz="4" w:space="0" w:color="auto"/>
              <w:right w:val="single" w:sz="4" w:space="0" w:color="auto"/>
            </w:tcBorders>
            <w:hideMark/>
          </w:tcPr>
          <w:p w14:paraId="4704C826" w14:textId="4CFA46CA" w:rsidR="009B5B25" w:rsidRPr="000915D0" w:rsidRDefault="009B5B25" w:rsidP="00240518">
            <w:pPr>
              <w:spacing w:after="0"/>
              <w:rPr>
                <w:rFonts w:ascii="Times New Roman" w:hAnsi="Times New Roman" w:cs="Times New Roman"/>
                <w:sz w:val="20"/>
                <w:szCs w:val="20"/>
              </w:rPr>
            </w:pPr>
            <w:r w:rsidRPr="000915D0">
              <w:rPr>
                <w:rFonts w:ascii="Times New Roman" w:hAnsi="Times New Roman" w:cs="Times New Roman"/>
                <w:sz w:val="20"/>
                <w:szCs w:val="20"/>
              </w:rPr>
              <w:t>En 1975 : L’opposition du patronat se précise quelques mois plus tard. Le patronat réaffirme son opposition à toute tentative de « cogestion » ou de « cosurveillance » même minoritaire. De façon plus ou moins explicite, le patronat met dans la balance le monopole des organisations syndicales de la présentation des candidats au premier tour des élections du comité d’entreprise. Autour de cette question se joue une guerre sourde pour savoir si le patronat peut ouvrir ces postes à d’autres candidatures, moins opposées voire favorables à ses positions. (</w:t>
            </w:r>
            <w:r w:rsidR="00A17880" w:rsidRPr="000915D0">
              <w:rPr>
                <w:rFonts w:ascii="Times New Roman" w:hAnsi="Times New Roman" w:cs="Times New Roman"/>
                <w:sz w:val="20"/>
                <w:szCs w:val="20"/>
              </w:rPr>
              <w:t>Aubert et Hollandts, 2022</w:t>
            </w:r>
            <w:r w:rsidRPr="000915D0">
              <w:rPr>
                <w:rFonts w:ascii="Times New Roman" w:hAnsi="Times New Roman" w:cs="Times New Roman"/>
                <w:sz w:val="20"/>
                <w:szCs w:val="20"/>
              </w:rPr>
              <w:t>)</w:t>
            </w:r>
          </w:p>
        </w:tc>
      </w:tr>
      <w:tr w:rsidR="005702E9" w:rsidRPr="000915D0" w14:paraId="31CF5925" w14:textId="77777777" w:rsidTr="005C309F">
        <w:tc>
          <w:tcPr>
            <w:tcW w:w="1785" w:type="dxa"/>
            <w:vMerge w:val="restart"/>
            <w:tcBorders>
              <w:top w:val="single" w:sz="4" w:space="0" w:color="auto"/>
              <w:left w:val="single" w:sz="4" w:space="0" w:color="auto"/>
              <w:right w:val="single" w:sz="4" w:space="0" w:color="auto"/>
            </w:tcBorders>
            <w:hideMark/>
          </w:tcPr>
          <w:p w14:paraId="03AC43DB" w14:textId="120A49D4" w:rsidR="005702E9" w:rsidRPr="000915D0" w:rsidRDefault="005702E9" w:rsidP="00240518">
            <w:pPr>
              <w:spacing w:after="0"/>
              <w:jc w:val="both"/>
              <w:rPr>
                <w:rFonts w:ascii="Times New Roman" w:hAnsi="Times New Roman" w:cs="Times New Roman"/>
                <w:smallCaps/>
                <w:sz w:val="20"/>
                <w:szCs w:val="20"/>
              </w:rPr>
            </w:pPr>
            <w:r w:rsidRPr="000915D0">
              <w:rPr>
                <w:rFonts w:ascii="Times New Roman" w:hAnsi="Times New Roman" w:cs="Times New Roman"/>
                <w:b/>
                <w:bCs/>
                <w:smallCaps/>
                <w:sz w:val="20"/>
                <w:szCs w:val="20"/>
              </w:rPr>
              <w:t>Infrastructure sociale</w:t>
            </w:r>
            <w:r w:rsidRPr="000915D0" w:rsidDel="005702E9">
              <w:rPr>
                <w:rFonts w:ascii="Times New Roman" w:hAnsi="Times New Roman" w:cs="Times New Roman"/>
                <w:b/>
                <w:bCs/>
                <w:smallCaps/>
                <w:sz w:val="20"/>
                <w:szCs w:val="20"/>
              </w:rPr>
              <w:t xml:space="preserve"> </w:t>
            </w:r>
          </w:p>
        </w:tc>
        <w:tc>
          <w:tcPr>
            <w:tcW w:w="1528" w:type="dxa"/>
            <w:tcBorders>
              <w:top w:val="single" w:sz="4" w:space="0" w:color="auto"/>
              <w:left w:val="single" w:sz="4" w:space="0" w:color="auto"/>
              <w:bottom w:val="single" w:sz="4" w:space="0" w:color="auto"/>
              <w:right w:val="single" w:sz="4" w:space="0" w:color="auto"/>
            </w:tcBorders>
            <w:vAlign w:val="center"/>
          </w:tcPr>
          <w:p w14:paraId="47E22464" w14:textId="20F423EE" w:rsidR="005702E9" w:rsidRPr="000915D0" w:rsidRDefault="00822870"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Toute la période</w:t>
            </w:r>
          </w:p>
        </w:tc>
        <w:tc>
          <w:tcPr>
            <w:tcW w:w="1607" w:type="dxa"/>
            <w:tcBorders>
              <w:top w:val="single" w:sz="4" w:space="0" w:color="auto"/>
              <w:left w:val="single" w:sz="4" w:space="0" w:color="auto"/>
              <w:bottom w:val="single" w:sz="4" w:space="0" w:color="auto"/>
              <w:right w:val="single" w:sz="4" w:space="0" w:color="auto"/>
            </w:tcBorders>
            <w:vAlign w:val="center"/>
            <w:hideMark/>
          </w:tcPr>
          <w:p w14:paraId="09D014F5" w14:textId="041EC3C8" w:rsidR="00822870" w:rsidRPr="000915D0" w:rsidRDefault="00822870" w:rsidP="00822870">
            <w:pPr>
              <w:spacing w:after="0"/>
              <w:jc w:val="center"/>
              <w:rPr>
                <w:rFonts w:ascii="Times New Roman" w:hAnsi="Times New Roman" w:cs="Times New Roman"/>
                <w:sz w:val="20"/>
                <w:szCs w:val="20"/>
              </w:rPr>
            </w:pPr>
            <w:r w:rsidRPr="000915D0">
              <w:rPr>
                <w:rFonts w:ascii="Times New Roman" w:hAnsi="Times New Roman" w:cs="Times New Roman"/>
                <w:sz w:val="20"/>
                <w:szCs w:val="20"/>
              </w:rPr>
              <w:t>Pas de lobby ou de front unitaire ou de plateforme commune</w:t>
            </w:r>
          </w:p>
          <w:p w14:paraId="611D50F0" w14:textId="77777777" w:rsidR="00822870" w:rsidRPr="000915D0" w:rsidRDefault="00822870" w:rsidP="00822870">
            <w:pPr>
              <w:spacing w:after="0"/>
              <w:jc w:val="center"/>
              <w:rPr>
                <w:rFonts w:ascii="Times New Roman" w:hAnsi="Times New Roman" w:cs="Times New Roman"/>
                <w:sz w:val="20"/>
                <w:szCs w:val="20"/>
              </w:rPr>
            </w:pPr>
          </w:p>
          <w:p w14:paraId="3FD7ED35" w14:textId="77777777" w:rsidR="00822870" w:rsidRPr="000915D0" w:rsidRDefault="00822870" w:rsidP="00822870">
            <w:pPr>
              <w:spacing w:after="0"/>
              <w:jc w:val="center"/>
              <w:rPr>
                <w:rFonts w:ascii="Times New Roman" w:hAnsi="Times New Roman" w:cs="Times New Roman"/>
                <w:sz w:val="20"/>
                <w:szCs w:val="20"/>
              </w:rPr>
            </w:pPr>
          </w:p>
          <w:p w14:paraId="499AF050" w14:textId="668F7068"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Politiquement, toujours des courants minoritaires</w:t>
            </w:r>
          </w:p>
        </w:tc>
        <w:tc>
          <w:tcPr>
            <w:tcW w:w="1546" w:type="dxa"/>
            <w:tcBorders>
              <w:top w:val="single" w:sz="4" w:space="0" w:color="auto"/>
              <w:left w:val="single" w:sz="4" w:space="0" w:color="auto"/>
              <w:bottom w:val="single" w:sz="4" w:space="0" w:color="auto"/>
              <w:right w:val="single" w:sz="4" w:space="0" w:color="auto"/>
            </w:tcBorders>
            <w:vAlign w:val="center"/>
          </w:tcPr>
          <w:p w14:paraId="2F80E7BB" w14:textId="77777777" w:rsidR="005702E9" w:rsidRPr="000915D0" w:rsidRDefault="00E740CC" w:rsidP="0026205F">
            <w:pPr>
              <w:spacing w:after="0"/>
              <w:jc w:val="center"/>
              <w:rPr>
                <w:rFonts w:ascii="Times New Roman" w:hAnsi="Times New Roman" w:cs="Times New Roman"/>
                <w:sz w:val="20"/>
                <w:szCs w:val="20"/>
                <w:lang w:val="en-US"/>
              </w:rPr>
            </w:pPr>
            <w:r w:rsidRPr="000915D0">
              <w:rPr>
                <w:rFonts w:ascii="Times New Roman" w:hAnsi="Times New Roman" w:cs="Times New Roman"/>
                <w:sz w:val="20"/>
                <w:szCs w:val="20"/>
                <w:lang w:val="en-US"/>
              </w:rPr>
              <w:t>Rocard</w:t>
            </w:r>
          </w:p>
          <w:p w14:paraId="1D7A019C" w14:textId="77777777" w:rsidR="00E740CC" w:rsidRPr="000915D0" w:rsidRDefault="00E740CC" w:rsidP="0026205F">
            <w:pPr>
              <w:spacing w:after="0"/>
              <w:jc w:val="center"/>
              <w:rPr>
                <w:rFonts w:ascii="Times New Roman" w:hAnsi="Times New Roman" w:cs="Times New Roman"/>
                <w:sz w:val="20"/>
                <w:szCs w:val="20"/>
                <w:lang w:val="en-US"/>
              </w:rPr>
            </w:pPr>
            <w:r w:rsidRPr="000915D0">
              <w:rPr>
                <w:rFonts w:ascii="Times New Roman" w:hAnsi="Times New Roman" w:cs="Times New Roman"/>
                <w:sz w:val="20"/>
                <w:szCs w:val="20"/>
                <w:lang w:val="en-US"/>
              </w:rPr>
              <w:t>Chaban-Delmas</w:t>
            </w:r>
          </w:p>
          <w:p w14:paraId="48DDF501" w14:textId="39B2338F" w:rsidR="00E740CC" w:rsidRPr="000915D0" w:rsidRDefault="00E740CC" w:rsidP="0026205F">
            <w:pPr>
              <w:spacing w:after="0"/>
              <w:jc w:val="center"/>
              <w:rPr>
                <w:rFonts w:ascii="Times New Roman" w:hAnsi="Times New Roman" w:cs="Times New Roman"/>
                <w:sz w:val="20"/>
                <w:szCs w:val="20"/>
                <w:lang w:val="en-US"/>
              </w:rPr>
            </w:pPr>
            <w:r w:rsidRPr="000915D0">
              <w:rPr>
                <w:rFonts w:ascii="Times New Roman" w:hAnsi="Times New Roman" w:cs="Times New Roman"/>
                <w:sz w:val="20"/>
                <w:szCs w:val="20"/>
                <w:lang w:val="en-US"/>
              </w:rPr>
              <w:t>Delors</w:t>
            </w:r>
          </w:p>
          <w:p w14:paraId="580211B1" w14:textId="6A36B115" w:rsidR="00E740CC" w:rsidRPr="000915D0" w:rsidRDefault="00E740CC" w:rsidP="005A2601">
            <w:pPr>
              <w:spacing w:after="0"/>
              <w:jc w:val="center"/>
              <w:rPr>
                <w:rFonts w:ascii="Times New Roman" w:hAnsi="Times New Roman" w:cs="Times New Roman"/>
                <w:sz w:val="20"/>
                <w:szCs w:val="20"/>
                <w:lang w:val="en-US"/>
              </w:rPr>
            </w:pPr>
            <w:r w:rsidRPr="000915D0">
              <w:rPr>
                <w:rFonts w:ascii="Times New Roman" w:hAnsi="Times New Roman" w:cs="Times New Roman"/>
                <w:sz w:val="20"/>
                <w:szCs w:val="20"/>
                <w:lang w:val="en-US"/>
              </w:rPr>
              <w:t>Giscard d’Estaing</w:t>
            </w:r>
          </w:p>
        </w:tc>
        <w:tc>
          <w:tcPr>
            <w:tcW w:w="8844" w:type="dxa"/>
            <w:tcBorders>
              <w:top w:val="single" w:sz="4" w:space="0" w:color="auto"/>
              <w:left w:val="single" w:sz="4" w:space="0" w:color="auto"/>
              <w:bottom w:val="single" w:sz="4" w:space="0" w:color="auto"/>
              <w:right w:val="single" w:sz="4" w:space="0" w:color="auto"/>
            </w:tcBorders>
          </w:tcPr>
          <w:p w14:paraId="1A76AA00" w14:textId="68F72E9F" w:rsidR="007223C0" w:rsidRPr="000915D0" w:rsidRDefault="005702E9" w:rsidP="00240518">
            <w:pPr>
              <w:spacing w:after="0"/>
              <w:jc w:val="both"/>
              <w:rPr>
                <w:rFonts w:ascii="Times New Roman" w:hAnsi="Times New Roman" w:cs="Times New Roman"/>
                <w:sz w:val="20"/>
                <w:szCs w:val="20"/>
              </w:rPr>
            </w:pPr>
            <w:r w:rsidRPr="000915D0">
              <w:rPr>
                <w:rFonts w:ascii="Times New Roman" w:hAnsi="Times New Roman" w:cs="Times New Roman"/>
                <w:sz w:val="20"/>
                <w:szCs w:val="20"/>
              </w:rPr>
              <w:t>A des époques différentes, la Réforme aurait pu bénéficier du soutien politique de la gauche (PSU de Michel Rocard), de la droite (Gaullistes sociaux représentés par Chaban-Delmas) et au centre (Républicains indépendants de Valéry Giscard d’Estaing).</w:t>
            </w:r>
          </w:p>
          <w:p w14:paraId="02EDF350" w14:textId="77777777" w:rsidR="005702E9" w:rsidRPr="000915D0" w:rsidRDefault="005702E9" w:rsidP="00240518">
            <w:pPr>
              <w:spacing w:after="0"/>
              <w:jc w:val="both"/>
              <w:rPr>
                <w:rFonts w:ascii="Times New Roman" w:hAnsi="Times New Roman" w:cs="Times New Roman"/>
                <w:sz w:val="20"/>
                <w:szCs w:val="20"/>
                <w:u w:val="single"/>
              </w:rPr>
            </w:pPr>
          </w:p>
          <w:p w14:paraId="7D9C076B" w14:textId="77777777" w:rsidR="005702E9" w:rsidRPr="000915D0" w:rsidRDefault="005702E9" w:rsidP="00240518">
            <w:pPr>
              <w:spacing w:after="0"/>
              <w:jc w:val="both"/>
              <w:rPr>
                <w:rFonts w:ascii="Times New Roman" w:hAnsi="Times New Roman" w:cs="Times New Roman"/>
                <w:sz w:val="20"/>
                <w:szCs w:val="20"/>
                <w:u w:val="single"/>
              </w:rPr>
            </w:pPr>
            <w:r w:rsidRPr="000915D0">
              <w:rPr>
                <w:rFonts w:ascii="Times New Roman" w:hAnsi="Times New Roman" w:cs="Times New Roman"/>
                <w:sz w:val="20"/>
                <w:szCs w:val="20"/>
                <w:u w:val="single"/>
              </w:rPr>
              <w:t>L’échec des gaullistes de gauche menés par Chaban-Delmas :</w:t>
            </w:r>
          </w:p>
          <w:p w14:paraId="65D59F63" w14:textId="77777777" w:rsidR="005702E9" w:rsidRPr="000915D0" w:rsidRDefault="005702E9" w:rsidP="00240518">
            <w:pPr>
              <w:spacing w:after="0"/>
              <w:jc w:val="both"/>
              <w:rPr>
                <w:rFonts w:ascii="Times New Roman" w:hAnsi="Times New Roman" w:cs="Times New Roman"/>
                <w:sz w:val="20"/>
                <w:szCs w:val="20"/>
              </w:rPr>
            </w:pPr>
            <w:r w:rsidRPr="000915D0">
              <w:rPr>
                <w:rFonts w:ascii="Times New Roman" w:hAnsi="Times New Roman" w:cs="Times New Roman"/>
                <w:sz w:val="20"/>
                <w:szCs w:val="20"/>
              </w:rPr>
              <w:t>Les gaullistes de gauche auraient pu être une infrastructure sociale qui mobilise mais elle a échoué à s’imposer comme un courant dominant au sein du gaullisme (échec de Chaban-Delmas et de la nouvelle société :</w:t>
            </w:r>
          </w:p>
          <w:p w14:paraId="6102A473" w14:textId="2BBA47AB" w:rsidR="005702E9" w:rsidRPr="000915D0" w:rsidRDefault="005702E9" w:rsidP="003726A4">
            <w:pPr>
              <w:spacing w:after="0"/>
              <w:jc w:val="both"/>
              <w:rPr>
                <w:rFonts w:ascii="Times New Roman" w:hAnsi="Times New Roman" w:cs="Times New Roman"/>
                <w:sz w:val="20"/>
                <w:szCs w:val="20"/>
              </w:rPr>
            </w:pPr>
            <w:r w:rsidRPr="000915D0">
              <w:rPr>
                <w:rFonts w:ascii="Times New Roman" w:hAnsi="Times New Roman" w:cs="Times New Roman"/>
                <w:sz w:val="20"/>
                <w:szCs w:val="20"/>
              </w:rPr>
              <w:t xml:space="preserve">Dans ses Mémoires, Jacques Delors (assistant de Chaban-Delmas de 1971 à 1972) dit de Chaban-Delmas « qu’il a été et qu’il est resté le premier des gaullistes sociaux et qu’il était un partisan convaincu des idées du général de Gaulle sur la participation » Jacques Delors, Mémoires, Paris, Plon, « Pocket », 2004, p. 95. </w:t>
            </w:r>
          </w:p>
          <w:p w14:paraId="3D6BACEA" w14:textId="77777777" w:rsidR="005702E9" w:rsidRPr="000915D0" w:rsidRDefault="005702E9" w:rsidP="00240518">
            <w:pPr>
              <w:spacing w:after="0"/>
              <w:jc w:val="both"/>
              <w:rPr>
                <w:rFonts w:ascii="Times New Roman" w:hAnsi="Times New Roman" w:cs="Times New Roman"/>
                <w:sz w:val="20"/>
                <w:szCs w:val="20"/>
              </w:rPr>
            </w:pPr>
          </w:p>
          <w:p w14:paraId="66D55E61" w14:textId="77777777" w:rsidR="005702E9" w:rsidRPr="000915D0" w:rsidRDefault="005702E9" w:rsidP="00240518">
            <w:pPr>
              <w:spacing w:after="0"/>
              <w:jc w:val="both"/>
              <w:rPr>
                <w:rFonts w:ascii="Times New Roman" w:hAnsi="Times New Roman" w:cs="Times New Roman"/>
                <w:sz w:val="20"/>
                <w:szCs w:val="20"/>
                <w:u w:val="single"/>
              </w:rPr>
            </w:pPr>
            <w:r w:rsidRPr="000915D0">
              <w:rPr>
                <w:rFonts w:ascii="Times New Roman" w:hAnsi="Times New Roman" w:cs="Times New Roman"/>
                <w:sz w:val="20"/>
                <w:szCs w:val="20"/>
                <w:u w:val="single"/>
              </w:rPr>
              <w:t>L’échec du PSU de Michel Rocard :</w:t>
            </w:r>
          </w:p>
          <w:p w14:paraId="238F843D" w14:textId="65AC3404" w:rsidR="005702E9" w:rsidRPr="000915D0" w:rsidRDefault="005702E9" w:rsidP="00240518">
            <w:pPr>
              <w:spacing w:after="0"/>
              <w:jc w:val="both"/>
              <w:rPr>
                <w:rFonts w:ascii="Times New Roman" w:hAnsi="Times New Roman" w:cs="Times New Roman"/>
                <w:sz w:val="20"/>
                <w:szCs w:val="20"/>
              </w:rPr>
            </w:pPr>
            <w:r w:rsidRPr="000915D0">
              <w:rPr>
                <w:rFonts w:ascii="Times New Roman" w:hAnsi="Times New Roman" w:cs="Times New Roman"/>
                <w:sz w:val="20"/>
                <w:szCs w:val="20"/>
              </w:rPr>
              <w:t>Michel Rocard, nouvellement arrivé au PS, depuis le PSU, est par exemple désavoué par la fédération de Paris pour sa prise de parole favorable au rapport Sudreau</w:t>
            </w:r>
            <w:r w:rsidR="007223C0" w:rsidRPr="000915D0">
              <w:rPr>
                <w:rFonts w:ascii="Times New Roman" w:hAnsi="Times New Roman" w:cs="Times New Roman"/>
                <w:sz w:val="20"/>
                <w:szCs w:val="20"/>
              </w:rPr>
              <w:t> :</w:t>
            </w:r>
            <w:r w:rsidRPr="000915D0">
              <w:rPr>
                <w:rFonts w:ascii="Times New Roman" w:hAnsi="Times New Roman" w:cs="Times New Roman"/>
                <w:sz w:val="20"/>
                <w:szCs w:val="20"/>
              </w:rPr>
              <w:t xml:space="preserve"> « Le parti socialiste n'a jamais prétendu que les procédures contractuelles étaient un bien en soi, car les rapports salariés-patronat ne peuvent se concevoir en dehors de la lutte des classes. Dans ces conditions, la fédération du P.S. souligne que les positions personnelles </w:t>
            </w:r>
            <w:r w:rsidRPr="000915D0">
              <w:rPr>
                <w:rFonts w:ascii="Times New Roman" w:hAnsi="Times New Roman" w:cs="Times New Roman"/>
                <w:sz w:val="20"/>
                <w:szCs w:val="20"/>
              </w:rPr>
              <w:lastRenderedPageBreak/>
              <w:t>qu'a pu prendre tel ou tel de ses adhérents (et particulièrement Michel Rocard, dont les déclarations ont connu un large écho) n'engagent en aucune façon le parti socialiste ».</w:t>
            </w:r>
          </w:p>
          <w:p w14:paraId="53D0DF57" w14:textId="77777777" w:rsidR="005702E9" w:rsidRPr="000915D0" w:rsidRDefault="005702E9" w:rsidP="00240518">
            <w:pPr>
              <w:spacing w:after="0"/>
              <w:jc w:val="both"/>
              <w:rPr>
                <w:rFonts w:ascii="Times New Roman" w:hAnsi="Times New Roman" w:cs="Times New Roman"/>
                <w:sz w:val="20"/>
                <w:szCs w:val="20"/>
              </w:rPr>
            </w:pPr>
          </w:p>
          <w:p w14:paraId="7717F31C" w14:textId="6F860731" w:rsidR="005702E9" w:rsidRPr="000915D0" w:rsidRDefault="005702E9" w:rsidP="00240518">
            <w:pPr>
              <w:spacing w:after="0"/>
              <w:jc w:val="both"/>
              <w:rPr>
                <w:rFonts w:ascii="Times New Roman" w:hAnsi="Times New Roman" w:cs="Times New Roman"/>
                <w:sz w:val="20"/>
                <w:szCs w:val="20"/>
                <w:u w:val="single"/>
              </w:rPr>
            </w:pPr>
            <w:r w:rsidRPr="000915D0">
              <w:rPr>
                <w:rFonts w:ascii="Times New Roman" w:hAnsi="Times New Roman" w:cs="Times New Roman"/>
                <w:sz w:val="20"/>
                <w:szCs w:val="20"/>
                <w:u w:val="single"/>
              </w:rPr>
              <w:t>Giscard d’Estaing « le Président est minoritaire dans la majorité »</w:t>
            </w:r>
            <w:r w:rsidR="00822870" w:rsidRPr="000915D0">
              <w:rPr>
                <w:rFonts w:ascii="Times New Roman" w:hAnsi="Times New Roman" w:cs="Times New Roman"/>
                <w:sz w:val="20"/>
                <w:szCs w:val="20"/>
                <w:u w:val="single"/>
              </w:rPr>
              <w:t> :</w:t>
            </w:r>
          </w:p>
          <w:p w14:paraId="780CEB73" w14:textId="77777777" w:rsidR="005702E9" w:rsidRPr="000915D0" w:rsidRDefault="005702E9" w:rsidP="00240518">
            <w:pPr>
              <w:spacing w:after="0"/>
              <w:jc w:val="both"/>
              <w:rPr>
                <w:rFonts w:ascii="Times New Roman" w:hAnsi="Times New Roman" w:cs="Times New Roman"/>
                <w:sz w:val="20"/>
                <w:szCs w:val="20"/>
              </w:rPr>
            </w:pPr>
            <w:r w:rsidRPr="000915D0">
              <w:rPr>
                <w:rFonts w:ascii="Times New Roman" w:hAnsi="Times New Roman" w:cs="Times New Roman"/>
                <w:sz w:val="20"/>
                <w:szCs w:val="20"/>
              </w:rPr>
              <w:t xml:space="preserve">Le rapport Sudreau de 1975 coïncide avec plusieurs retournements défavorables à la Réforme de l’entreprise. Tout d’abord, la démission de Jacques Chirac met le Président dans une situation difficile au sein même de sa majorité. Ensuite, c’est l’année où la crise économique frappe le plus durement le pays. </w:t>
            </w:r>
          </w:p>
          <w:p w14:paraId="22B1839B" w14:textId="77777777" w:rsidR="005702E9" w:rsidRPr="000915D0" w:rsidRDefault="005702E9" w:rsidP="00240518">
            <w:pPr>
              <w:spacing w:after="0"/>
              <w:jc w:val="both"/>
              <w:rPr>
                <w:rFonts w:ascii="Times New Roman" w:hAnsi="Times New Roman" w:cs="Times New Roman"/>
                <w:sz w:val="20"/>
                <w:szCs w:val="20"/>
              </w:rPr>
            </w:pPr>
          </w:p>
          <w:p w14:paraId="0F128949" w14:textId="77777777" w:rsidR="005702E9" w:rsidRPr="000915D0" w:rsidRDefault="005702E9" w:rsidP="00240518">
            <w:pPr>
              <w:spacing w:after="0"/>
              <w:jc w:val="both"/>
              <w:rPr>
                <w:rFonts w:ascii="Times New Roman" w:hAnsi="Times New Roman" w:cs="Times New Roman"/>
                <w:sz w:val="20"/>
                <w:szCs w:val="20"/>
                <w:u w:val="single"/>
              </w:rPr>
            </w:pPr>
            <w:r w:rsidRPr="000915D0">
              <w:rPr>
                <w:rFonts w:ascii="Times New Roman" w:hAnsi="Times New Roman" w:cs="Times New Roman"/>
                <w:sz w:val="20"/>
                <w:szCs w:val="20"/>
                <w:u w:val="single"/>
              </w:rPr>
              <w:t>L’abandon par la CFDT de la référence autogestionnaire :</w:t>
            </w:r>
          </w:p>
          <w:p w14:paraId="55295CEE" w14:textId="77777777" w:rsidR="005702E9" w:rsidRPr="000915D0" w:rsidRDefault="005702E9" w:rsidP="00240518">
            <w:pPr>
              <w:spacing w:after="0"/>
              <w:jc w:val="both"/>
              <w:rPr>
                <w:rFonts w:ascii="Times New Roman" w:hAnsi="Times New Roman" w:cs="Times New Roman"/>
                <w:sz w:val="20"/>
                <w:szCs w:val="20"/>
              </w:rPr>
            </w:pPr>
            <w:r w:rsidRPr="000915D0">
              <w:rPr>
                <w:rFonts w:ascii="Times New Roman" w:hAnsi="Times New Roman" w:cs="Times New Roman"/>
                <w:sz w:val="20"/>
                <w:szCs w:val="20"/>
              </w:rPr>
              <w:t>Le 41ème congrès de Strasbourg, fin novembre 1988, sera celui de l’abandon définitif de la référence socialiste, l’autogestion est confondue avec une vague démarche participative des salarié·es dans l’entreprise.</w:t>
            </w:r>
          </w:p>
          <w:p w14:paraId="2EDF0522" w14:textId="03CED9B7" w:rsidR="005702E9" w:rsidRPr="000915D0" w:rsidRDefault="005702E9" w:rsidP="00240518">
            <w:pPr>
              <w:spacing w:after="0"/>
              <w:jc w:val="both"/>
              <w:rPr>
                <w:rFonts w:ascii="Times New Roman" w:hAnsi="Times New Roman" w:cs="Times New Roman"/>
                <w:sz w:val="20"/>
                <w:szCs w:val="20"/>
              </w:rPr>
            </w:pPr>
            <w:r w:rsidRPr="000915D0">
              <w:rPr>
                <w:rFonts w:ascii="Times New Roman" w:hAnsi="Times New Roman" w:cs="Times New Roman"/>
                <w:sz w:val="20"/>
                <w:szCs w:val="20"/>
              </w:rPr>
              <w:t>L</w:t>
            </w:r>
            <w:r w:rsidR="00672C2E" w:rsidRPr="000915D0">
              <w:rPr>
                <w:rFonts w:ascii="Times New Roman" w:hAnsi="Times New Roman" w:cs="Times New Roman"/>
                <w:sz w:val="20"/>
                <w:szCs w:val="20"/>
              </w:rPr>
              <w:t>e</w:t>
            </w:r>
            <w:r w:rsidRPr="000915D0">
              <w:rPr>
                <w:rFonts w:ascii="Times New Roman" w:hAnsi="Times New Roman" w:cs="Times New Roman"/>
                <w:sz w:val="20"/>
                <w:szCs w:val="20"/>
              </w:rPr>
              <w:t xml:space="preserve"> soutien à l’autogestion s’affaiblit à partir de la défaite du PS aux législatives de 1978 et de la crise.</w:t>
            </w:r>
          </w:p>
          <w:p w14:paraId="3CD4A7B1" w14:textId="77777777" w:rsidR="005702E9" w:rsidRPr="000915D0" w:rsidRDefault="0054116A" w:rsidP="00240518">
            <w:pPr>
              <w:spacing w:after="0"/>
              <w:jc w:val="both"/>
              <w:rPr>
                <w:rFonts w:ascii="Times New Roman" w:hAnsi="Times New Roman" w:cs="Times New Roman"/>
                <w:sz w:val="20"/>
                <w:szCs w:val="20"/>
              </w:rPr>
            </w:pPr>
            <w:hyperlink r:id="rId9" w:anchor="sdfootnote17sym" w:history="1">
              <w:r w:rsidR="005702E9" w:rsidRPr="000915D0">
                <w:rPr>
                  <w:rStyle w:val="Lienhypertexte"/>
                  <w:rFonts w:ascii="Times New Roman" w:hAnsi="Times New Roman" w:cs="Times New Roman"/>
                  <w:color w:val="auto"/>
                  <w:sz w:val="20"/>
                  <w:szCs w:val="20"/>
                </w:rPr>
                <w:t>https://www.lesutopiques.org/quand-la-cfdt-voulait-le-socialisme-et-lautogestion/#sdfootnote17sym</w:t>
              </w:r>
            </w:hyperlink>
            <w:r w:rsidR="005702E9" w:rsidRPr="000915D0">
              <w:rPr>
                <w:rFonts w:ascii="Times New Roman" w:hAnsi="Times New Roman" w:cs="Times New Roman"/>
                <w:sz w:val="20"/>
                <w:szCs w:val="20"/>
              </w:rPr>
              <w:t xml:space="preserve"> </w:t>
            </w:r>
          </w:p>
        </w:tc>
      </w:tr>
      <w:tr w:rsidR="005702E9" w:rsidRPr="000915D0" w14:paraId="33F237CF" w14:textId="77777777" w:rsidTr="005C309F">
        <w:tc>
          <w:tcPr>
            <w:tcW w:w="1785" w:type="dxa"/>
            <w:vMerge/>
            <w:tcBorders>
              <w:left w:val="single" w:sz="4" w:space="0" w:color="auto"/>
              <w:bottom w:val="single" w:sz="4" w:space="0" w:color="auto"/>
              <w:right w:val="single" w:sz="4" w:space="0" w:color="auto"/>
            </w:tcBorders>
          </w:tcPr>
          <w:p w14:paraId="7A9BA047" w14:textId="77777777" w:rsidR="005702E9" w:rsidRPr="000915D0" w:rsidRDefault="005702E9" w:rsidP="00240518">
            <w:pPr>
              <w:spacing w:after="0"/>
              <w:jc w:val="both"/>
              <w:rPr>
                <w:rFonts w:ascii="Times New Roman" w:hAnsi="Times New Roman" w:cs="Times New Roman"/>
                <w:b/>
                <w:bCs/>
                <w:smallCaps/>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hideMark/>
          </w:tcPr>
          <w:p w14:paraId="3F60BAB4"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1963-2022</w:t>
            </w:r>
          </w:p>
        </w:tc>
        <w:tc>
          <w:tcPr>
            <w:tcW w:w="1607" w:type="dxa"/>
            <w:tcBorders>
              <w:top w:val="single" w:sz="4" w:space="0" w:color="auto"/>
              <w:left w:val="single" w:sz="4" w:space="0" w:color="auto"/>
              <w:bottom w:val="single" w:sz="4" w:space="0" w:color="auto"/>
              <w:right w:val="single" w:sz="4" w:space="0" w:color="auto"/>
            </w:tcBorders>
            <w:vAlign w:val="center"/>
          </w:tcPr>
          <w:p w14:paraId="7CE76F6B" w14:textId="07E1B66B" w:rsidR="005702E9" w:rsidRPr="000915D0" w:rsidRDefault="00ED3D72"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Crainte des syndicats</w:t>
            </w:r>
          </w:p>
        </w:tc>
        <w:tc>
          <w:tcPr>
            <w:tcW w:w="1546" w:type="dxa"/>
            <w:tcBorders>
              <w:top w:val="single" w:sz="4" w:space="0" w:color="auto"/>
              <w:left w:val="single" w:sz="4" w:space="0" w:color="auto"/>
              <w:bottom w:val="single" w:sz="4" w:space="0" w:color="auto"/>
              <w:right w:val="single" w:sz="4" w:space="0" w:color="auto"/>
            </w:tcBorders>
            <w:vAlign w:val="center"/>
            <w:hideMark/>
          </w:tcPr>
          <w:p w14:paraId="55AA4884" w14:textId="09831B1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Bloch Lainé</w:t>
            </w:r>
          </w:p>
        </w:tc>
        <w:tc>
          <w:tcPr>
            <w:tcW w:w="8844" w:type="dxa"/>
            <w:tcBorders>
              <w:top w:val="single" w:sz="4" w:space="0" w:color="auto"/>
              <w:left w:val="single" w:sz="4" w:space="0" w:color="auto"/>
              <w:bottom w:val="single" w:sz="4" w:space="0" w:color="auto"/>
              <w:right w:val="single" w:sz="4" w:space="0" w:color="auto"/>
            </w:tcBorders>
            <w:hideMark/>
          </w:tcPr>
          <w:p w14:paraId="00ACD87B" w14:textId="77777777" w:rsidR="005702E9" w:rsidRPr="000915D0" w:rsidRDefault="005702E9" w:rsidP="00240518">
            <w:pPr>
              <w:spacing w:after="0"/>
              <w:rPr>
                <w:rFonts w:ascii="Times New Roman" w:hAnsi="Times New Roman" w:cs="Times New Roman"/>
                <w:sz w:val="20"/>
                <w:szCs w:val="20"/>
              </w:rPr>
            </w:pPr>
            <w:r w:rsidRPr="000915D0">
              <w:rPr>
                <w:rFonts w:ascii="Times New Roman" w:hAnsi="Times New Roman" w:cs="Times New Roman"/>
                <w:sz w:val="20"/>
                <w:szCs w:val="20"/>
              </w:rPr>
              <w:t xml:space="preserve">p. 97 : Les syndicats craignent de n’avoir pas assez de militants expérimentés pour participer à des délibérations trop nombreuses et trop techniques </w:t>
            </w:r>
          </w:p>
        </w:tc>
      </w:tr>
      <w:tr w:rsidR="005A2601" w:rsidRPr="005A2601" w14:paraId="2ABBD305" w14:textId="77777777" w:rsidTr="005C309F">
        <w:tc>
          <w:tcPr>
            <w:tcW w:w="1785" w:type="dxa"/>
            <w:tcBorders>
              <w:top w:val="single" w:sz="4" w:space="0" w:color="auto"/>
              <w:left w:val="single" w:sz="4" w:space="0" w:color="auto"/>
              <w:bottom w:val="single" w:sz="4" w:space="0" w:color="auto"/>
              <w:right w:val="single" w:sz="4" w:space="0" w:color="auto"/>
            </w:tcBorders>
            <w:hideMark/>
          </w:tcPr>
          <w:p w14:paraId="6E53C3EF" w14:textId="3F9507F6" w:rsidR="005702E9" w:rsidRPr="000915D0" w:rsidRDefault="005702E9" w:rsidP="00240518">
            <w:pPr>
              <w:spacing w:after="0"/>
              <w:jc w:val="both"/>
              <w:rPr>
                <w:rFonts w:ascii="Times New Roman" w:hAnsi="Times New Roman" w:cs="Times New Roman"/>
                <w:smallCaps/>
                <w:sz w:val="20"/>
                <w:szCs w:val="20"/>
              </w:rPr>
            </w:pPr>
            <w:r w:rsidRPr="000915D0">
              <w:rPr>
                <w:rFonts w:ascii="Times New Roman" w:hAnsi="Times New Roman" w:cs="Times New Roman"/>
                <w:b/>
                <w:bCs/>
                <w:smallCaps/>
                <w:sz w:val="20"/>
                <w:szCs w:val="20"/>
              </w:rPr>
              <w:t>Mobilisation</w:t>
            </w:r>
            <w:r w:rsidRPr="000915D0">
              <w:rPr>
                <w:rFonts w:ascii="Times New Roman" w:hAnsi="Times New Roman" w:cs="Times New Roman"/>
                <w:smallCaps/>
                <w:sz w:val="20"/>
                <w:szCs w:val="20"/>
              </w:rPr>
              <w:t xml:space="preserve"> </w:t>
            </w:r>
          </w:p>
        </w:tc>
        <w:tc>
          <w:tcPr>
            <w:tcW w:w="1528" w:type="dxa"/>
            <w:tcBorders>
              <w:top w:val="single" w:sz="4" w:space="0" w:color="auto"/>
              <w:left w:val="single" w:sz="4" w:space="0" w:color="auto"/>
              <w:bottom w:val="single" w:sz="4" w:space="0" w:color="auto"/>
              <w:right w:val="single" w:sz="4" w:space="0" w:color="auto"/>
            </w:tcBorders>
            <w:vAlign w:val="center"/>
          </w:tcPr>
          <w:p w14:paraId="1E908975" w14:textId="535F47E6"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Pas de mouvement favorable à la codétermination. Reste cantonné dans cénacles parisiens ?</w:t>
            </w:r>
          </w:p>
          <w:p w14:paraId="29F61B0E" w14:textId="77777777" w:rsidR="005702E9" w:rsidRPr="000915D0" w:rsidRDefault="005702E9" w:rsidP="005A2601">
            <w:pPr>
              <w:spacing w:after="0"/>
              <w:jc w:val="center"/>
              <w:rPr>
                <w:rFonts w:ascii="Times New Roman" w:hAnsi="Times New Roman" w:cs="Times New Roman"/>
                <w:sz w:val="20"/>
                <w:szCs w:val="20"/>
              </w:rPr>
            </w:pPr>
          </w:p>
          <w:p w14:paraId="6178C1D9" w14:textId="77777777" w:rsidR="005702E9" w:rsidRPr="000915D0" w:rsidRDefault="005702E9"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La Réforme de l’entreprise a plutôt mobilisé contre elle le patronat et les syndicats</w:t>
            </w:r>
          </w:p>
        </w:tc>
        <w:tc>
          <w:tcPr>
            <w:tcW w:w="1607" w:type="dxa"/>
            <w:tcBorders>
              <w:top w:val="single" w:sz="4" w:space="0" w:color="auto"/>
              <w:left w:val="single" w:sz="4" w:space="0" w:color="auto"/>
              <w:bottom w:val="single" w:sz="4" w:space="0" w:color="auto"/>
              <w:right w:val="single" w:sz="4" w:space="0" w:color="auto"/>
            </w:tcBorders>
            <w:vAlign w:val="center"/>
          </w:tcPr>
          <w:p w14:paraId="70B192E5" w14:textId="5DDE5642" w:rsidR="005702E9" w:rsidRPr="000915D0" w:rsidRDefault="00ED3D72"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Absence de mobilisation</w:t>
            </w:r>
          </w:p>
        </w:tc>
        <w:tc>
          <w:tcPr>
            <w:tcW w:w="1546" w:type="dxa"/>
            <w:tcBorders>
              <w:top w:val="single" w:sz="4" w:space="0" w:color="auto"/>
              <w:left w:val="single" w:sz="4" w:space="0" w:color="auto"/>
              <w:bottom w:val="single" w:sz="4" w:space="0" w:color="auto"/>
              <w:right w:val="single" w:sz="4" w:space="0" w:color="auto"/>
            </w:tcBorders>
            <w:vAlign w:val="center"/>
          </w:tcPr>
          <w:p w14:paraId="675D5F10" w14:textId="666D5052" w:rsidR="005702E9" w:rsidRPr="000915D0" w:rsidRDefault="00841B4D" w:rsidP="005A2601">
            <w:pPr>
              <w:spacing w:after="0"/>
              <w:jc w:val="center"/>
              <w:rPr>
                <w:rFonts w:ascii="Times New Roman" w:hAnsi="Times New Roman" w:cs="Times New Roman"/>
                <w:sz w:val="20"/>
                <w:szCs w:val="20"/>
              </w:rPr>
            </w:pPr>
            <w:r w:rsidRPr="000915D0">
              <w:rPr>
                <w:rFonts w:ascii="Times New Roman" w:hAnsi="Times New Roman" w:cs="Times New Roman"/>
                <w:sz w:val="20"/>
                <w:szCs w:val="20"/>
              </w:rPr>
              <w:t>Aucun parti</w:t>
            </w:r>
            <w:r w:rsidR="0092023B" w:rsidRPr="000915D0">
              <w:rPr>
                <w:rFonts w:ascii="Times New Roman" w:hAnsi="Times New Roman" w:cs="Times New Roman"/>
                <w:sz w:val="20"/>
                <w:szCs w:val="20"/>
              </w:rPr>
              <w:t xml:space="preserve"> ou</w:t>
            </w:r>
            <w:r w:rsidRPr="000915D0">
              <w:rPr>
                <w:rFonts w:ascii="Times New Roman" w:hAnsi="Times New Roman" w:cs="Times New Roman"/>
                <w:sz w:val="20"/>
                <w:szCs w:val="20"/>
              </w:rPr>
              <w:t xml:space="preserve"> </w:t>
            </w:r>
            <w:r w:rsidR="0092023B" w:rsidRPr="000915D0">
              <w:rPr>
                <w:rFonts w:ascii="Times New Roman" w:hAnsi="Times New Roman" w:cs="Times New Roman"/>
                <w:sz w:val="20"/>
                <w:szCs w:val="20"/>
              </w:rPr>
              <w:t>partenaire social</w:t>
            </w:r>
            <w:r w:rsidRPr="000915D0">
              <w:rPr>
                <w:rFonts w:ascii="Times New Roman" w:hAnsi="Times New Roman" w:cs="Times New Roman"/>
                <w:sz w:val="20"/>
                <w:szCs w:val="20"/>
              </w:rPr>
              <w:t xml:space="preserve"> </w:t>
            </w:r>
          </w:p>
        </w:tc>
        <w:tc>
          <w:tcPr>
            <w:tcW w:w="8844" w:type="dxa"/>
            <w:tcBorders>
              <w:top w:val="single" w:sz="4" w:space="0" w:color="auto"/>
              <w:left w:val="single" w:sz="4" w:space="0" w:color="auto"/>
              <w:bottom w:val="single" w:sz="4" w:space="0" w:color="auto"/>
              <w:right w:val="single" w:sz="4" w:space="0" w:color="auto"/>
            </w:tcBorders>
          </w:tcPr>
          <w:p w14:paraId="0414DD08" w14:textId="77777777" w:rsidR="005702E9" w:rsidRPr="000915D0" w:rsidRDefault="005702E9" w:rsidP="00240518">
            <w:pPr>
              <w:spacing w:after="0"/>
              <w:jc w:val="both"/>
              <w:rPr>
                <w:rFonts w:ascii="Times New Roman" w:hAnsi="Times New Roman" w:cs="Times New Roman"/>
                <w:sz w:val="20"/>
                <w:szCs w:val="20"/>
              </w:rPr>
            </w:pPr>
            <w:r w:rsidRPr="000915D0">
              <w:rPr>
                <w:rFonts w:ascii="Times New Roman" w:hAnsi="Times New Roman" w:cs="Times New Roman"/>
                <w:sz w:val="20"/>
                <w:szCs w:val="20"/>
              </w:rPr>
              <w:t>Sans infrastructure sociale suffisamment puissante pour l’imposer, la Réforme de l’entreprise ne peut résister aux critiques des partenaires sociaux syndicaux et patronaux. On peut citer les prises de position nombreuses contre la codétermination (Aubert et Hollandts, 2022).</w:t>
            </w:r>
          </w:p>
          <w:p w14:paraId="2F7024D2" w14:textId="77777777" w:rsidR="005702E9" w:rsidRPr="000915D0" w:rsidRDefault="005702E9" w:rsidP="00240518">
            <w:pPr>
              <w:spacing w:after="0"/>
              <w:jc w:val="both"/>
              <w:rPr>
                <w:rFonts w:ascii="Times New Roman" w:hAnsi="Times New Roman" w:cs="Times New Roman"/>
                <w:sz w:val="20"/>
                <w:szCs w:val="20"/>
              </w:rPr>
            </w:pPr>
          </w:p>
          <w:p w14:paraId="7C414681" w14:textId="77777777" w:rsidR="005702E9" w:rsidRPr="000915D0" w:rsidRDefault="005702E9" w:rsidP="00240518">
            <w:pPr>
              <w:spacing w:after="0"/>
              <w:jc w:val="both"/>
              <w:rPr>
                <w:rFonts w:ascii="Times New Roman" w:hAnsi="Times New Roman" w:cs="Times New Roman"/>
                <w:sz w:val="20"/>
                <w:szCs w:val="20"/>
                <w:u w:val="single"/>
              </w:rPr>
            </w:pPr>
            <w:r w:rsidRPr="000915D0">
              <w:rPr>
                <w:rFonts w:ascii="Times New Roman" w:hAnsi="Times New Roman" w:cs="Times New Roman"/>
                <w:sz w:val="20"/>
                <w:szCs w:val="20"/>
                <w:u w:val="single"/>
              </w:rPr>
              <w:t>Frilosité politique :</w:t>
            </w:r>
          </w:p>
          <w:p w14:paraId="24A4CCC1" w14:textId="6E64DD13" w:rsidR="005702E9" w:rsidRPr="000915D0" w:rsidRDefault="00B9631B" w:rsidP="00240518">
            <w:pPr>
              <w:spacing w:after="0"/>
              <w:jc w:val="both"/>
              <w:rPr>
                <w:rFonts w:ascii="Times New Roman" w:hAnsi="Times New Roman" w:cs="Times New Roman"/>
                <w:sz w:val="20"/>
                <w:szCs w:val="20"/>
              </w:rPr>
            </w:pPr>
            <w:r w:rsidRPr="000915D0">
              <w:rPr>
                <w:rFonts w:ascii="Times New Roman" w:hAnsi="Times New Roman" w:cs="Times New Roman"/>
                <w:sz w:val="20"/>
                <w:szCs w:val="20"/>
              </w:rPr>
              <w:t>« </w:t>
            </w:r>
            <w:r w:rsidR="005702E9" w:rsidRPr="000915D0">
              <w:rPr>
                <w:rFonts w:ascii="Times New Roman" w:hAnsi="Times New Roman" w:cs="Times New Roman"/>
                <w:sz w:val="20"/>
                <w:szCs w:val="20"/>
              </w:rPr>
              <w:t>Que disent avec plus ou moins d’insistance les bruits de couloir</w:t>
            </w:r>
            <w:r w:rsidRPr="000915D0">
              <w:rPr>
                <w:rFonts w:ascii="Times New Roman" w:hAnsi="Times New Roman" w:cs="Times New Roman"/>
                <w:sz w:val="20"/>
                <w:szCs w:val="20"/>
              </w:rPr>
              <w:t> ?</w:t>
            </w:r>
            <w:r w:rsidR="005702E9" w:rsidRPr="000915D0">
              <w:rPr>
                <w:rFonts w:ascii="Times New Roman" w:hAnsi="Times New Roman" w:cs="Times New Roman"/>
                <w:sz w:val="20"/>
                <w:szCs w:val="20"/>
              </w:rPr>
              <w:t xml:space="preserve"> En substance</w:t>
            </w:r>
            <w:r w:rsidRPr="000915D0">
              <w:rPr>
                <w:rFonts w:ascii="Times New Roman" w:hAnsi="Times New Roman" w:cs="Times New Roman"/>
                <w:sz w:val="20"/>
                <w:szCs w:val="20"/>
              </w:rPr>
              <w:t> :</w:t>
            </w:r>
            <w:r w:rsidR="005702E9" w:rsidRPr="000915D0">
              <w:rPr>
                <w:rFonts w:ascii="Times New Roman" w:hAnsi="Times New Roman" w:cs="Times New Roman"/>
                <w:sz w:val="20"/>
                <w:szCs w:val="20"/>
              </w:rPr>
              <w:t xml:space="preserve"> que la Réforme de l’entreprise est mal partie, qu’au fond personne n’en veut, ni le patronat, ni la majorité, ni les syndicats. Et qu’elle restera donc pour longtemps un aimable sujet de conversation » Silber A., « On réformera sec mais court », Le Point, 13/10/1975 cité par Chatriot (2012</w:t>
            </w:r>
            <w:r w:rsidRPr="000915D0">
              <w:rPr>
                <w:rFonts w:ascii="Times New Roman" w:hAnsi="Times New Roman" w:cs="Times New Roman"/>
                <w:sz w:val="20"/>
                <w:szCs w:val="20"/>
              </w:rPr>
              <w:t> ;</w:t>
            </w:r>
            <w:r w:rsidR="005702E9" w:rsidRPr="000915D0">
              <w:rPr>
                <w:rFonts w:ascii="Times New Roman" w:hAnsi="Times New Roman" w:cs="Times New Roman"/>
                <w:sz w:val="20"/>
                <w:szCs w:val="20"/>
              </w:rPr>
              <w:t xml:space="preserve"> p. 195).</w:t>
            </w:r>
          </w:p>
          <w:p w14:paraId="614FD0CB" w14:textId="77777777" w:rsidR="005702E9" w:rsidRPr="000915D0" w:rsidRDefault="005702E9" w:rsidP="00240518">
            <w:pPr>
              <w:spacing w:after="0"/>
              <w:jc w:val="both"/>
              <w:rPr>
                <w:rFonts w:ascii="Times New Roman" w:hAnsi="Times New Roman" w:cs="Times New Roman"/>
                <w:sz w:val="20"/>
                <w:szCs w:val="20"/>
              </w:rPr>
            </w:pPr>
          </w:p>
          <w:p w14:paraId="5E1B86EE" w14:textId="77777777" w:rsidR="005702E9" w:rsidRPr="000915D0" w:rsidRDefault="005702E9" w:rsidP="00240518">
            <w:pPr>
              <w:spacing w:after="0"/>
              <w:jc w:val="both"/>
              <w:rPr>
                <w:rFonts w:ascii="Times New Roman" w:hAnsi="Times New Roman" w:cs="Times New Roman"/>
                <w:sz w:val="20"/>
                <w:szCs w:val="20"/>
                <w:u w:val="single"/>
              </w:rPr>
            </w:pPr>
            <w:r w:rsidRPr="000915D0">
              <w:rPr>
                <w:rFonts w:ascii="Times New Roman" w:hAnsi="Times New Roman" w:cs="Times New Roman"/>
                <w:sz w:val="20"/>
                <w:szCs w:val="20"/>
                <w:u w:val="single"/>
              </w:rPr>
              <w:t xml:space="preserve">Oppositions patronale et syndicale : </w:t>
            </w:r>
          </w:p>
          <w:p w14:paraId="3CB0DF98" w14:textId="7BDECA92" w:rsidR="005702E9" w:rsidRPr="000915D0" w:rsidRDefault="005702E9" w:rsidP="00240518">
            <w:pPr>
              <w:spacing w:after="0"/>
              <w:jc w:val="both"/>
              <w:rPr>
                <w:rFonts w:ascii="Times New Roman" w:hAnsi="Times New Roman" w:cs="Times New Roman"/>
                <w:sz w:val="20"/>
                <w:szCs w:val="20"/>
              </w:rPr>
            </w:pPr>
            <w:r w:rsidRPr="000915D0">
              <w:rPr>
                <w:rFonts w:ascii="Times New Roman" w:hAnsi="Times New Roman" w:cs="Times New Roman"/>
                <w:sz w:val="20"/>
                <w:szCs w:val="20"/>
              </w:rPr>
              <w:t>Comme le souligne Bevort (2013</w:t>
            </w:r>
            <w:r w:rsidR="008E528E" w:rsidRPr="000915D0">
              <w:rPr>
                <w:rFonts w:ascii="Times New Roman" w:hAnsi="Times New Roman" w:cs="Times New Roman"/>
                <w:sz w:val="20"/>
                <w:szCs w:val="20"/>
              </w:rPr>
              <w:t> ;</w:t>
            </w:r>
            <w:r w:rsidRPr="000915D0">
              <w:rPr>
                <w:rFonts w:ascii="Times New Roman" w:hAnsi="Times New Roman" w:cs="Times New Roman"/>
                <w:sz w:val="20"/>
                <w:szCs w:val="20"/>
              </w:rPr>
              <w:t xml:space="preserve"> p. 43), « Les rapports français pour une Réforme de l’entreprise, comme le rapport Sudreau en 1975, ne suscitent l’adhésion ni du patronat qui refuse de sortir de la logique traditionnelle de la consultation ou de la négociation collective de branche, ni des syndicats qui perçoivent cette participation comme un ferment d’intégration et de division des salariés face aux revendications des organisations syndicales ».</w:t>
            </w:r>
          </w:p>
          <w:p w14:paraId="0C3106E3" w14:textId="77777777" w:rsidR="005702E9" w:rsidRPr="000915D0" w:rsidRDefault="005702E9" w:rsidP="00240518">
            <w:pPr>
              <w:spacing w:after="0"/>
              <w:jc w:val="both"/>
              <w:rPr>
                <w:rFonts w:ascii="Times New Roman" w:hAnsi="Times New Roman" w:cs="Times New Roman"/>
                <w:sz w:val="20"/>
                <w:szCs w:val="20"/>
              </w:rPr>
            </w:pPr>
          </w:p>
          <w:p w14:paraId="35C7D57C" w14:textId="77777777" w:rsidR="005702E9" w:rsidRPr="000915D0" w:rsidRDefault="005702E9" w:rsidP="00240518">
            <w:pPr>
              <w:spacing w:after="0"/>
              <w:jc w:val="both"/>
              <w:rPr>
                <w:rFonts w:ascii="Times New Roman" w:hAnsi="Times New Roman" w:cs="Times New Roman"/>
                <w:sz w:val="20"/>
                <w:szCs w:val="20"/>
                <w:u w:val="single"/>
              </w:rPr>
            </w:pPr>
            <w:r w:rsidRPr="000915D0">
              <w:rPr>
                <w:rFonts w:ascii="Times New Roman" w:hAnsi="Times New Roman" w:cs="Times New Roman"/>
                <w:sz w:val="20"/>
                <w:szCs w:val="20"/>
                <w:u w:val="single"/>
              </w:rPr>
              <w:t>Oppositions politiques à droite et à gauche :</w:t>
            </w:r>
          </w:p>
          <w:p w14:paraId="49D08EC5" w14:textId="50B87792" w:rsidR="005702E9" w:rsidRPr="000915D0" w:rsidRDefault="005702E9" w:rsidP="00240518">
            <w:pPr>
              <w:spacing w:after="0"/>
              <w:jc w:val="both"/>
              <w:rPr>
                <w:rFonts w:ascii="Times New Roman" w:hAnsi="Times New Roman" w:cs="Times New Roman"/>
                <w:sz w:val="20"/>
                <w:szCs w:val="20"/>
              </w:rPr>
            </w:pPr>
            <w:r w:rsidRPr="000915D0">
              <w:rPr>
                <w:rFonts w:ascii="Times New Roman" w:hAnsi="Times New Roman" w:cs="Times New Roman"/>
                <w:sz w:val="20"/>
                <w:szCs w:val="20"/>
              </w:rPr>
              <w:t xml:space="preserve">Une partie du </w:t>
            </w:r>
            <w:r w:rsidR="008F18E1" w:rsidRPr="000915D0">
              <w:rPr>
                <w:rFonts w:ascii="Times New Roman" w:hAnsi="Times New Roman" w:cs="Times New Roman"/>
                <w:sz w:val="20"/>
                <w:szCs w:val="20"/>
              </w:rPr>
              <w:t>Rassemblement pour la République (</w:t>
            </w:r>
            <w:r w:rsidRPr="000915D0">
              <w:rPr>
                <w:rFonts w:ascii="Times New Roman" w:hAnsi="Times New Roman" w:cs="Times New Roman"/>
                <w:sz w:val="20"/>
                <w:szCs w:val="20"/>
              </w:rPr>
              <w:t>RPR</w:t>
            </w:r>
            <w:r w:rsidR="008F18E1" w:rsidRPr="000915D0">
              <w:rPr>
                <w:rFonts w:ascii="Times New Roman" w:hAnsi="Times New Roman" w:cs="Times New Roman"/>
                <w:sz w:val="20"/>
                <w:szCs w:val="20"/>
              </w:rPr>
              <w:t>)</w:t>
            </w:r>
            <w:r w:rsidRPr="000915D0">
              <w:rPr>
                <w:rFonts w:ascii="Times New Roman" w:hAnsi="Times New Roman" w:cs="Times New Roman"/>
                <w:sz w:val="20"/>
                <w:szCs w:val="20"/>
              </w:rPr>
              <w:t xml:space="preserve"> voit d’un mauvais œil ce rapport qui semble faire la promotion d’avancées sociales dans des organisations où règne le patronat.</w:t>
            </w:r>
          </w:p>
          <w:p w14:paraId="6101FEEB" w14:textId="77777777" w:rsidR="005702E9" w:rsidRPr="000915D0" w:rsidRDefault="005702E9" w:rsidP="00240518">
            <w:pPr>
              <w:spacing w:after="0"/>
              <w:jc w:val="both"/>
              <w:rPr>
                <w:rFonts w:ascii="Times New Roman" w:hAnsi="Times New Roman" w:cs="Times New Roman"/>
                <w:sz w:val="20"/>
                <w:szCs w:val="20"/>
              </w:rPr>
            </w:pPr>
          </w:p>
          <w:p w14:paraId="48128BA5" w14:textId="2189389D" w:rsidR="005702E9" w:rsidRPr="005A2601" w:rsidRDefault="005702E9" w:rsidP="00240518">
            <w:pPr>
              <w:spacing w:after="0"/>
              <w:jc w:val="both"/>
              <w:rPr>
                <w:rFonts w:ascii="Times New Roman" w:hAnsi="Times New Roman" w:cs="Times New Roman"/>
                <w:sz w:val="20"/>
                <w:szCs w:val="20"/>
              </w:rPr>
            </w:pPr>
            <w:r w:rsidRPr="000915D0">
              <w:rPr>
                <w:rFonts w:ascii="Times New Roman" w:hAnsi="Times New Roman" w:cs="Times New Roman"/>
                <w:sz w:val="20"/>
                <w:szCs w:val="20"/>
              </w:rPr>
              <w:lastRenderedPageBreak/>
              <w:t>Pierre Bérégovoy y développe des critiques assez fortes à l’encontre du rapport Sudreau</w:t>
            </w:r>
            <w:r w:rsidR="000458A1" w:rsidRPr="000915D0">
              <w:rPr>
                <w:rFonts w:ascii="Times New Roman" w:hAnsi="Times New Roman" w:cs="Times New Roman"/>
                <w:sz w:val="20"/>
                <w:szCs w:val="20"/>
              </w:rPr>
              <w:t> :</w:t>
            </w:r>
            <w:r w:rsidRPr="000915D0">
              <w:rPr>
                <w:rFonts w:ascii="Times New Roman" w:hAnsi="Times New Roman" w:cs="Times New Roman"/>
                <w:sz w:val="20"/>
                <w:szCs w:val="20"/>
              </w:rPr>
              <w:t xml:space="preserve"> « absence de remise en cause du " lieu où le capitalisme exerce son pouvoir et sa domination ", acceptation des " fondements de l'économie capitaliste ", refus de la socialisation des moyens de production et de " l'auto-organisation des hommes ", tentative "d'intégration idéologique des travailleurs " au système actuel, confusion des genres par l'invention d'une " cosurveillance" »</w:t>
            </w:r>
          </w:p>
          <w:p w14:paraId="0A841063" w14:textId="77777777" w:rsidR="005702E9" w:rsidRPr="005A2601" w:rsidRDefault="005702E9" w:rsidP="00240518">
            <w:pPr>
              <w:spacing w:after="0"/>
              <w:jc w:val="both"/>
              <w:rPr>
                <w:rFonts w:ascii="Times New Roman" w:hAnsi="Times New Roman" w:cs="Times New Roman"/>
                <w:sz w:val="20"/>
                <w:szCs w:val="20"/>
              </w:rPr>
            </w:pPr>
          </w:p>
        </w:tc>
      </w:tr>
    </w:tbl>
    <w:p w14:paraId="49482C04" w14:textId="50DEF3DF" w:rsidR="00D267F5" w:rsidRPr="00D63957" w:rsidRDefault="00D267F5" w:rsidP="005A2601">
      <w:pPr>
        <w:spacing w:line="360" w:lineRule="auto"/>
        <w:ind w:left="360"/>
        <w:jc w:val="both"/>
        <w:rPr>
          <w:rFonts w:ascii="Times New Roman" w:hAnsi="Times New Roman" w:cs="Times New Roman"/>
          <w:sz w:val="24"/>
          <w:szCs w:val="24"/>
        </w:rPr>
      </w:pPr>
    </w:p>
    <w:sectPr w:rsidR="00D267F5" w:rsidRPr="00D63957" w:rsidSect="0022270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9925EC" w14:textId="77777777" w:rsidR="0022270D" w:rsidRDefault="0022270D" w:rsidP="006F2D12">
      <w:pPr>
        <w:spacing w:after="0" w:line="240" w:lineRule="auto"/>
      </w:pPr>
      <w:r>
        <w:separator/>
      </w:r>
    </w:p>
  </w:endnote>
  <w:endnote w:type="continuationSeparator" w:id="0">
    <w:p w14:paraId="295C7EAD" w14:textId="77777777" w:rsidR="0022270D" w:rsidRDefault="0022270D" w:rsidP="006F2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8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2088806422"/>
      <w:docPartObj>
        <w:docPartGallery w:val="Page Numbers (Bottom of Page)"/>
        <w:docPartUnique/>
      </w:docPartObj>
    </w:sdtPr>
    <w:sdtEndPr/>
    <w:sdtContent>
      <w:p w14:paraId="13FA197B" w14:textId="6B04814C" w:rsidR="00A76902" w:rsidRPr="005A2601" w:rsidRDefault="00A76902">
        <w:pPr>
          <w:pStyle w:val="Pieddepage"/>
          <w:jc w:val="center"/>
          <w:rPr>
            <w:rFonts w:ascii="Times New Roman" w:hAnsi="Times New Roman" w:cs="Times New Roman"/>
          </w:rPr>
        </w:pPr>
        <w:r w:rsidRPr="005A2601">
          <w:rPr>
            <w:rFonts w:ascii="Times New Roman" w:hAnsi="Times New Roman" w:cs="Times New Roman"/>
          </w:rPr>
          <w:fldChar w:fldCharType="begin"/>
        </w:r>
        <w:r w:rsidRPr="005A2601">
          <w:rPr>
            <w:rFonts w:ascii="Times New Roman" w:hAnsi="Times New Roman" w:cs="Times New Roman"/>
          </w:rPr>
          <w:instrText>PAGE   \* MERGEFORMAT</w:instrText>
        </w:r>
        <w:r w:rsidRPr="005A2601">
          <w:rPr>
            <w:rFonts w:ascii="Times New Roman" w:hAnsi="Times New Roman" w:cs="Times New Roman"/>
          </w:rPr>
          <w:fldChar w:fldCharType="separate"/>
        </w:r>
        <w:r w:rsidR="00F15E84">
          <w:rPr>
            <w:rFonts w:ascii="Times New Roman" w:hAnsi="Times New Roman" w:cs="Times New Roman"/>
            <w:noProof/>
          </w:rPr>
          <w:t>27</w:t>
        </w:r>
        <w:r w:rsidRPr="005A2601">
          <w:rPr>
            <w:rFonts w:ascii="Times New Roman" w:hAnsi="Times New Roman" w:cs="Times New Roman"/>
          </w:rPr>
          <w:fldChar w:fldCharType="end"/>
        </w:r>
      </w:p>
    </w:sdtContent>
  </w:sdt>
  <w:p w14:paraId="4529A237" w14:textId="77777777" w:rsidR="00A76902" w:rsidRDefault="00A769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D52544" w14:textId="77777777" w:rsidR="0022270D" w:rsidRDefault="0022270D" w:rsidP="006F2D12">
      <w:pPr>
        <w:spacing w:after="0" w:line="240" w:lineRule="auto"/>
      </w:pPr>
      <w:r>
        <w:separator/>
      </w:r>
    </w:p>
  </w:footnote>
  <w:footnote w:type="continuationSeparator" w:id="0">
    <w:p w14:paraId="058F7CA8" w14:textId="77777777" w:rsidR="0022270D" w:rsidRDefault="0022270D" w:rsidP="006F2D12">
      <w:pPr>
        <w:spacing w:after="0" w:line="240" w:lineRule="auto"/>
      </w:pPr>
      <w:r>
        <w:continuationSeparator/>
      </w:r>
    </w:p>
  </w:footnote>
  <w:footnote w:id="1">
    <w:p w14:paraId="6D44DDEA" w14:textId="32E0308A" w:rsidR="00A76902" w:rsidRPr="0051687C" w:rsidRDefault="00A76902" w:rsidP="00C92A7A">
      <w:pPr>
        <w:pStyle w:val="Notedebasdepage"/>
        <w:jc w:val="both"/>
        <w:rPr>
          <w:rFonts w:ascii="Times New Roman" w:hAnsi="Times New Roman" w:cs="Times New Roman"/>
        </w:rPr>
      </w:pPr>
      <w:r w:rsidRPr="0051687C">
        <w:rPr>
          <w:rStyle w:val="Appelnotedebasdep"/>
          <w:rFonts w:ascii="Times New Roman" w:hAnsi="Times New Roman" w:cs="Times New Roman"/>
        </w:rPr>
        <w:footnoteRef/>
      </w:r>
      <w:r w:rsidRPr="0051687C">
        <w:rPr>
          <w:rFonts w:ascii="Times New Roman" w:hAnsi="Times New Roman" w:cs="Times New Roman"/>
        </w:rPr>
        <w:t xml:space="preserve"> Le père jésuite Oswald von Nell-Breuning fut le principal auteur de l’encyclique sociale Quadragesimo Anno du pape Pie XI et un conseiller actif des syndicats et des gouvernements allemands. Il est considéré, en Allemagne, comme le </w:t>
      </w:r>
      <w:r>
        <w:rPr>
          <w:rFonts w:ascii="Times New Roman" w:hAnsi="Times New Roman" w:cs="Times New Roman"/>
        </w:rPr>
        <w:t>« père »</w:t>
      </w:r>
      <w:r w:rsidRPr="0051687C">
        <w:rPr>
          <w:rFonts w:ascii="Times New Roman" w:hAnsi="Times New Roman" w:cs="Times New Roman"/>
        </w:rPr>
        <w:t xml:space="preserve"> de la doctrine sociale de l’Eglise.</w:t>
      </w:r>
    </w:p>
  </w:footnote>
  <w:footnote w:id="2">
    <w:p w14:paraId="060245D5" w14:textId="77777777" w:rsidR="00A76902" w:rsidRPr="0051687C" w:rsidRDefault="00A76902" w:rsidP="00C92A7A">
      <w:pPr>
        <w:pStyle w:val="Notedebasdepage"/>
        <w:jc w:val="both"/>
        <w:rPr>
          <w:rFonts w:ascii="Times New Roman" w:hAnsi="Times New Roman" w:cs="Times New Roman"/>
        </w:rPr>
      </w:pPr>
      <w:r w:rsidRPr="0051687C">
        <w:rPr>
          <w:rStyle w:val="Appelnotedebasdep"/>
          <w:rFonts w:ascii="Times New Roman" w:hAnsi="Times New Roman" w:cs="Times New Roman"/>
        </w:rPr>
        <w:footnoteRef/>
      </w:r>
      <w:r w:rsidRPr="0051687C">
        <w:rPr>
          <w:rFonts w:ascii="Times New Roman" w:hAnsi="Times New Roman" w:cs="Times New Roman"/>
        </w:rPr>
        <w:t xml:space="preserve"> Légende du code couleurs :  Noir = contexte d’opportunité politique ; </w:t>
      </w:r>
      <w:r w:rsidRPr="0051687C">
        <w:rPr>
          <w:rFonts w:ascii="Times New Roman" w:hAnsi="Times New Roman" w:cs="Times New Roman"/>
          <w:color w:val="0070C0"/>
        </w:rPr>
        <w:t xml:space="preserve">Bleu = débat d’idées (livres, rapports, …) ; </w:t>
      </w:r>
      <w:r w:rsidRPr="0051687C">
        <w:rPr>
          <w:rFonts w:ascii="Times New Roman" w:hAnsi="Times New Roman" w:cs="Times New Roman"/>
          <w:color w:val="00B050"/>
        </w:rPr>
        <w:t xml:space="preserve">Vert = dynamiques de mobilisation ; </w:t>
      </w:r>
      <w:r w:rsidRPr="0051687C">
        <w:rPr>
          <w:rFonts w:ascii="Times New Roman" w:hAnsi="Times New Roman" w:cs="Times New Roman"/>
          <w:color w:val="FF0000"/>
        </w:rPr>
        <w:t>Rouge = institutionnalisation</w:t>
      </w:r>
    </w:p>
  </w:footnote>
  <w:footnote w:id="3">
    <w:p w14:paraId="4A474759" w14:textId="54365D24" w:rsidR="00A76902" w:rsidRDefault="00A76902">
      <w:pPr>
        <w:pStyle w:val="Notedebasdepage"/>
      </w:pPr>
      <w:r>
        <w:rPr>
          <w:rStyle w:val="Appelnotedebasdep"/>
        </w:rPr>
        <w:footnoteRef/>
      </w:r>
      <w:r w:rsidRPr="00A71609">
        <w:t xml:space="preserve"> </w:t>
      </w:r>
      <w:r w:rsidRPr="00A71609">
        <w:rPr>
          <w:rFonts w:ascii="Times New Roman" w:hAnsi="Times New Roman" w:cs="Times New Roman"/>
        </w:rPr>
        <w:t xml:space="preserve">Mitbestimmung im Unternehmen. Bericht der Sachverständigenkommission zur Auswertung der bisherigen Erfahrungen mit der Mitbestimmung. </w:t>
      </w:r>
      <w:r w:rsidRPr="005C309F">
        <w:rPr>
          <w:rFonts w:ascii="Times New Roman" w:hAnsi="Times New Roman" w:cs="Times New Roman"/>
        </w:rPr>
        <w:t>BT-Drucksache VI/334, 1970</w:t>
      </w:r>
    </w:p>
  </w:footnote>
  <w:footnote w:id="4">
    <w:p w14:paraId="3C5012F5" w14:textId="6ACF6E45" w:rsidR="00A76902" w:rsidRPr="005A2601" w:rsidRDefault="00A76902" w:rsidP="005A2601">
      <w:pPr>
        <w:pStyle w:val="Notedebasdepage"/>
        <w:jc w:val="both"/>
        <w:rPr>
          <w:rFonts w:ascii="Times New Roman" w:hAnsi="Times New Roman" w:cs="Times New Roman"/>
        </w:rPr>
      </w:pPr>
      <w:r w:rsidRPr="005A2601">
        <w:rPr>
          <w:rStyle w:val="Appelnotedebasdep"/>
          <w:rFonts w:ascii="Times New Roman" w:hAnsi="Times New Roman" w:cs="Times New Roman"/>
        </w:rPr>
        <w:footnoteRef/>
      </w:r>
      <w:r w:rsidRPr="005A2601">
        <w:rPr>
          <w:rFonts w:ascii="Times New Roman" w:hAnsi="Times New Roman" w:cs="Times New Roman"/>
        </w:rPr>
        <w:t xml:space="preserve"> De Paul Bacon (1949) au rapport Sudreau (1975), tous les ouvrages ou rapports majeurs s’intitulent ou reprennent l’expression « </w:t>
      </w:r>
      <w:r w:rsidRPr="00C92A7A">
        <w:rPr>
          <w:rFonts w:ascii="Times New Roman" w:hAnsi="Times New Roman" w:cs="Times New Roman"/>
          <w:i/>
        </w:rPr>
        <w:t>Réforme de l’entreprise</w:t>
      </w:r>
      <w:r w:rsidRPr="005A2601">
        <w:rPr>
          <w:rFonts w:ascii="Times New Roman" w:hAnsi="Times New Roman" w:cs="Times New Roman"/>
        </w:rPr>
        <w:t xml:space="preserve"> »</w:t>
      </w:r>
      <w:r w:rsidRPr="00907FCE">
        <w:rPr>
          <w:rFonts w:ascii="Times New Roman" w:hAnsi="Times New Roman" w:cs="Times New Roman"/>
        </w:rPr>
        <w:t>. Par ordre alphabétique : Bacon P. (1949), La Réforme de l’entreprise capitaliste, SERP ; Bloch-Lainé, F. (1963), Pour une Réforme de l’entreprise, Le Seuil ; Desbuquois, G. et Bigo, P. (1945), Les réformes de l’entreprise et la pensée chrétienne, Paris, Éditions Spes ; Dubois, A. (1960), Confidences d'un patron sur la réforme de l'entreprise, Economie et Humanisme, Paris, les Editions ouvrières ; Dubreuil, H. (1948), La Réforme de l’entreprise : vers un salaire humain, Paris, Editions OCIA ; Lasserre, G. (1964), La Réforme de l’entreprise, Actes du colloque de L’Institut des Études Coopératives, Éditions de L’Institut des Études Coopératives ; Loichot, M. (1966), La réforme pancapitaliste, Paris, Robert Laffont ; Roux, A. (1976), La Réforme de l'entreprise : Rapport présenté à l'Assemblée générale du C.N.P.F, Centre national du patronat français ; Sudreau, P. (1975), La Réforme de l’entreprise, La Documentation française et 10/18.</w:t>
      </w:r>
    </w:p>
  </w:footnote>
  <w:footnote w:id="5">
    <w:p w14:paraId="05AF43A5" w14:textId="7FC2656F" w:rsidR="00A76902" w:rsidRPr="00C92A7A" w:rsidRDefault="00A76902" w:rsidP="0013042F">
      <w:pPr>
        <w:pStyle w:val="Notedebasdepage"/>
        <w:jc w:val="both"/>
        <w:rPr>
          <w:rFonts w:ascii="Times New Roman" w:hAnsi="Times New Roman" w:cs="Times New Roman"/>
        </w:rPr>
      </w:pPr>
      <w:r w:rsidRPr="00926312">
        <w:rPr>
          <w:rStyle w:val="Appelnotedebasdep"/>
          <w:rFonts w:ascii="Times New Roman" w:hAnsi="Times New Roman" w:cs="Times New Roman"/>
        </w:rPr>
        <w:footnoteRef/>
      </w:r>
      <w:r w:rsidRPr="00926312">
        <w:rPr>
          <w:rFonts w:ascii="Times New Roman" w:hAnsi="Times New Roman" w:cs="Times New Roman"/>
        </w:rPr>
        <w:t xml:space="preserve"> On peut notamment citer </w:t>
      </w:r>
      <w:r w:rsidRPr="0013042F">
        <w:rPr>
          <w:rFonts w:ascii="Times New Roman" w:hAnsi="Times New Roman" w:cs="Times New Roman"/>
        </w:rPr>
        <w:t xml:space="preserve">Roger, </w:t>
      </w:r>
      <w:r>
        <w:rPr>
          <w:rFonts w:ascii="Times New Roman" w:hAnsi="Times New Roman" w:cs="Times New Roman"/>
        </w:rPr>
        <w:t>B.</w:t>
      </w:r>
      <w:r w:rsidRPr="0013042F">
        <w:rPr>
          <w:rFonts w:ascii="Times New Roman" w:hAnsi="Times New Roman" w:cs="Times New Roman"/>
        </w:rPr>
        <w:t xml:space="preserve"> (éd.).</w:t>
      </w:r>
      <w:r>
        <w:rPr>
          <w:rFonts w:ascii="Times New Roman" w:hAnsi="Times New Roman" w:cs="Times New Roman"/>
        </w:rPr>
        <w:t xml:space="preserve">, 2012, </w:t>
      </w:r>
      <w:r w:rsidRPr="0013042F">
        <w:rPr>
          <w:rFonts w:ascii="Times New Roman" w:hAnsi="Times New Roman" w:cs="Times New Roman"/>
        </w:rPr>
        <w:t>L’entreprise, formes de la propriété et responsabilités sociales, Paris, Lethielleux,</w:t>
      </w:r>
      <w:r>
        <w:rPr>
          <w:rFonts w:ascii="Times New Roman" w:hAnsi="Times New Roman" w:cs="Times New Roman"/>
        </w:rPr>
        <w:t xml:space="preserve">; </w:t>
      </w:r>
      <w:r w:rsidRPr="0013042F">
        <w:rPr>
          <w:rFonts w:ascii="Times New Roman" w:hAnsi="Times New Roman" w:cs="Times New Roman"/>
        </w:rPr>
        <w:t>Segrestin, B</w:t>
      </w:r>
      <w:r>
        <w:rPr>
          <w:rFonts w:ascii="Times New Roman" w:hAnsi="Times New Roman" w:cs="Times New Roman"/>
        </w:rPr>
        <w:t xml:space="preserve">. &amp; Hatchuel A., 2012, </w:t>
      </w:r>
      <w:r w:rsidRPr="0013042F">
        <w:rPr>
          <w:rFonts w:ascii="Times New Roman" w:hAnsi="Times New Roman" w:cs="Times New Roman"/>
        </w:rPr>
        <w:t>Refonder l’entreprise, Seuil</w:t>
      </w:r>
      <w:r>
        <w:rPr>
          <w:rFonts w:ascii="Times New Roman" w:hAnsi="Times New Roman" w:cs="Times New Roman"/>
        </w:rPr>
        <w:t xml:space="preserve"> ; </w:t>
      </w:r>
      <w:r w:rsidRPr="00926312">
        <w:rPr>
          <w:rFonts w:ascii="Times New Roman" w:hAnsi="Times New Roman" w:cs="Times New Roman"/>
        </w:rPr>
        <w:t xml:space="preserve">Favereau, O., 2014, </w:t>
      </w:r>
      <w:r>
        <w:rPr>
          <w:rFonts w:ascii="Times New Roman" w:hAnsi="Times New Roman" w:cs="Times New Roman"/>
        </w:rPr>
        <w:t>Entreprises : la grande déformation, Parole et Silence</w:t>
      </w:r>
      <w:r w:rsidRPr="00926312">
        <w:rPr>
          <w:rFonts w:ascii="Times New Roman" w:hAnsi="Times New Roman" w:cs="Times New Roman"/>
        </w:rPr>
        <w:t xml:space="preserve"> ; </w:t>
      </w:r>
      <w:r w:rsidRPr="002A4B67">
        <w:rPr>
          <w:rFonts w:ascii="Times New Roman" w:hAnsi="Times New Roman" w:cs="Times New Roman"/>
        </w:rPr>
        <w:t>Favereau, O., 201</w:t>
      </w:r>
      <w:r>
        <w:rPr>
          <w:rFonts w:ascii="Times New Roman" w:hAnsi="Times New Roman" w:cs="Times New Roman"/>
        </w:rPr>
        <w:t xml:space="preserve">6, </w:t>
      </w:r>
      <w:r w:rsidRPr="00926312">
        <w:rPr>
          <w:rFonts w:ascii="Times New Roman" w:hAnsi="Times New Roman" w:cs="Times New Roman"/>
        </w:rPr>
        <w:t>Penser le travail pour penser l</w:t>
      </w:r>
      <w:r>
        <w:rPr>
          <w:rFonts w:ascii="Times New Roman" w:hAnsi="Times New Roman" w:cs="Times New Roman"/>
        </w:rPr>
        <w:t xml:space="preserve">’entreprise, </w:t>
      </w:r>
      <w:r w:rsidRPr="00926312">
        <w:rPr>
          <w:rFonts w:ascii="Times New Roman" w:hAnsi="Times New Roman" w:cs="Times New Roman"/>
        </w:rPr>
        <w:t>Presses des Mines</w:t>
      </w:r>
      <w:r>
        <w:rPr>
          <w:rFonts w:ascii="Times New Roman" w:hAnsi="Times New Roman" w:cs="Times New Roman"/>
        </w:rPr>
        <w:t xml:space="preserve">; </w:t>
      </w:r>
      <w:r w:rsidRPr="00926312">
        <w:rPr>
          <w:rFonts w:ascii="Times New Roman" w:hAnsi="Times New Roman" w:cs="Times New Roman"/>
        </w:rPr>
        <w:t>Roger</w:t>
      </w:r>
      <w:r>
        <w:rPr>
          <w:rFonts w:ascii="Times New Roman" w:hAnsi="Times New Roman" w:cs="Times New Roman"/>
        </w:rPr>
        <w:t xml:space="preserve"> B.</w:t>
      </w:r>
      <w:r w:rsidRPr="00926312">
        <w:rPr>
          <w:rFonts w:ascii="Times New Roman" w:hAnsi="Times New Roman" w:cs="Times New Roman"/>
        </w:rPr>
        <w:t xml:space="preserve">, 2015, </w:t>
      </w:r>
      <w:r>
        <w:rPr>
          <w:rFonts w:ascii="Times New Roman" w:hAnsi="Times New Roman" w:cs="Times New Roman"/>
        </w:rPr>
        <w:t>Penser l’entreprise – nouvel horizon du politique, Parole et Silence</w:t>
      </w:r>
      <w:r w:rsidRPr="00926312">
        <w:rPr>
          <w:rFonts w:ascii="Times New Roman" w:hAnsi="Times New Roman" w:cs="Times New Roman"/>
        </w:rPr>
        <w:t> </w:t>
      </w:r>
      <w:r>
        <w:rPr>
          <w:rFonts w:ascii="Times New Roman" w:hAnsi="Times New Roman" w:cs="Times New Roman"/>
        </w:rPr>
        <w:t xml:space="preserve"> ;  </w:t>
      </w:r>
      <w:r w:rsidRPr="00926312">
        <w:rPr>
          <w:rFonts w:ascii="Times New Roman" w:hAnsi="Times New Roman" w:cs="Times New Roman"/>
        </w:rPr>
        <w:t>Segrestin B. et Levillain K. (dir</w:t>
      </w:r>
      <w:r>
        <w:rPr>
          <w:rFonts w:ascii="Times New Roman" w:hAnsi="Times New Roman" w:cs="Times New Roman"/>
        </w:rPr>
        <w:t>.</w:t>
      </w:r>
      <w:r w:rsidRPr="00926312">
        <w:rPr>
          <w:rFonts w:ascii="Times New Roman" w:hAnsi="Times New Roman" w:cs="Times New Roman"/>
        </w:rPr>
        <w:t>), 2018,</w:t>
      </w:r>
      <w:r>
        <w:rPr>
          <w:rFonts w:ascii="Times New Roman" w:hAnsi="Times New Roman" w:cs="Times New Roman"/>
        </w:rPr>
        <w:t xml:space="preserve"> La mission de l’entreprise responsable. Principes et normes de gestion, Presses des Mines. Toutes ces publications sont issues d’un triple programme du Collège des Bernardins : « </w:t>
      </w:r>
      <w:r w:rsidRPr="00C92A7A">
        <w:rPr>
          <w:rFonts w:ascii="Times New Roman" w:hAnsi="Times New Roman" w:cs="Times New Roman"/>
          <w:i/>
        </w:rPr>
        <w:t>L’entreprise : formes de la propriété et responsabilités sociales</w:t>
      </w:r>
      <w:r>
        <w:rPr>
          <w:rFonts w:ascii="Times New Roman" w:hAnsi="Times New Roman" w:cs="Times New Roman"/>
        </w:rPr>
        <w:t> » (2009-2011), « </w:t>
      </w:r>
      <w:r w:rsidRPr="00C92A7A">
        <w:rPr>
          <w:rFonts w:ascii="Times New Roman" w:hAnsi="Times New Roman" w:cs="Times New Roman"/>
          <w:i/>
        </w:rPr>
        <w:t>L’entreprise : propriét</w:t>
      </w:r>
      <w:r>
        <w:rPr>
          <w:rFonts w:ascii="Times New Roman" w:hAnsi="Times New Roman" w:cs="Times New Roman"/>
          <w:i/>
        </w:rPr>
        <w:t>é</w:t>
      </w:r>
      <w:r w:rsidRPr="00C92A7A">
        <w:rPr>
          <w:rFonts w:ascii="Times New Roman" w:hAnsi="Times New Roman" w:cs="Times New Roman"/>
          <w:i/>
        </w:rPr>
        <w:t>, création collective, monde commun</w:t>
      </w:r>
      <w:r>
        <w:rPr>
          <w:rFonts w:ascii="Times New Roman" w:hAnsi="Times New Roman" w:cs="Times New Roman"/>
        </w:rPr>
        <w:t> » (2012-2014), « </w:t>
      </w:r>
      <w:r w:rsidRPr="00C92A7A">
        <w:rPr>
          <w:rFonts w:ascii="Times New Roman" w:hAnsi="Times New Roman" w:cs="Times New Roman"/>
          <w:i/>
        </w:rPr>
        <w:t>Gouvernement de l’entreprise &amp; création de commun</w:t>
      </w:r>
      <w:r>
        <w:rPr>
          <w:rFonts w:ascii="Times New Roman" w:hAnsi="Times New Roman" w:cs="Times New Roman"/>
        </w:rPr>
        <w:t xml:space="preserve"> » (2015-2018).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137F80"/>
    <w:multiLevelType w:val="multilevel"/>
    <w:tmpl w:val="6D84CE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AC42BAF"/>
    <w:multiLevelType w:val="hybridMultilevel"/>
    <w:tmpl w:val="A498FB3E"/>
    <w:lvl w:ilvl="0" w:tplc="040C000F">
      <w:start w:val="3"/>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E656C8E"/>
    <w:multiLevelType w:val="multilevel"/>
    <w:tmpl w:val="B1C0C8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8804B4"/>
    <w:multiLevelType w:val="hybridMultilevel"/>
    <w:tmpl w:val="DB9A20CA"/>
    <w:lvl w:ilvl="0" w:tplc="040C000F">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7AA7697"/>
    <w:multiLevelType w:val="hybridMultilevel"/>
    <w:tmpl w:val="E43673A2"/>
    <w:lvl w:ilvl="0" w:tplc="0A7C86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1B19FF"/>
    <w:multiLevelType w:val="hybridMultilevel"/>
    <w:tmpl w:val="1C1476EA"/>
    <w:lvl w:ilvl="0" w:tplc="647ED6A6">
      <w:start w:val="1"/>
      <w:numFmt w:val="bullet"/>
      <w:lvlText w:val=""/>
      <w:lvlJc w:val="left"/>
      <w:pPr>
        <w:ind w:left="720" w:hanging="360"/>
      </w:pPr>
      <w:rPr>
        <w:rFonts w:ascii="Symbol" w:hAnsi="Symbol"/>
      </w:rPr>
    </w:lvl>
    <w:lvl w:ilvl="1" w:tplc="3AE49008">
      <w:start w:val="1"/>
      <w:numFmt w:val="bullet"/>
      <w:lvlText w:val=""/>
      <w:lvlJc w:val="left"/>
      <w:pPr>
        <w:ind w:left="720" w:hanging="360"/>
      </w:pPr>
      <w:rPr>
        <w:rFonts w:ascii="Symbol" w:hAnsi="Symbol"/>
      </w:rPr>
    </w:lvl>
    <w:lvl w:ilvl="2" w:tplc="171CCFCE">
      <w:start w:val="1"/>
      <w:numFmt w:val="bullet"/>
      <w:lvlText w:val=""/>
      <w:lvlJc w:val="left"/>
      <w:pPr>
        <w:ind w:left="720" w:hanging="360"/>
      </w:pPr>
      <w:rPr>
        <w:rFonts w:ascii="Symbol" w:hAnsi="Symbol"/>
      </w:rPr>
    </w:lvl>
    <w:lvl w:ilvl="3" w:tplc="AEE8A74A">
      <w:start w:val="1"/>
      <w:numFmt w:val="bullet"/>
      <w:lvlText w:val=""/>
      <w:lvlJc w:val="left"/>
      <w:pPr>
        <w:ind w:left="720" w:hanging="360"/>
      </w:pPr>
      <w:rPr>
        <w:rFonts w:ascii="Symbol" w:hAnsi="Symbol"/>
      </w:rPr>
    </w:lvl>
    <w:lvl w:ilvl="4" w:tplc="2D486D9A">
      <w:start w:val="1"/>
      <w:numFmt w:val="bullet"/>
      <w:lvlText w:val=""/>
      <w:lvlJc w:val="left"/>
      <w:pPr>
        <w:ind w:left="720" w:hanging="360"/>
      </w:pPr>
      <w:rPr>
        <w:rFonts w:ascii="Symbol" w:hAnsi="Symbol"/>
      </w:rPr>
    </w:lvl>
    <w:lvl w:ilvl="5" w:tplc="0C7C48D0">
      <w:start w:val="1"/>
      <w:numFmt w:val="bullet"/>
      <w:lvlText w:val=""/>
      <w:lvlJc w:val="left"/>
      <w:pPr>
        <w:ind w:left="720" w:hanging="360"/>
      </w:pPr>
      <w:rPr>
        <w:rFonts w:ascii="Symbol" w:hAnsi="Symbol"/>
      </w:rPr>
    </w:lvl>
    <w:lvl w:ilvl="6" w:tplc="DA50D710">
      <w:start w:val="1"/>
      <w:numFmt w:val="bullet"/>
      <w:lvlText w:val=""/>
      <w:lvlJc w:val="left"/>
      <w:pPr>
        <w:ind w:left="720" w:hanging="360"/>
      </w:pPr>
      <w:rPr>
        <w:rFonts w:ascii="Symbol" w:hAnsi="Symbol"/>
      </w:rPr>
    </w:lvl>
    <w:lvl w:ilvl="7" w:tplc="14F6A140">
      <w:start w:val="1"/>
      <w:numFmt w:val="bullet"/>
      <w:lvlText w:val=""/>
      <w:lvlJc w:val="left"/>
      <w:pPr>
        <w:ind w:left="720" w:hanging="360"/>
      </w:pPr>
      <w:rPr>
        <w:rFonts w:ascii="Symbol" w:hAnsi="Symbol"/>
      </w:rPr>
    </w:lvl>
    <w:lvl w:ilvl="8" w:tplc="7DE2C28A">
      <w:start w:val="1"/>
      <w:numFmt w:val="bullet"/>
      <w:lvlText w:val=""/>
      <w:lvlJc w:val="left"/>
      <w:pPr>
        <w:ind w:left="720" w:hanging="360"/>
      </w:pPr>
      <w:rPr>
        <w:rFonts w:ascii="Symbol" w:hAnsi="Symbol"/>
      </w:rPr>
    </w:lvl>
  </w:abstractNum>
  <w:abstractNum w:abstractNumId="6" w15:restartNumberingAfterBreak="0">
    <w:nsid w:val="79F61DE0"/>
    <w:multiLevelType w:val="multilevel"/>
    <w:tmpl w:val="932A20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3930407">
    <w:abstractNumId w:val="0"/>
  </w:num>
  <w:num w:numId="2" w16cid:durableId="584190370">
    <w:abstractNumId w:val="2"/>
  </w:num>
  <w:num w:numId="3" w16cid:durableId="39089272">
    <w:abstractNumId w:val="4"/>
  </w:num>
  <w:num w:numId="4" w16cid:durableId="1217165098">
    <w:abstractNumId w:val="3"/>
  </w:num>
  <w:num w:numId="5" w16cid:durableId="1121916495">
    <w:abstractNumId w:val="5"/>
  </w:num>
  <w:num w:numId="6" w16cid:durableId="1726179613">
    <w:abstractNumId w:val="1"/>
  </w:num>
  <w:num w:numId="7" w16cid:durableId="15536166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57"/>
    <w:rsid w:val="00000BA3"/>
    <w:rsid w:val="0000458E"/>
    <w:rsid w:val="00005559"/>
    <w:rsid w:val="00005CDD"/>
    <w:rsid w:val="000062B6"/>
    <w:rsid w:val="00006CD3"/>
    <w:rsid w:val="00007786"/>
    <w:rsid w:val="00007F03"/>
    <w:rsid w:val="00010253"/>
    <w:rsid w:val="0001079A"/>
    <w:rsid w:val="00010C43"/>
    <w:rsid w:val="000129B9"/>
    <w:rsid w:val="00012BC7"/>
    <w:rsid w:val="00013977"/>
    <w:rsid w:val="00015234"/>
    <w:rsid w:val="00015EEA"/>
    <w:rsid w:val="0001640A"/>
    <w:rsid w:val="00017DFC"/>
    <w:rsid w:val="000205B7"/>
    <w:rsid w:val="0002117E"/>
    <w:rsid w:val="00021D1E"/>
    <w:rsid w:val="000220DD"/>
    <w:rsid w:val="000221CC"/>
    <w:rsid w:val="00022E7D"/>
    <w:rsid w:val="00024DEE"/>
    <w:rsid w:val="00025078"/>
    <w:rsid w:val="00026420"/>
    <w:rsid w:val="000265F0"/>
    <w:rsid w:val="000269E5"/>
    <w:rsid w:val="00027278"/>
    <w:rsid w:val="0002763C"/>
    <w:rsid w:val="000303FF"/>
    <w:rsid w:val="0003113F"/>
    <w:rsid w:val="00032F95"/>
    <w:rsid w:val="0003514C"/>
    <w:rsid w:val="00035D2E"/>
    <w:rsid w:val="000369DA"/>
    <w:rsid w:val="00037EE1"/>
    <w:rsid w:val="00037FCC"/>
    <w:rsid w:val="000409A8"/>
    <w:rsid w:val="00041950"/>
    <w:rsid w:val="00042ACA"/>
    <w:rsid w:val="000457A7"/>
    <w:rsid w:val="000458A1"/>
    <w:rsid w:val="000512B9"/>
    <w:rsid w:val="00052748"/>
    <w:rsid w:val="00054B93"/>
    <w:rsid w:val="00054EC6"/>
    <w:rsid w:val="00057C9E"/>
    <w:rsid w:val="00061787"/>
    <w:rsid w:val="00061DFE"/>
    <w:rsid w:val="000621B0"/>
    <w:rsid w:val="00063EEB"/>
    <w:rsid w:val="000672AD"/>
    <w:rsid w:val="0006760D"/>
    <w:rsid w:val="00070815"/>
    <w:rsid w:val="00070C08"/>
    <w:rsid w:val="000722EF"/>
    <w:rsid w:val="00072D3D"/>
    <w:rsid w:val="0007411F"/>
    <w:rsid w:val="00074F57"/>
    <w:rsid w:val="00075652"/>
    <w:rsid w:val="000762CE"/>
    <w:rsid w:val="00076D80"/>
    <w:rsid w:val="00080827"/>
    <w:rsid w:val="000809FE"/>
    <w:rsid w:val="0008177C"/>
    <w:rsid w:val="00082702"/>
    <w:rsid w:val="00084AB9"/>
    <w:rsid w:val="00085B48"/>
    <w:rsid w:val="00086B18"/>
    <w:rsid w:val="00087ABC"/>
    <w:rsid w:val="00090F1E"/>
    <w:rsid w:val="000915D0"/>
    <w:rsid w:val="000928FE"/>
    <w:rsid w:val="00092EDC"/>
    <w:rsid w:val="00094237"/>
    <w:rsid w:val="00095074"/>
    <w:rsid w:val="000957F3"/>
    <w:rsid w:val="00096FF7"/>
    <w:rsid w:val="00097281"/>
    <w:rsid w:val="00097921"/>
    <w:rsid w:val="000A0BE9"/>
    <w:rsid w:val="000A1CBC"/>
    <w:rsid w:val="000A2384"/>
    <w:rsid w:val="000A28C5"/>
    <w:rsid w:val="000A4B09"/>
    <w:rsid w:val="000A4DE6"/>
    <w:rsid w:val="000A7AE3"/>
    <w:rsid w:val="000B0D7D"/>
    <w:rsid w:val="000B19B7"/>
    <w:rsid w:val="000B1DD1"/>
    <w:rsid w:val="000B23F3"/>
    <w:rsid w:val="000B3A25"/>
    <w:rsid w:val="000B3BF1"/>
    <w:rsid w:val="000B3E2F"/>
    <w:rsid w:val="000B4386"/>
    <w:rsid w:val="000B468E"/>
    <w:rsid w:val="000B565F"/>
    <w:rsid w:val="000B56A3"/>
    <w:rsid w:val="000B5A94"/>
    <w:rsid w:val="000B6988"/>
    <w:rsid w:val="000B6DA8"/>
    <w:rsid w:val="000C0B03"/>
    <w:rsid w:val="000C2904"/>
    <w:rsid w:val="000C2CCE"/>
    <w:rsid w:val="000C34F1"/>
    <w:rsid w:val="000C3E09"/>
    <w:rsid w:val="000C481A"/>
    <w:rsid w:val="000D03C5"/>
    <w:rsid w:val="000D27F8"/>
    <w:rsid w:val="000D389B"/>
    <w:rsid w:val="000D3B1A"/>
    <w:rsid w:val="000D3C9D"/>
    <w:rsid w:val="000D4841"/>
    <w:rsid w:val="000D4A52"/>
    <w:rsid w:val="000D4B1B"/>
    <w:rsid w:val="000D579F"/>
    <w:rsid w:val="000E0398"/>
    <w:rsid w:val="000E28E6"/>
    <w:rsid w:val="000E3295"/>
    <w:rsid w:val="000E6A8C"/>
    <w:rsid w:val="000E6A90"/>
    <w:rsid w:val="000E7E74"/>
    <w:rsid w:val="000F0484"/>
    <w:rsid w:val="000F18F6"/>
    <w:rsid w:val="000F1AEC"/>
    <w:rsid w:val="000F1AFC"/>
    <w:rsid w:val="000F4205"/>
    <w:rsid w:val="000F436E"/>
    <w:rsid w:val="000F76A0"/>
    <w:rsid w:val="00102B00"/>
    <w:rsid w:val="0010479F"/>
    <w:rsid w:val="001047F1"/>
    <w:rsid w:val="00105842"/>
    <w:rsid w:val="001059AB"/>
    <w:rsid w:val="00107916"/>
    <w:rsid w:val="001109FD"/>
    <w:rsid w:val="00110D77"/>
    <w:rsid w:val="001113CF"/>
    <w:rsid w:val="00111735"/>
    <w:rsid w:val="00112E10"/>
    <w:rsid w:val="001136F1"/>
    <w:rsid w:val="0011544F"/>
    <w:rsid w:val="0011564D"/>
    <w:rsid w:val="0012050F"/>
    <w:rsid w:val="001223DC"/>
    <w:rsid w:val="00122941"/>
    <w:rsid w:val="001230D1"/>
    <w:rsid w:val="00124C67"/>
    <w:rsid w:val="00124F6B"/>
    <w:rsid w:val="0012558C"/>
    <w:rsid w:val="00125631"/>
    <w:rsid w:val="00126D88"/>
    <w:rsid w:val="0013042F"/>
    <w:rsid w:val="00130D9D"/>
    <w:rsid w:val="00130F14"/>
    <w:rsid w:val="00131F1D"/>
    <w:rsid w:val="001328A3"/>
    <w:rsid w:val="001338CB"/>
    <w:rsid w:val="00133C37"/>
    <w:rsid w:val="001348DD"/>
    <w:rsid w:val="00135379"/>
    <w:rsid w:val="001400D9"/>
    <w:rsid w:val="0014030E"/>
    <w:rsid w:val="00140695"/>
    <w:rsid w:val="0014098B"/>
    <w:rsid w:val="00140C5C"/>
    <w:rsid w:val="00142B8B"/>
    <w:rsid w:val="00145376"/>
    <w:rsid w:val="00146030"/>
    <w:rsid w:val="001532B6"/>
    <w:rsid w:val="00153414"/>
    <w:rsid w:val="001547FF"/>
    <w:rsid w:val="0015500B"/>
    <w:rsid w:val="001556C8"/>
    <w:rsid w:val="001579C3"/>
    <w:rsid w:val="00162ECC"/>
    <w:rsid w:val="00163811"/>
    <w:rsid w:val="00163A82"/>
    <w:rsid w:val="00164489"/>
    <w:rsid w:val="00164C53"/>
    <w:rsid w:val="00167154"/>
    <w:rsid w:val="00167542"/>
    <w:rsid w:val="00167DDF"/>
    <w:rsid w:val="001709D7"/>
    <w:rsid w:val="001712F7"/>
    <w:rsid w:val="00171DCF"/>
    <w:rsid w:val="00171E65"/>
    <w:rsid w:val="00172259"/>
    <w:rsid w:val="00172840"/>
    <w:rsid w:val="00173F01"/>
    <w:rsid w:val="001743AA"/>
    <w:rsid w:val="00174C6F"/>
    <w:rsid w:val="00180FB4"/>
    <w:rsid w:val="001811B3"/>
    <w:rsid w:val="001817C5"/>
    <w:rsid w:val="00182838"/>
    <w:rsid w:val="00182E19"/>
    <w:rsid w:val="00183133"/>
    <w:rsid w:val="00183F50"/>
    <w:rsid w:val="001855A6"/>
    <w:rsid w:val="00185857"/>
    <w:rsid w:val="00185C06"/>
    <w:rsid w:val="00187880"/>
    <w:rsid w:val="00187AA6"/>
    <w:rsid w:val="00190409"/>
    <w:rsid w:val="0019559F"/>
    <w:rsid w:val="001964B5"/>
    <w:rsid w:val="00196BF4"/>
    <w:rsid w:val="001A0FA1"/>
    <w:rsid w:val="001A2C13"/>
    <w:rsid w:val="001A3EAC"/>
    <w:rsid w:val="001A4D13"/>
    <w:rsid w:val="001A5120"/>
    <w:rsid w:val="001A55ED"/>
    <w:rsid w:val="001A5A36"/>
    <w:rsid w:val="001A62AE"/>
    <w:rsid w:val="001A649F"/>
    <w:rsid w:val="001A6A73"/>
    <w:rsid w:val="001B0FB9"/>
    <w:rsid w:val="001B1690"/>
    <w:rsid w:val="001B183B"/>
    <w:rsid w:val="001B252D"/>
    <w:rsid w:val="001B3338"/>
    <w:rsid w:val="001B35F5"/>
    <w:rsid w:val="001B47A3"/>
    <w:rsid w:val="001B48DF"/>
    <w:rsid w:val="001B4F79"/>
    <w:rsid w:val="001B52C6"/>
    <w:rsid w:val="001B52E2"/>
    <w:rsid w:val="001B5839"/>
    <w:rsid w:val="001B7020"/>
    <w:rsid w:val="001B73F2"/>
    <w:rsid w:val="001C161E"/>
    <w:rsid w:val="001C1E0F"/>
    <w:rsid w:val="001C23ED"/>
    <w:rsid w:val="001C2A85"/>
    <w:rsid w:val="001C3000"/>
    <w:rsid w:val="001C3FF2"/>
    <w:rsid w:val="001C480C"/>
    <w:rsid w:val="001C4E1E"/>
    <w:rsid w:val="001C5C89"/>
    <w:rsid w:val="001C5F74"/>
    <w:rsid w:val="001C6136"/>
    <w:rsid w:val="001D0F64"/>
    <w:rsid w:val="001D12E5"/>
    <w:rsid w:val="001D3753"/>
    <w:rsid w:val="001D514D"/>
    <w:rsid w:val="001D51F9"/>
    <w:rsid w:val="001D5E3A"/>
    <w:rsid w:val="001D6766"/>
    <w:rsid w:val="001D6C74"/>
    <w:rsid w:val="001D78A4"/>
    <w:rsid w:val="001E1593"/>
    <w:rsid w:val="001E1EEC"/>
    <w:rsid w:val="001E248F"/>
    <w:rsid w:val="001E5289"/>
    <w:rsid w:val="001F1FDE"/>
    <w:rsid w:val="001F5195"/>
    <w:rsid w:val="001F6FC5"/>
    <w:rsid w:val="002005AD"/>
    <w:rsid w:val="002006C2"/>
    <w:rsid w:val="0020092B"/>
    <w:rsid w:val="0020132D"/>
    <w:rsid w:val="00201782"/>
    <w:rsid w:val="00205069"/>
    <w:rsid w:val="00206E07"/>
    <w:rsid w:val="0020760F"/>
    <w:rsid w:val="00210723"/>
    <w:rsid w:val="00211159"/>
    <w:rsid w:val="0021182D"/>
    <w:rsid w:val="00212D0E"/>
    <w:rsid w:val="0021306B"/>
    <w:rsid w:val="00213B0C"/>
    <w:rsid w:val="00214077"/>
    <w:rsid w:val="00214CBA"/>
    <w:rsid w:val="00215882"/>
    <w:rsid w:val="00215AE4"/>
    <w:rsid w:val="00215C88"/>
    <w:rsid w:val="00216316"/>
    <w:rsid w:val="00216AE4"/>
    <w:rsid w:val="00216E56"/>
    <w:rsid w:val="002178AC"/>
    <w:rsid w:val="0022087C"/>
    <w:rsid w:val="00220FBF"/>
    <w:rsid w:val="00221D85"/>
    <w:rsid w:val="00221F20"/>
    <w:rsid w:val="0022270D"/>
    <w:rsid w:val="00223ABD"/>
    <w:rsid w:val="00225281"/>
    <w:rsid w:val="002301B9"/>
    <w:rsid w:val="00231277"/>
    <w:rsid w:val="002321EA"/>
    <w:rsid w:val="002351DD"/>
    <w:rsid w:val="002352E6"/>
    <w:rsid w:val="00235F99"/>
    <w:rsid w:val="0023624C"/>
    <w:rsid w:val="002362A2"/>
    <w:rsid w:val="00240518"/>
    <w:rsid w:val="00241382"/>
    <w:rsid w:val="00241B1A"/>
    <w:rsid w:val="002421E9"/>
    <w:rsid w:val="002451D4"/>
    <w:rsid w:val="00245BE6"/>
    <w:rsid w:val="002465EF"/>
    <w:rsid w:val="00246BE2"/>
    <w:rsid w:val="00247718"/>
    <w:rsid w:val="002503EE"/>
    <w:rsid w:val="00250C50"/>
    <w:rsid w:val="0025233F"/>
    <w:rsid w:val="002525C6"/>
    <w:rsid w:val="0025305F"/>
    <w:rsid w:val="00254101"/>
    <w:rsid w:val="00254603"/>
    <w:rsid w:val="00254D5F"/>
    <w:rsid w:val="00257A3D"/>
    <w:rsid w:val="00260AB5"/>
    <w:rsid w:val="00260DDA"/>
    <w:rsid w:val="00261B43"/>
    <w:rsid w:val="0026205F"/>
    <w:rsid w:val="00262F48"/>
    <w:rsid w:val="00263504"/>
    <w:rsid w:val="00264196"/>
    <w:rsid w:val="002645D8"/>
    <w:rsid w:val="002711DB"/>
    <w:rsid w:val="002717EE"/>
    <w:rsid w:val="0027236C"/>
    <w:rsid w:val="00273FBA"/>
    <w:rsid w:val="002748E9"/>
    <w:rsid w:val="00274F49"/>
    <w:rsid w:val="00275A75"/>
    <w:rsid w:val="00276B92"/>
    <w:rsid w:val="00277166"/>
    <w:rsid w:val="0028155F"/>
    <w:rsid w:val="00282C3A"/>
    <w:rsid w:val="00285A4D"/>
    <w:rsid w:val="0028632E"/>
    <w:rsid w:val="00286F98"/>
    <w:rsid w:val="002877E6"/>
    <w:rsid w:val="002905A1"/>
    <w:rsid w:val="0029190C"/>
    <w:rsid w:val="002929A8"/>
    <w:rsid w:val="00292AB4"/>
    <w:rsid w:val="0029331F"/>
    <w:rsid w:val="00295137"/>
    <w:rsid w:val="002959CD"/>
    <w:rsid w:val="002961A7"/>
    <w:rsid w:val="002A069B"/>
    <w:rsid w:val="002A1351"/>
    <w:rsid w:val="002A28B5"/>
    <w:rsid w:val="002A3900"/>
    <w:rsid w:val="002A46AF"/>
    <w:rsid w:val="002B0624"/>
    <w:rsid w:val="002B28E7"/>
    <w:rsid w:val="002B4D02"/>
    <w:rsid w:val="002B5004"/>
    <w:rsid w:val="002B61DC"/>
    <w:rsid w:val="002B6242"/>
    <w:rsid w:val="002B6856"/>
    <w:rsid w:val="002B6DB3"/>
    <w:rsid w:val="002B7761"/>
    <w:rsid w:val="002B7826"/>
    <w:rsid w:val="002B7963"/>
    <w:rsid w:val="002B7AAE"/>
    <w:rsid w:val="002C1A17"/>
    <w:rsid w:val="002C2E2C"/>
    <w:rsid w:val="002C3BB5"/>
    <w:rsid w:val="002C3BF2"/>
    <w:rsid w:val="002C76DB"/>
    <w:rsid w:val="002D15CF"/>
    <w:rsid w:val="002D241D"/>
    <w:rsid w:val="002D3661"/>
    <w:rsid w:val="002D4670"/>
    <w:rsid w:val="002D5284"/>
    <w:rsid w:val="002D5A26"/>
    <w:rsid w:val="002D63EA"/>
    <w:rsid w:val="002D6439"/>
    <w:rsid w:val="002D64D3"/>
    <w:rsid w:val="002D6566"/>
    <w:rsid w:val="002E01B6"/>
    <w:rsid w:val="002E0DE8"/>
    <w:rsid w:val="002E1683"/>
    <w:rsid w:val="002E2CE1"/>
    <w:rsid w:val="002E39D3"/>
    <w:rsid w:val="002E53F6"/>
    <w:rsid w:val="002E5C46"/>
    <w:rsid w:val="002E5D12"/>
    <w:rsid w:val="002E6607"/>
    <w:rsid w:val="002E670A"/>
    <w:rsid w:val="002F2F2F"/>
    <w:rsid w:val="002F3255"/>
    <w:rsid w:val="002F3439"/>
    <w:rsid w:val="002F36EF"/>
    <w:rsid w:val="002F46E9"/>
    <w:rsid w:val="002F474E"/>
    <w:rsid w:val="002F532B"/>
    <w:rsid w:val="002F5355"/>
    <w:rsid w:val="002F624C"/>
    <w:rsid w:val="002F63EA"/>
    <w:rsid w:val="002F7C59"/>
    <w:rsid w:val="002F7D72"/>
    <w:rsid w:val="0030005C"/>
    <w:rsid w:val="00300AA0"/>
    <w:rsid w:val="00300F1F"/>
    <w:rsid w:val="00303281"/>
    <w:rsid w:val="003037F6"/>
    <w:rsid w:val="00307956"/>
    <w:rsid w:val="003107B9"/>
    <w:rsid w:val="00310E35"/>
    <w:rsid w:val="003112B8"/>
    <w:rsid w:val="00311F6B"/>
    <w:rsid w:val="003131CB"/>
    <w:rsid w:val="003152B4"/>
    <w:rsid w:val="00315BEE"/>
    <w:rsid w:val="00317325"/>
    <w:rsid w:val="00320421"/>
    <w:rsid w:val="00321358"/>
    <w:rsid w:val="0032282B"/>
    <w:rsid w:val="0032361D"/>
    <w:rsid w:val="003246D8"/>
    <w:rsid w:val="003250EA"/>
    <w:rsid w:val="0032604F"/>
    <w:rsid w:val="00326670"/>
    <w:rsid w:val="0032744C"/>
    <w:rsid w:val="00331838"/>
    <w:rsid w:val="00333081"/>
    <w:rsid w:val="003335F6"/>
    <w:rsid w:val="00334C51"/>
    <w:rsid w:val="00337912"/>
    <w:rsid w:val="00337A81"/>
    <w:rsid w:val="003401FB"/>
    <w:rsid w:val="00341BC5"/>
    <w:rsid w:val="00342189"/>
    <w:rsid w:val="003422A9"/>
    <w:rsid w:val="00342392"/>
    <w:rsid w:val="003435F4"/>
    <w:rsid w:val="0034443C"/>
    <w:rsid w:val="0034456B"/>
    <w:rsid w:val="00346DCE"/>
    <w:rsid w:val="003475C7"/>
    <w:rsid w:val="003521D2"/>
    <w:rsid w:val="00353077"/>
    <w:rsid w:val="00353ED7"/>
    <w:rsid w:val="00355C7F"/>
    <w:rsid w:val="003576A5"/>
    <w:rsid w:val="00357C59"/>
    <w:rsid w:val="0036104C"/>
    <w:rsid w:val="00364C32"/>
    <w:rsid w:val="00365578"/>
    <w:rsid w:val="00365E99"/>
    <w:rsid w:val="00366AE6"/>
    <w:rsid w:val="00370F1C"/>
    <w:rsid w:val="0037187D"/>
    <w:rsid w:val="003726A4"/>
    <w:rsid w:val="00374772"/>
    <w:rsid w:val="00374A71"/>
    <w:rsid w:val="00374ADC"/>
    <w:rsid w:val="00380E73"/>
    <w:rsid w:val="00382AD9"/>
    <w:rsid w:val="00383283"/>
    <w:rsid w:val="003845BE"/>
    <w:rsid w:val="00385A30"/>
    <w:rsid w:val="00386F24"/>
    <w:rsid w:val="003903B4"/>
    <w:rsid w:val="00390F40"/>
    <w:rsid w:val="00393513"/>
    <w:rsid w:val="00394699"/>
    <w:rsid w:val="00394E8D"/>
    <w:rsid w:val="003956A0"/>
    <w:rsid w:val="003957AE"/>
    <w:rsid w:val="00396AD0"/>
    <w:rsid w:val="00397575"/>
    <w:rsid w:val="003A21C7"/>
    <w:rsid w:val="003A2BAB"/>
    <w:rsid w:val="003A4F93"/>
    <w:rsid w:val="003A5809"/>
    <w:rsid w:val="003A5B9C"/>
    <w:rsid w:val="003A629A"/>
    <w:rsid w:val="003A6647"/>
    <w:rsid w:val="003A6D30"/>
    <w:rsid w:val="003A71B6"/>
    <w:rsid w:val="003B0EA7"/>
    <w:rsid w:val="003B269A"/>
    <w:rsid w:val="003B2C85"/>
    <w:rsid w:val="003B2D99"/>
    <w:rsid w:val="003B2F2B"/>
    <w:rsid w:val="003B313A"/>
    <w:rsid w:val="003B5A1E"/>
    <w:rsid w:val="003B6FC4"/>
    <w:rsid w:val="003B7BA6"/>
    <w:rsid w:val="003C0901"/>
    <w:rsid w:val="003C117D"/>
    <w:rsid w:val="003C122A"/>
    <w:rsid w:val="003C13DC"/>
    <w:rsid w:val="003C7969"/>
    <w:rsid w:val="003C79CD"/>
    <w:rsid w:val="003D2316"/>
    <w:rsid w:val="003D3D5E"/>
    <w:rsid w:val="003D40DC"/>
    <w:rsid w:val="003D5D92"/>
    <w:rsid w:val="003E1B87"/>
    <w:rsid w:val="003E2111"/>
    <w:rsid w:val="003E2791"/>
    <w:rsid w:val="003E2CA2"/>
    <w:rsid w:val="003E34E1"/>
    <w:rsid w:val="003E4BA1"/>
    <w:rsid w:val="003F02CF"/>
    <w:rsid w:val="003F1352"/>
    <w:rsid w:val="003F2D16"/>
    <w:rsid w:val="003F38B1"/>
    <w:rsid w:val="003F5070"/>
    <w:rsid w:val="003F510E"/>
    <w:rsid w:val="003F6959"/>
    <w:rsid w:val="003F74F3"/>
    <w:rsid w:val="004007B6"/>
    <w:rsid w:val="00401AC9"/>
    <w:rsid w:val="00402913"/>
    <w:rsid w:val="004051F4"/>
    <w:rsid w:val="00405C13"/>
    <w:rsid w:val="004068DB"/>
    <w:rsid w:val="00411502"/>
    <w:rsid w:val="00414E8E"/>
    <w:rsid w:val="00415EE1"/>
    <w:rsid w:val="00416528"/>
    <w:rsid w:val="00421671"/>
    <w:rsid w:val="004257F1"/>
    <w:rsid w:val="004259B8"/>
    <w:rsid w:val="00426060"/>
    <w:rsid w:val="004303C9"/>
    <w:rsid w:val="004307B1"/>
    <w:rsid w:val="00431EA5"/>
    <w:rsid w:val="00433B0E"/>
    <w:rsid w:val="00433B15"/>
    <w:rsid w:val="004342AD"/>
    <w:rsid w:val="004365E8"/>
    <w:rsid w:val="0043727B"/>
    <w:rsid w:val="0044113E"/>
    <w:rsid w:val="004414AB"/>
    <w:rsid w:val="0044176B"/>
    <w:rsid w:val="00444E0B"/>
    <w:rsid w:val="00445954"/>
    <w:rsid w:val="004469A6"/>
    <w:rsid w:val="00446A66"/>
    <w:rsid w:val="0044738D"/>
    <w:rsid w:val="0045064B"/>
    <w:rsid w:val="0045313E"/>
    <w:rsid w:val="0045354C"/>
    <w:rsid w:val="00453985"/>
    <w:rsid w:val="00454AA5"/>
    <w:rsid w:val="00454D03"/>
    <w:rsid w:val="0045533F"/>
    <w:rsid w:val="00456F5F"/>
    <w:rsid w:val="0045779C"/>
    <w:rsid w:val="00457CDC"/>
    <w:rsid w:val="00457DB5"/>
    <w:rsid w:val="004607B9"/>
    <w:rsid w:val="00460D0B"/>
    <w:rsid w:val="0046271A"/>
    <w:rsid w:val="00463191"/>
    <w:rsid w:val="004632FB"/>
    <w:rsid w:val="00463B16"/>
    <w:rsid w:val="00465EE5"/>
    <w:rsid w:val="0046623C"/>
    <w:rsid w:val="004701B6"/>
    <w:rsid w:val="004719C8"/>
    <w:rsid w:val="00471DD1"/>
    <w:rsid w:val="0047202D"/>
    <w:rsid w:val="004720AD"/>
    <w:rsid w:val="00472C15"/>
    <w:rsid w:val="00474E5D"/>
    <w:rsid w:val="00475E92"/>
    <w:rsid w:val="004763F0"/>
    <w:rsid w:val="00477B5F"/>
    <w:rsid w:val="004824BB"/>
    <w:rsid w:val="004834F9"/>
    <w:rsid w:val="00484F7C"/>
    <w:rsid w:val="00485702"/>
    <w:rsid w:val="004857A0"/>
    <w:rsid w:val="004911DB"/>
    <w:rsid w:val="00491799"/>
    <w:rsid w:val="0049417A"/>
    <w:rsid w:val="00496495"/>
    <w:rsid w:val="0049799D"/>
    <w:rsid w:val="00497A25"/>
    <w:rsid w:val="004A1E0E"/>
    <w:rsid w:val="004A34D5"/>
    <w:rsid w:val="004A39FA"/>
    <w:rsid w:val="004A41F5"/>
    <w:rsid w:val="004A67B7"/>
    <w:rsid w:val="004A731E"/>
    <w:rsid w:val="004A7E2D"/>
    <w:rsid w:val="004B1748"/>
    <w:rsid w:val="004B1878"/>
    <w:rsid w:val="004B1915"/>
    <w:rsid w:val="004B2032"/>
    <w:rsid w:val="004B3903"/>
    <w:rsid w:val="004B3917"/>
    <w:rsid w:val="004B41DB"/>
    <w:rsid w:val="004B6734"/>
    <w:rsid w:val="004B730B"/>
    <w:rsid w:val="004B767A"/>
    <w:rsid w:val="004C091C"/>
    <w:rsid w:val="004C099E"/>
    <w:rsid w:val="004C135B"/>
    <w:rsid w:val="004C31DD"/>
    <w:rsid w:val="004C4A86"/>
    <w:rsid w:val="004C61CE"/>
    <w:rsid w:val="004C7CFA"/>
    <w:rsid w:val="004D0853"/>
    <w:rsid w:val="004D18C5"/>
    <w:rsid w:val="004D2BD4"/>
    <w:rsid w:val="004D2D6B"/>
    <w:rsid w:val="004D35C4"/>
    <w:rsid w:val="004D6243"/>
    <w:rsid w:val="004D67A8"/>
    <w:rsid w:val="004E019B"/>
    <w:rsid w:val="004E1778"/>
    <w:rsid w:val="004E2615"/>
    <w:rsid w:val="004E36F0"/>
    <w:rsid w:val="004E423C"/>
    <w:rsid w:val="004E463B"/>
    <w:rsid w:val="004E52A3"/>
    <w:rsid w:val="004F0522"/>
    <w:rsid w:val="004F056B"/>
    <w:rsid w:val="004F30F7"/>
    <w:rsid w:val="004F31F6"/>
    <w:rsid w:val="004F3C2A"/>
    <w:rsid w:val="004F4679"/>
    <w:rsid w:val="004F5882"/>
    <w:rsid w:val="004F7555"/>
    <w:rsid w:val="00501C5E"/>
    <w:rsid w:val="00502D65"/>
    <w:rsid w:val="005036C6"/>
    <w:rsid w:val="00503BD9"/>
    <w:rsid w:val="00506819"/>
    <w:rsid w:val="00507254"/>
    <w:rsid w:val="00510094"/>
    <w:rsid w:val="00510B30"/>
    <w:rsid w:val="00510D22"/>
    <w:rsid w:val="00511DE8"/>
    <w:rsid w:val="0051350E"/>
    <w:rsid w:val="00513E5C"/>
    <w:rsid w:val="005145E8"/>
    <w:rsid w:val="0051533D"/>
    <w:rsid w:val="00515947"/>
    <w:rsid w:val="00515A53"/>
    <w:rsid w:val="005167FF"/>
    <w:rsid w:val="0052002D"/>
    <w:rsid w:val="005215FB"/>
    <w:rsid w:val="00524458"/>
    <w:rsid w:val="005245FA"/>
    <w:rsid w:val="005267B3"/>
    <w:rsid w:val="0052686C"/>
    <w:rsid w:val="0052726F"/>
    <w:rsid w:val="00531CAB"/>
    <w:rsid w:val="00533519"/>
    <w:rsid w:val="00535B7E"/>
    <w:rsid w:val="00536308"/>
    <w:rsid w:val="0053672A"/>
    <w:rsid w:val="0053760D"/>
    <w:rsid w:val="005403EE"/>
    <w:rsid w:val="0054116A"/>
    <w:rsid w:val="00541BA4"/>
    <w:rsid w:val="00541CAE"/>
    <w:rsid w:val="00541E72"/>
    <w:rsid w:val="00542802"/>
    <w:rsid w:val="00542B60"/>
    <w:rsid w:val="0054309C"/>
    <w:rsid w:val="005430D1"/>
    <w:rsid w:val="00546974"/>
    <w:rsid w:val="005472EA"/>
    <w:rsid w:val="0054755A"/>
    <w:rsid w:val="00547A47"/>
    <w:rsid w:val="00550E1C"/>
    <w:rsid w:val="00551147"/>
    <w:rsid w:val="00551DCD"/>
    <w:rsid w:val="00553BAF"/>
    <w:rsid w:val="00557330"/>
    <w:rsid w:val="0056213F"/>
    <w:rsid w:val="0056348D"/>
    <w:rsid w:val="0056577F"/>
    <w:rsid w:val="00566AFB"/>
    <w:rsid w:val="005702E9"/>
    <w:rsid w:val="00570A1C"/>
    <w:rsid w:val="00572D74"/>
    <w:rsid w:val="00573866"/>
    <w:rsid w:val="00574013"/>
    <w:rsid w:val="005754FF"/>
    <w:rsid w:val="005772F5"/>
    <w:rsid w:val="00580E50"/>
    <w:rsid w:val="00581525"/>
    <w:rsid w:val="00582C28"/>
    <w:rsid w:val="005842FF"/>
    <w:rsid w:val="0058746E"/>
    <w:rsid w:val="005876FD"/>
    <w:rsid w:val="00587BD9"/>
    <w:rsid w:val="00594DA5"/>
    <w:rsid w:val="0059538B"/>
    <w:rsid w:val="00595396"/>
    <w:rsid w:val="00595EAF"/>
    <w:rsid w:val="005964D8"/>
    <w:rsid w:val="005A241F"/>
    <w:rsid w:val="005A2601"/>
    <w:rsid w:val="005A2816"/>
    <w:rsid w:val="005A2FEB"/>
    <w:rsid w:val="005A47AB"/>
    <w:rsid w:val="005A513D"/>
    <w:rsid w:val="005A629D"/>
    <w:rsid w:val="005A6DDD"/>
    <w:rsid w:val="005B1192"/>
    <w:rsid w:val="005B2E88"/>
    <w:rsid w:val="005B3769"/>
    <w:rsid w:val="005B37D2"/>
    <w:rsid w:val="005B4697"/>
    <w:rsid w:val="005B4859"/>
    <w:rsid w:val="005B5B29"/>
    <w:rsid w:val="005B5D11"/>
    <w:rsid w:val="005C0BFC"/>
    <w:rsid w:val="005C287A"/>
    <w:rsid w:val="005C309F"/>
    <w:rsid w:val="005C52A1"/>
    <w:rsid w:val="005C5F8A"/>
    <w:rsid w:val="005C6029"/>
    <w:rsid w:val="005C7450"/>
    <w:rsid w:val="005C7DDD"/>
    <w:rsid w:val="005D05E3"/>
    <w:rsid w:val="005D0BF2"/>
    <w:rsid w:val="005D18E0"/>
    <w:rsid w:val="005D4BE4"/>
    <w:rsid w:val="005D7437"/>
    <w:rsid w:val="005E0025"/>
    <w:rsid w:val="005E1535"/>
    <w:rsid w:val="005E2DB0"/>
    <w:rsid w:val="005E402B"/>
    <w:rsid w:val="005E45EA"/>
    <w:rsid w:val="005F00F5"/>
    <w:rsid w:val="005F14BE"/>
    <w:rsid w:val="005F1585"/>
    <w:rsid w:val="005F19AF"/>
    <w:rsid w:val="005F3922"/>
    <w:rsid w:val="005F51B3"/>
    <w:rsid w:val="005F5317"/>
    <w:rsid w:val="005F62CF"/>
    <w:rsid w:val="005F7546"/>
    <w:rsid w:val="006063F3"/>
    <w:rsid w:val="006100E3"/>
    <w:rsid w:val="00612CA9"/>
    <w:rsid w:val="0061310A"/>
    <w:rsid w:val="00613CAC"/>
    <w:rsid w:val="0061415D"/>
    <w:rsid w:val="00616AE1"/>
    <w:rsid w:val="00617361"/>
    <w:rsid w:val="00621BCA"/>
    <w:rsid w:val="00622448"/>
    <w:rsid w:val="00623CAB"/>
    <w:rsid w:val="006247FE"/>
    <w:rsid w:val="00624F4F"/>
    <w:rsid w:val="00631168"/>
    <w:rsid w:val="006324F8"/>
    <w:rsid w:val="00633B88"/>
    <w:rsid w:val="00633CB3"/>
    <w:rsid w:val="006340C3"/>
    <w:rsid w:val="00634148"/>
    <w:rsid w:val="00636094"/>
    <w:rsid w:val="00636F7F"/>
    <w:rsid w:val="00640A8E"/>
    <w:rsid w:val="0064330D"/>
    <w:rsid w:val="00644993"/>
    <w:rsid w:val="00644F3A"/>
    <w:rsid w:val="0064697C"/>
    <w:rsid w:val="00646A14"/>
    <w:rsid w:val="0064757E"/>
    <w:rsid w:val="0065072B"/>
    <w:rsid w:val="006509C0"/>
    <w:rsid w:val="00653F8A"/>
    <w:rsid w:val="00655456"/>
    <w:rsid w:val="006574A9"/>
    <w:rsid w:val="0065775F"/>
    <w:rsid w:val="00660DEB"/>
    <w:rsid w:val="00662CA7"/>
    <w:rsid w:val="00664E7B"/>
    <w:rsid w:val="00665471"/>
    <w:rsid w:val="006701CD"/>
    <w:rsid w:val="0067036F"/>
    <w:rsid w:val="00671327"/>
    <w:rsid w:val="00672B71"/>
    <w:rsid w:val="00672C2E"/>
    <w:rsid w:val="00674A3E"/>
    <w:rsid w:val="0067596D"/>
    <w:rsid w:val="00675CEF"/>
    <w:rsid w:val="00675DCD"/>
    <w:rsid w:val="00675E9E"/>
    <w:rsid w:val="00676C2F"/>
    <w:rsid w:val="00676E13"/>
    <w:rsid w:val="0067719A"/>
    <w:rsid w:val="0068128F"/>
    <w:rsid w:val="00681F33"/>
    <w:rsid w:val="00683F81"/>
    <w:rsid w:val="0068414C"/>
    <w:rsid w:val="00685F8F"/>
    <w:rsid w:val="00685FD8"/>
    <w:rsid w:val="006866E8"/>
    <w:rsid w:val="00686FD5"/>
    <w:rsid w:val="00687945"/>
    <w:rsid w:val="00687AFD"/>
    <w:rsid w:val="0069030B"/>
    <w:rsid w:val="006906DA"/>
    <w:rsid w:val="00690758"/>
    <w:rsid w:val="00690F00"/>
    <w:rsid w:val="006916B0"/>
    <w:rsid w:val="00691A5F"/>
    <w:rsid w:val="0069221C"/>
    <w:rsid w:val="00694572"/>
    <w:rsid w:val="00696248"/>
    <w:rsid w:val="0069664D"/>
    <w:rsid w:val="00696D77"/>
    <w:rsid w:val="006978D5"/>
    <w:rsid w:val="006A03C0"/>
    <w:rsid w:val="006A38F3"/>
    <w:rsid w:val="006A4834"/>
    <w:rsid w:val="006A4968"/>
    <w:rsid w:val="006A5016"/>
    <w:rsid w:val="006A6798"/>
    <w:rsid w:val="006A7B6E"/>
    <w:rsid w:val="006B0F91"/>
    <w:rsid w:val="006B513C"/>
    <w:rsid w:val="006B77FD"/>
    <w:rsid w:val="006B7E27"/>
    <w:rsid w:val="006C0C73"/>
    <w:rsid w:val="006C3EA3"/>
    <w:rsid w:val="006C4B9E"/>
    <w:rsid w:val="006C517B"/>
    <w:rsid w:val="006C54D2"/>
    <w:rsid w:val="006C59BA"/>
    <w:rsid w:val="006C63E5"/>
    <w:rsid w:val="006C68CD"/>
    <w:rsid w:val="006C6ACE"/>
    <w:rsid w:val="006C712C"/>
    <w:rsid w:val="006D0874"/>
    <w:rsid w:val="006D0F69"/>
    <w:rsid w:val="006D194E"/>
    <w:rsid w:val="006D252A"/>
    <w:rsid w:val="006D354A"/>
    <w:rsid w:val="006D4B06"/>
    <w:rsid w:val="006D4F4F"/>
    <w:rsid w:val="006D59A3"/>
    <w:rsid w:val="006D7568"/>
    <w:rsid w:val="006E178A"/>
    <w:rsid w:val="006E315C"/>
    <w:rsid w:val="006E3160"/>
    <w:rsid w:val="006E3AFC"/>
    <w:rsid w:val="006E3CCB"/>
    <w:rsid w:val="006E4161"/>
    <w:rsid w:val="006E4266"/>
    <w:rsid w:val="006E5C19"/>
    <w:rsid w:val="006E6E31"/>
    <w:rsid w:val="006E7996"/>
    <w:rsid w:val="006F13FD"/>
    <w:rsid w:val="006F1B8B"/>
    <w:rsid w:val="006F1CD6"/>
    <w:rsid w:val="006F2403"/>
    <w:rsid w:val="006F2CA0"/>
    <w:rsid w:val="006F2D12"/>
    <w:rsid w:val="006F2F29"/>
    <w:rsid w:val="006F3209"/>
    <w:rsid w:val="006F3274"/>
    <w:rsid w:val="006F3A77"/>
    <w:rsid w:val="006F5030"/>
    <w:rsid w:val="006F50C5"/>
    <w:rsid w:val="006F73DD"/>
    <w:rsid w:val="006F7B04"/>
    <w:rsid w:val="00700313"/>
    <w:rsid w:val="00701B46"/>
    <w:rsid w:val="0070385B"/>
    <w:rsid w:val="007042A9"/>
    <w:rsid w:val="007049F0"/>
    <w:rsid w:val="00704FDD"/>
    <w:rsid w:val="00705E9D"/>
    <w:rsid w:val="0070786A"/>
    <w:rsid w:val="0071132D"/>
    <w:rsid w:val="00711949"/>
    <w:rsid w:val="007128A5"/>
    <w:rsid w:val="00713B32"/>
    <w:rsid w:val="007143E2"/>
    <w:rsid w:val="0071459D"/>
    <w:rsid w:val="00716675"/>
    <w:rsid w:val="007169E5"/>
    <w:rsid w:val="00717BD0"/>
    <w:rsid w:val="007209A2"/>
    <w:rsid w:val="00720C97"/>
    <w:rsid w:val="00721722"/>
    <w:rsid w:val="007223C0"/>
    <w:rsid w:val="0072257F"/>
    <w:rsid w:val="0072369A"/>
    <w:rsid w:val="00724A55"/>
    <w:rsid w:val="00724BD1"/>
    <w:rsid w:val="0072510C"/>
    <w:rsid w:val="00726096"/>
    <w:rsid w:val="00726390"/>
    <w:rsid w:val="00727472"/>
    <w:rsid w:val="00730C58"/>
    <w:rsid w:val="00736819"/>
    <w:rsid w:val="0073787D"/>
    <w:rsid w:val="00737D4B"/>
    <w:rsid w:val="00740669"/>
    <w:rsid w:val="007412A2"/>
    <w:rsid w:val="007417F4"/>
    <w:rsid w:val="00741B3A"/>
    <w:rsid w:val="0074207D"/>
    <w:rsid w:val="0074694F"/>
    <w:rsid w:val="00747751"/>
    <w:rsid w:val="007504A8"/>
    <w:rsid w:val="00750B41"/>
    <w:rsid w:val="00752070"/>
    <w:rsid w:val="00752EE0"/>
    <w:rsid w:val="00761463"/>
    <w:rsid w:val="007614F9"/>
    <w:rsid w:val="00762457"/>
    <w:rsid w:val="00763196"/>
    <w:rsid w:val="007637D8"/>
    <w:rsid w:val="00764E2E"/>
    <w:rsid w:val="00765F62"/>
    <w:rsid w:val="0076612A"/>
    <w:rsid w:val="0076635D"/>
    <w:rsid w:val="00771475"/>
    <w:rsid w:val="00771ECE"/>
    <w:rsid w:val="007741BA"/>
    <w:rsid w:val="00775036"/>
    <w:rsid w:val="0077535A"/>
    <w:rsid w:val="00775A9D"/>
    <w:rsid w:val="00776E06"/>
    <w:rsid w:val="00780DC5"/>
    <w:rsid w:val="00782814"/>
    <w:rsid w:val="00785C7C"/>
    <w:rsid w:val="007922CE"/>
    <w:rsid w:val="00793C4F"/>
    <w:rsid w:val="007947C5"/>
    <w:rsid w:val="0079520B"/>
    <w:rsid w:val="00795F12"/>
    <w:rsid w:val="007A02AC"/>
    <w:rsid w:val="007A4062"/>
    <w:rsid w:val="007A473E"/>
    <w:rsid w:val="007A48F6"/>
    <w:rsid w:val="007A56B0"/>
    <w:rsid w:val="007B22AF"/>
    <w:rsid w:val="007B4B63"/>
    <w:rsid w:val="007B614D"/>
    <w:rsid w:val="007B61D6"/>
    <w:rsid w:val="007B6DBC"/>
    <w:rsid w:val="007B77A5"/>
    <w:rsid w:val="007C1919"/>
    <w:rsid w:val="007C1B30"/>
    <w:rsid w:val="007C2B3C"/>
    <w:rsid w:val="007C2DC2"/>
    <w:rsid w:val="007C7A47"/>
    <w:rsid w:val="007D19EC"/>
    <w:rsid w:val="007D2A7E"/>
    <w:rsid w:val="007D3046"/>
    <w:rsid w:val="007D3930"/>
    <w:rsid w:val="007D3D40"/>
    <w:rsid w:val="007D4854"/>
    <w:rsid w:val="007D570C"/>
    <w:rsid w:val="007D711B"/>
    <w:rsid w:val="007D746D"/>
    <w:rsid w:val="007D7A03"/>
    <w:rsid w:val="007E0CD9"/>
    <w:rsid w:val="007E223C"/>
    <w:rsid w:val="007E2424"/>
    <w:rsid w:val="007E24AA"/>
    <w:rsid w:val="007E379F"/>
    <w:rsid w:val="007E47C1"/>
    <w:rsid w:val="007E5F8B"/>
    <w:rsid w:val="007E671E"/>
    <w:rsid w:val="007E7C5C"/>
    <w:rsid w:val="007F17D1"/>
    <w:rsid w:val="007F280A"/>
    <w:rsid w:val="007F2DDD"/>
    <w:rsid w:val="007F47F3"/>
    <w:rsid w:val="007F7B1B"/>
    <w:rsid w:val="00801D97"/>
    <w:rsid w:val="00801E58"/>
    <w:rsid w:val="00802213"/>
    <w:rsid w:val="008030F5"/>
    <w:rsid w:val="0080326F"/>
    <w:rsid w:val="008033C4"/>
    <w:rsid w:val="0080366D"/>
    <w:rsid w:val="00804030"/>
    <w:rsid w:val="00807055"/>
    <w:rsid w:val="008101AE"/>
    <w:rsid w:val="00810EB2"/>
    <w:rsid w:val="008124C3"/>
    <w:rsid w:val="00812F99"/>
    <w:rsid w:val="008131C9"/>
    <w:rsid w:val="00813255"/>
    <w:rsid w:val="00813659"/>
    <w:rsid w:val="0081549B"/>
    <w:rsid w:val="00815813"/>
    <w:rsid w:val="00816150"/>
    <w:rsid w:val="0082197A"/>
    <w:rsid w:val="00822870"/>
    <w:rsid w:val="00823B3B"/>
    <w:rsid w:val="00824AA2"/>
    <w:rsid w:val="008255B0"/>
    <w:rsid w:val="00825BF8"/>
    <w:rsid w:val="00826D4C"/>
    <w:rsid w:val="00830927"/>
    <w:rsid w:val="00831479"/>
    <w:rsid w:val="0083261F"/>
    <w:rsid w:val="00832BA9"/>
    <w:rsid w:val="00833C74"/>
    <w:rsid w:val="00834A2C"/>
    <w:rsid w:val="00835B9C"/>
    <w:rsid w:val="00837DDC"/>
    <w:rsid w:val="00841717"/>
    <w:rsid w:val="00841A22"/>
    <w:rsid w:val="00841B4D"/>
    <w:rsid w:val="00842B41"/>
    <w:rsid w:val="00845AC7"/>
    <w:rsid w:val="008469EC"/>
    <w:rsid w:val="00847553"/>
    <w:rsid w:val="00850C0E"/>
    <w:rsid w:val="0085285E"/>
    <w:rsid w:val="0085497C"/>
    <w:rsid w:val="00855185"/>
    <w:rsid w:val="0085583E"/>
    <w:rsid w:val="008612AB"/>
    <w:rsid w:val="008622D4"/>
    <w:rsid w:val="00862582"/>
    <w:rsid w:val="00862882"/>
    <w:rsid w:val="008631FE"/>
    <w:rsid w:val="0086455C"/>
    <w:rsid w:val="00864851"/>
    <w:rsid w:val="00865A51"/>
    <w:rsid w:val="00870358"/>
    <w:rsid w:val="008705CC"/>
    <w:rsid w:val="00870727"/>
    <w:rsid w:val="00871AFE"/>
    <w:rsid w:val="0087574A"/>
    <w:rsid w:val="00877129"/>
    <w:rsid w:val="00880D8A"/>
    <w:rsid w:val="00881984"/>
    <w:rsid w:val="00882E59"/>
    <w:rsid w:val="008837A1"/>
    <w:rsid w:val="00884166"/>
    <w:rsid w:val="00884300"/>
    <w:rsid w:val="00884AC7"/>
    <w:rsid w:val="008851D0"/>
    <w:rsid w:val="00885A82"/>
    <w:rsid w:val="008864A1"/>
    <w:rsid w:val="008873C1"/>
    <w:rsid w:val="00887F3C"/>
    <w:rsid w:val="008908A8"/>
    <w:rsid w:val="00890E57"/>
    <w:rsid w:val="008911C5"/>
    <w:rsid w:val="00891ED4"/>
    <w:rsid w:val="00892891"/>
    <w:rsid w:val="00892BC3"/>
    <w:rsid w:val="00892D23"/>
    <w:rsid w:val="00895305"/>
    <w:rsid w:val="0089688F"/>
    <w:rsid w:val="00896EAF"/>
    <w:rsid w:val="008A18A0"/>
    <w:rsid w:val="008A2FE7"/>
    <w:rsid w:val="008B0017"/>
    <w:rsid w:val="008B06DB"/>
    <w:rsid w:val="008B127C"/>
    <w:rsid w:val="008B29BE"/>
    <w:rsid w:val="008B31E2"/>
    <w:rsid w:val="008B3E05"/>
    <w:rsid w:val="008B4744"/>
    <w:rsid w:val="008B575D"/>
    <w:rsid w:val="008B5869"/>
    <w:rsid w:val="008B6FF5"/>
    <w:rsid w:val="008C35E9"/>
    <w:rsid w:val="008C3ED0"/>
    <w:rsid w:val="008C50E1"/>
    <w:rsid w:val="008C576C"/>
    <w:rsid w:val="008C5A70"/>
    <w:rsid w:val="008C7078"/>
    <w:rsid w:val="008D082A"/>
    <w:rsid w:val="008D1A35"/>
    <w:rsid w:val="008D29D8"/>
    <w:rsid w:val="008D2F1B"/>
    <w:rsid w:val="008D3801"/>
    <w:rsid w:val="008D4E41"/>
    <w:rsid w:val="008D5B0E"/>
    <w:rsid w:val="008E0464"/>
    <w:rsid w:val="008E0808"/>
    <w:rsid w:val="008E0905"/>
    <w:rsid w:val="008E1AD6"/>
    <w:rsid w:val="008E1D5E"/>
    <w:rsid w:val="008E387B"/>
    <w:rsid w:val="008E4133"/>
    <w:rsid w:val="008E528E"/>
    <w:rsid w:val="008F030D"/>
    <w:rsid w:val="008F0A30"/>
    <w:rsid w:val="008F18E1"/>
    <w:rsid w:val="008F3399"/>
    <w:rsid w:val="00902AB6"/>
    <w:rsid w:val="0090354C"/>
    <w:rsid w:val="00903E9C"/>
    <w:rsid w:val="00903F08"/>
    <w:rsid w:val="00904858"/>
    <w:rsid w:val="00905DB1"/>
    <w:rsid w:val="00906088"/>
    <w:rsid w:val="00906380"/>
    <w:rsid w:val="00906A56"/>
    <w:rsid w:val="00907B29"/>
    <w:rsid w:val="00907FCE"/>
    <w:rsid w:val="00910B5E"/>
    <w:rsid w:val="009116B3"/>
    <w:rsid w:val="009118BD"/>
    <w:rsid w:val="00911CE3"/>
    <w:rsid w:val="00911D48"/>
    <w:rsid w:val="00913034"/>
    <w:rsid w:val="009131BB"/>
    <w:rsid w:val="009148AF"/>
    <w:rsid w:val="00914ACC"/>
    <w:rsid w:val="00915140"/>
    <w:rsid w:val="00915550"/>
    <w:rsid w:val="00915A6F"/>
    <w:rsid w:val="00915BB5"/>
    <w:rsid w:val="0091782A"/>
    <w:rsid w:val="0092023B"/>
    <w:rsid w:val="00922FF7"/>
    <w:rsid w:val="00924A74"/>
    <w:rsid w:val="00924B64"/>
    <w:rsid w:val="009261A2"/>
    <w:rsid w:val="00926312"/>
    <w:rsid w:val="00926CC3"/>
    <w:rsid w:val="00930B49"/>
    <w:rsid w:val="00931CA9"/>
    <w:rsid w:val="00932B92"/>
    <w:rsid w:val="00940D82"/>
    <w:rsid w:val="00940DB1"/>
    <w:rsid w:val="00941221"/>
    <w:rsid w:val="00942628"/>
    <w:rsid w:val="00944674"/>
    <w:rsid w:val="0094557A"/>
    <w:rsid w:val="00946C48"/>
    <w:rsid w:val="00950478"/>
    <w:rsid w:val="00950480"/>
    <w:rsid w:val="00950495"/>
    <w:rsid w:val="00950CDC"/>
    <w:rsid w:val="00950EB8"/>
    <w:rsid w:val="009525CA"/>
    <w:rsid w:val="00953005"/>
    <w:rsid w:val="00954CD1"/>
    <w:rsid w:val="009555C8"/>
    <w:rsid w:val="00957D89"/>
    <w:rsid w:val="00960700"/>
    <w:rsid w:val="00961A1A"/>
    <w:rsid w:val="009642E2"/>
    <w:rsid w:val="00964E7C"/>
    <w:rsid w:val="00965D64"/>
    <w:rsid w:val="00966CB1"/>
    <w:rsid w:val="00967612"/>
    <w:rsid w:val="00970A83"/>
    <w:rsid w:val="00972433"/>
    <w:rsid w:val="00974309"/>
    <w:rsid w:val="00976BF1"/>
    <w:rsid w:val="00976E30"/>
    <w:rsid w:val="00977E1A"/>
    <w:rsid w:val="009822E6"/>
    <w:rsid w:val="00983100"/>
    <w:rsid w:val="00983775"/>
    <w:rsid w:val="00983F60"/>
    <w:rsid w:val="0098492F"/>
    <w:rsid w:val="009850E9"/>
    <w:rsid w:val="00986266"/>
    <w:rsid w:val="00986441"/>
    <w:rsid w:val="00986BC9"/>
    <w:rsid w:val="00990C55"/>
    <w:rsid w:val="00991FAA"/>
    <w:rsid w:val="0099683D"/>
    <w:rsid w:val="00996847"/>
    <w:rsid w:val="009977D4"/>
    <w:rsid w:val="009A10A3"/>
    <w:rsid w:val="009A3037"/>
    <w:rsid w:val="009A3348"/>
    <w:rsid w:val="009A3613"/>
    <w:rsid w:val="009A5548"/>
    <w:rsid w:val="009B013D"/>
    <w:rsid w:val="009B3FEA"/>
    <w:rsid w:val="009B4504"/>
    <w:rsid w:val="009B55FB"/>
    <w:rsid w:val="009B5B25"/>
    <w:rsid w:val="009B6939"/>
    <w:rsid w:val="009B7D43"/>
    <w:rsid w:val="009C0FC8"/>
    <w:rsid w:val="009C6649"/>
    <w:rsid w:val="009C67F4"/>
    <w:rsid w:val="009C7099"/>
    <w:rsid w:val="009C740A"/>
    <w:rsid w:val="009C7451"/>
    <w:rsid w:val="009C7C50"/>
    <w:rsid w:val="009D005E"/>
    <w:rsid w:val="009D010B"/>
    <w:rsid w:val="009D179C"/>
    <w:rsid w:val="009D1C19"/>
    <w:rsid w:val="009D22E5"/>
    <w:rsid w:val="009D22F3"/>
    <w:rsid w:val="009D2BB4"/>
    <w:rsid w:val="009D2D53"/>
    <w:rsid w:val="009D32B2"/>
    <w:rsid w:val="009D3651"/>
    <w:rsid w:val="009D4547"/>
    <w:rsid w:val="009D46EC"/>
    <w:rsid w:val="009D473D"/>
    <w:rsid w:val="009D58F5"/>
    <w:rsid w:val="009D7723"/>
    <w:rsid w:val="009E0121"/>
    <w:rsid w:val="009E0763"/>
    <w:rsid w:val="009E1009"/>
    <w:rsid w:val="009E1F6B"/>
    <w:rsid w:val="009E308A"/>
    <w:rsid w:val="009E31CF"/>
    <w:rsid w:val="009E447E"/>
    <w:rsid w:val="009E6C5E"/>
    <w:rsid w:val="009E7A30"/>
    <w:rsid w:val="009E7E0D"/>
    <w:rsid w:val="009F0615"/>
    <w:rsid w:val="009F0C0A"/>
    <w:rsid w:val="009F0F8D"/>
    <w:rsid w:val="009F2340"/>
    <w:rsid w:val="009F2BBF"/>
    <w:rsid w:val="009F2EBB"/>
    <w:rsid w:val="009F34C9"/>
    <w:rsid w:val="009F4DCE"/>
    <w:rsid w:val="00A02063"/>
    <w:rsid w:val="00A02B25"/>
    <w:rsid w:val="00A0302D"/>
    <w:rsid w:val="00A03E3A"/>
    <w:rsid w:val="00A053FA"/>
    <w:rsid w:val="00A0558F"/>
    <w:rsid w:val="00A0566D"/>
    <w:rsid w:val="00A070A8"/>
    <w:rsid w:val="00A1009B"/>
    <w:rsid w:val="00A105E0"/>
    <w:rsid w:val="00A10CF9"/>
    <w:rsid w:val="00A12A15"/>
    <w:rsid w:val="00A12C27"/>
    <w:rsid w:val="00A13A03"/>
    <w:rsid w:val="00A14C64"/>
    <w:rsid w:val="00A15812"/>
    <w:rsid w:val="00A17880"/>
    <w:rsid w:val="00A203D3"/>
    <w:rsid w:val="00A21281"/>
    <w:rsid w:val="00A217CA"/>
    <w:rsid w:val="00A22D65"/>
    <w:rsid w:val="00A25166"/>
    <w:rsid w:val="00A2591B"/>
    <w:rsid w:val="00A25ABE"/>
    <w:rsid w:val="00A2623D"/>
    <w:rsid w:val="00A27A7E"/>
    <w:rsid w:val="00A3005D"/>
    <w:rsid w:val="00A3088F"/>
    <w:rsid w:val="00A30D23"/>
    <w:rsid w:val="00A31459"/>
    <w:rsid w:val="00A3155C"/>
    <w:rsid w:val="00A33CEB"/>
    <w:rsid w:val="00A35434"/>
    <w:rsid w:val="00A359BA"/>
    <w:rsid w:val="00A368A8"/>
    <w:rsid w:val="00A3735E"/>
    <w:rsid w:val="00A41BAB"/>
    <w:rsid w:val="00A43504"/>
    <w:rsid w:val="00A43AAC"/>
    <w:rsid w:val="00A43F8F"/>
    <w:rsid w:val="00A447BD"/>
    <w:rsid w:val="00A50264"/>
    <w:rsid w:val="00A504EF"/>
    <w:rsid w:val="00A529F2"/>
    <w:rsid w:val="00A52C5B"/>
    <w:rsid w:val="00A52FB9"/>
    <w:rsid w:val="00A56EC8"/>
    <w:rsid w:val="00A56FA6"/>
    <w:rsid w:val="00A6173C"/>
    <w:rsid w:val="00A632A5"/>
    <w:rsid w:val="00A64605"/>
    <w:rsid w:val="00A64C0D"/>
    <w:rsid w:val="00A6574E"/>
    <w:rsid w:val="00A66E89"/>
    <w:rsid w:val="00A70636"/>
    <w:rsid w:val="00A7086D"/>
    <w:rsid w:val="00A71609"/>
    <w:rsid w:val="00A71A2C"/>
    <w:rsid w:val="00A74638"/>
    <w:rsid w:val="00A746D7"/>
    <w:rsid w:val="00A74DD8"/>
    <w:rsid w:val="00A75EDE"/>
    <w:rsid w:val="00A76902"/>
    <w:rsid w:val="00A76AD3"/>
    <w:rsid w:val="00A775D6"/>
    <w:rsid w:val="00A803CD"/>
    <w:rsid w:val="00A82758"/>
    <w:rsid w:val="00A82B48"/>
    <w:rsid w:val="00A84617"/>
    <w:rsid w:val="00A84FB7"/>
    <w:rsid w:val="00A85A30"/>
    <w:rsid w:val="00A90E1A"/>
    <w:rsid w:val="00A91A7A"/>
    <w:rsid w:val="00A91C36"/>
    <w:rsid w:val="00A9363B"/>
    <w:rsid w:val="00A93D50"/>
    <w:rsid w:val="00A95698"/>
    <w:rsid w:val="00A956A7"/>
    <w:rsid w:val="00A96BD5"/>
    <w:rsid w:val="00A96F83"/>
    <w:rsid w:val="00AA1166"/>
    <w:rsid w:val="00AA1E25"/>
    <w:rsid w:val="00AA59F8"/>
    <w:rsid w:val="00AA6101"/>
    <w:rsid w:val="00AA6302"/>
    <w:rsid w:val="00AA74EB"/>
    <w:rsid w:val="00AA77AF"/>
    <w:rsid w:val="00AB18FA"/>
    <w:rsid w:val="00AB1FEF"/>
    <w:rsid w:val="00AB380D"/>
    <w:rsid w:val="00AB5815"/>
    <w:rsid w:val="00AC109E"/>
    <w:rsid w:val="00AC2F09"/>
    <w:rsid w:val="00AC33FC"/>
    <w:rsid w:val="00AC3962"/>
    <w:rsid w:val="00AC4BAB"/>
    <w:rsid w:val="00AC4FFC"/>
    <w:rsid w:val="00AD19DA"/>
    <w:rsid w:val="00AD6C95"/>
    <w:rsid w:val="00AE064C"/>
    <w:rsid w:val="00AE3101"/>
    <w:rsid w:val="00AE55C4"/>
    <w:rsid w:val="00AE7E1C"/>
    <w:rsid w:val="00AE7E84"/>
    <w:rsid w:val="00AF2245"/>
    <w:rsid w:val="00AF275C"/>
    <w:rsid w:val="00AF4936"/>
    <w:rsid w:val="00AF549B"/>
    <w:rsid w:val="00AF5DA1"/>
    <w:rsid w:val="00AF6BCE"/>
    <w:rsid w:val="00AF7574"/>
    <w:rsid w:val="00B00EFC"/>
    <w:rsid w:val="00B01438"/>
    <w:rsid w:val="00B02D2D"/>
    <w:rsid w:val="00B104F3"/>
    <w:rsid w:val="00B106D7"/>
    <w:rsid w:val="00B112CB"/>
    <w:rsid w:val="00B12F10"/>
    <w:rsid w:val="00B1312A"/>
    <w:rsid w:val="00B13674"/>
    <w:rsid w:val="00B14674"/>
    <w:rsid w:val="00B16725"/>
    <w:rsid w:val="00B17948"/>
    <w:rsid w:val="00B17B45"/>
    <w:rsid w:val="00B17CF8"/>
    <w:rsid w:val="00B22F90"/>
    <w:rsid w:val="00B2369B"/>
    <w:rsid w:val="00B23D60"/>
    <w:rsid w:val="00B23D7D"/>
    <w:rsid w:val="00B24324"/>
    <w:rsid w:val="00B26079"/>
    <w:rsid w:val="00B27A58"/>
    <w:rsid w:val="00B36A15"/>
    <w:rsid w:val="00B403D7"/>
    <w:rsid w:val="00B409CD"/>
    <w:rsid w:val="00B415CC"/>
    <w:rsid w:val="00B4352E"/>
    <w:rsid w:val="00B44385"/>
    <w:rsid w:val="00B4466B"/>
    <w:rsid w:val="00B4476C"/>
    <w:rsid w:val="00B562A3"/>
    <w:rsid w:val="00B6167E"/>
    <w:rsid w:val="00B637BC"/>
    <w:rsid w:val="00B638DF"/>
    <w:rsid w:val="00B650AA"/>
    <w:rsid w:val="00B67B41"/>
    <w:rsid w:val="00B70C91"/>
    <w:rsid w:val="00B70EC0"/>
    <w:rsid w:val="00B71E64"/>
    <w:rsid w:val="00B72C6C"/>
    <w:rsid w:val="00B74422"/>
    <w:rsid w:val="00B74B56"/>
    <w:rsid w:val="00B75016"/>
    <w:rsid w:val="00B750AC"/>
    <w:rsid w:val="00B7574F"/>
    <w:rsid w:val="00B75D7E"/>
    <w:rsid w:val="00B76F6D"/>
    <w:rsid w:val="00B80333"/>
    <w:rsid w:val="00B815FB"/>
    <w:rsid w:val="00B820CF"/>
    <w:rsid w:val="00B82AF6"/>
    <w:rsid w:val="00B82F24"/>
    <w:rsid w:val="00B843A5"/>
    <w:rsid w:val="00B84460"/>
    <w:rsid w:val="00B84A20"/>
    <w:rsid w:val="00B84C8A"/>
    <w:rsid w:val="00B85294"/>
    <w:rsid w:val="00B86D2E"/>
    <w:rsid w:val="00B91EFD"/>
    <w:rsid w:val="00B94055"/>
    <w:rsid w:val="00B94AC4"/>
    <w:rsid w:val="00B95B4C"/>
    <w:rsid w:val="00B9629D"/>
    <w:rsid w:val="00B9631B"/>
    <w:rsid w:val="00B968F0"/>
    <w:rsid w:val="00B976AB"/>
    <w:rsid w:val="00B97D2C"/>
    <w:rsid w:val="00BA03A7"/>
    <w:rsid w:val="00BA0998"/>
    <w:rsid w:val="00BA0F95"/>
    <w:rsid w:val="00BA15AC"/>
    <w:rsid w:val="00BA2DA8"/>
    <w:rsid w:val="00BA46E5"/>
    <w:rsid w:val="00BA688D"/>
    <w:rsid w:val="00BA743C"/>
    <w:rsid w:val="00BB0154"/>
    <w:rsid w:val="00BB05A6"/>
    <w:rsid w:val="00BB22EF"/>
    <w:rsid w:val="00BB2987"/>
    <w:rsid w:val="00BB3AA8"/>
    <w:rsid w:val="00BB562E"/>
    <w:rsid w:val="00BB59CE"/>
    <w:rsid w:val="00BB79E4"/>
    <w:rsid w:val="00BB7C40"/>
    <w:rsid w:val="00BC1A14"/>
    <w:rsid w:val="00BC40C5"/>
    <w:rsid w:val="00BC4712"/>
    <w:rsid w:val="00BC519A"/>
    <w:rsid w:val="00BD4BAA"/>
    <w:rsid w:val="00BD51AE"/>
    <w:rsid w:val="00BD5A1B"/>
    <w:rsid w:val="00BD5B98"/>
    <w:rsid w:val="00BD74D9"/>
    <w:rsid w:val="00BD76A3"/>
    <w:rsid w:val="00BE0508"/>
    <w:rsid w:val="00BE07E8"/>
    <w:rsid w:val="00BE1E22"/>
    <w:rsid w:val="00BE3042"/>
    <w:rsid w:val="00BE6DD5"/>
    <w:rsid w:val="00BE6E05"/>
    <w:rsid w:val="00BE71BB"/>
    <w:rsid w:val="00BE7D4A"/>
    <w:rsid w:val="00BF328C"/>
    <w:rsid w:val="00BF3EB3"/>
    <w:rsid w:val="00BF514B"/>
    <w:rsid w:val="00BF62B1"/>
    <w:rsid w:val="00C01C47"/>
    <w:rsid w:val="00C02246"/>
    <w:rsid w:val="00C03503"/>
    <w:rsid w:val="00C05B30"/>
    <w:rsid w:val="00C05C6F"/>
    <w:rsid w:val="00C06901"/>
    <w:rsid w:val="00C104C9"/>
    <w:rsid w:val="00C12908"/>
    <w:rsid w:val="00C13A68"/>
    <w:rsid w:val="00C15B4F"/>
    <w:rsid w:val="00C15D85"/>
    <w:rsid w:val="00C20220"/>
    <w:rsid w:val="00C20F9E"/>
    <w:rsid w:val="00C21453"/>
    <w:rsid w:val="00C2369E"/>
    <w:rsid w:val="00C24BF0"/>
    <w:rsid w:val="00C24D4F"/>
    <w:rsid w:val="00C25748"/>
    <w:rsid w:val="00C26976"/>
    <w:rsid w:val="00C27041"/>
    <w:rsid w:val="00C30EA1"/>
    <w:rsid w:val="00C3131D"/>
    <w:rsid w:val="00C32BB3"/>
    <w:rsid w:val="00C33496"/>
    <w:rsid w:val="00C335D7"/>
    <w:rsid w:val="00C35C10"/>
    <w:rsid w:val="00C372BD"/>
    <w:rsid w:val="00C4048C"/>
    <w:rsid w:val="00C406F1"/>
    <w:rsid w:val="00C40B22"/>
    <w:rsid w:val="00C4315F"/>
    <w:rsid w:val="00C4556E"/>
    <w:rsid w:val="00C465F4"/>
    <w:rsid w:val="00C47348"/>
    <w:rsid w:val="00C537DB"/>
    <w:rsid w:val="00C551F0"/>
    <w:rsid w:val="00C55966"/>
    <w:rsid w:val="00C55A4B"/>
    <w:rsid w:val="00C568E7"/>
    <w:rsid w:val="00C56BB6"/>
    <w:rsid w:val="00C5770E"/>
    <w:rsid w:val="00C61889"/>
    <w:rsid w:val="00C628D3"/>
    <w:rsid w:val="00C62C23"/>
    <w:rsid w:val="00C679A3"/>
    <w:rsid w:val="00C7219B"/>
    <w:rsid w:val="00C72DEF"/>
    <w:rsid w:val="00C748F5"/>
    <w:rsid w:val="00C76565"/>
    <w:rsid w:val="00C800B7"/>
    <w:rsid w:val="00C82509"/>
    <w:rsid w:val="00C836B7"/>
    <w:rsid w:val="00C84C3E"/>
    <w:rsid w:val="00C870C7"/>
    <w:rsid w:val="00C92A7A"/>
    <w:rsid w:val="00C92E8B"/>
    <w:rsid w:val="00C95F02"/>
    <w:rsid w:val="00C967B9"/>
    <w:rsid w:val="00C96A13"/>
    <w:rsid w:val="00C96CE6"/>
    <w:rsid w:val="00CA0BE3"/>
    <w:rsid w:val="00CA1811"/>
    <w:rsid w:val="00CA19E8"/>
    <w:rsid w:val="00CA1B13"/>
    <w:rsid w:val="00CA1D7C"/>
    <w:rsid w:val="00CA37F9"/>
    <w:rsid w:val="00CA4466"/>
    <w:rsid w:val="00CA4996"/>
    <w:rsid w:val="00CA4C97"/>
    <w:rsid w:val="00CA4CB9"/>
    <w:rsid w:val="00CA50E9"/>
    <w:rsid w:val="00CA60BA"/>
    <w:rsid w:val="00CB093F"/>
    <w:rsid w:val="00CB12C2"/>
    <w:rsid w:val="00CB415D"/>
    <w:rsid w:val="00CB4181"/>
    <w:rsid w:val="00CB4BFB"/>
    <w:rsid w:val="00CB4E8B"/>
    <w:rsid w:val="00CB6094"/>
    <w:rsid w:val="00CB6B9D"/>
    <w:rsid w:val="00CB70C8"/>
    <w:rsid w:val="00CC484E"/>
    <w:rsid w:val="00CC51A3"/>
    <w:rsid w:val="00CC5EE9"/>
    <w:rsid w:val="00CC6206"/>
    <w:rsid w:val="00CD1C9F"/>
    <w:rsid w:val="00CD34D4"/>
    <w:rsid w:val="00CD38A8"/>
    <w:rsid w:val="00CD537D"/>
    <w:rsid w:val="00CE0ECA"/>
    <w:rsid w:val="00CE3F7A"/>
    <w:rsid w:val="00CE4764"/>
    <w:rsid w:val="00CE5464"/>
    <w:rsid w:val="00CF126A"/>
    <w:rsid w:val="00CF1ACD"/>
    <w:rsid w:val="00CF25D6"/>
    <w:rsid w:val="00CF2E6C"/>
    <w:rsid w:val="00CF55A0"/>
    <w:rsid w:val="00CF5C1C"/>
    <w:rsid w:val="00D00299"/>
    <w:rsid w:val="00D003E8"/>
    <w:rsid w:val="00D0077A"/>
    <w:rsid w:val="00D03D9B"/>
    <w:rsid w:val="00D04ACD"/>
    <w:rsid w:val="00D04E37"/>
    <w:rsid w:val="00D10005"/>
    <w:rsid w:val="00D110AF"/>
    <w:rsid w:val="00D141E6"/>
    <w:rsid w:val="00D16488"/>
    <w:rsid w:val="00D16AE6"/>
    <w:rsid w:val="00D211E9"/>
    <w:rsid w:val="00D21281"/>
    <w:rsid w:val="00D21581"/>
    <w:rsid w:val="00D255A1"/>
    <w:rsid w:val="00D257BE"/>
    <w:rsid w:val="00D25D3F"/>
    <w:rsid w:val="00D26728"/>
    <w:rsid w:val="00D267F5"/>
    <w:rsid w:val="00D26DFD"/>
    <w:rsid w:val="00D27691"/>
    <w:rsid w:val="00D27E10"/>
    <w:rsid w:val="00D27F61"/>
    <w:rsid w:val="00D30455"/>
    <w:rsid w:val="00D308AD"/>
    <w:rsid w:val="00D31072"/>
    <w:rsid w:val="00D32A44"/>
    <w:rsid w:val="00D33F26"/>
    <w:rsid w:val="00D34905"/>
    <w:rsid w:val="00D34BE0"/>
    <w:rsid w:val="00D3595F"/>
    <w:rsid w:val="00D364D8"/>
    <w:rsid w:val="00D366BC"/>
    <w:rsid w:val="00D3676E"/>
    <w:rsid w:val="00D3758B"/>
    <w:rsid w:val="00D42989"/>
    <w:rsid w:val="00D4342D"/>
    <w:rsid w:val="00D4670A"/>
    <w:rsid w:val="00D47B83"/>
    <w:rsid w:val="00D50834"/>
    <w:rsid w:val="00D515ED"/>
    <w:rsid w:val="00D51EFE"/>
    <w:rsid w:val="00D520D3"/>
    <w:rsid w:val="00D52781"/>
    <w:rsid w:val="00D55400"/>
    <w:rsid w:val="00D55682"/>
    <w:rsid w:val="00D563E8"/>
    <w:rsid w:val="00D56E6D"/>
    <w:rsid w:val="00D57F64"/>
    <w:rsid w:val="00D60D77"/>
    <w:rsid w:val="00D6150A"/>
    <w:rsid w:val="00D62C43"/>
    <w:rsid w:val="00D62E87"/>
    <w:rsid w:val="00D63957"/>
    <w:rsid w:val="00D63ADB"/>
    <w:rsid w:val="00D6618F"/>
    <w:rsid w:val="00D66849"/>
    <w:rsid w:val="00D66CCB"/>
    <w:rsid w:val="00D67C22"/>
    <w:rsid w:val="00D723AF"/>
    <w:rsid w:val="00D76E22"/>
    <w:rsid w:val="00D77900"/>
    <w:rsid w:val="00D80140"/>
    <w:rsid w:val="00D811C5"/>
    <w:rsid w:val="00D81A91"/>
    <w:rsid w:val="00D81BE8"/>
    <w:rsid w:val="00D8227D"/>
    <w:rsid w:val="00D82D58"/>
    <w:rsid w:val="00D84110"/>
    <w:rsid w:val="00D90F5E"/>
    <w:rsid w:val="00D918CE"/>
    <w:rsid w:val="00D91A0E"/>
    <w:rsid w:val="00D9217C"/>
    <w:rsid w:val="00D92409"/>
    <w:rsid w:val="00D93193"/>
    <w:rsid w:val="00D938A7"/>
    <w:rsid w:val="00D957A5"/>
    <w:rsid w:val="00D95CFF"/>
    <w:rsid w:val="00DA24D9"/>
    <w:rsid w:val="00DA3F02"/>
    <w:rsid w:val="00DA43B9"/>
    <w:rsid w:val="00DA4D2A"/>
    <w:rsid w:val="00DA52EA"/>
    <w:rsid w:val="00DB1AA3"/>
    <w:rsid w:val="00DB1E13"/>
    <w:rsid w:val="00DB20D9"/>
    <w:rsid w:val="00DB2C5B"/>
    <w:rsid w:val="00DB31DE"/>
    <w:rsid w:val="00DB4C30"/>
    <w:rsid w:val="00DB5B31"/>
    <w:rsid w:val="00DB6D7F"/>
    <w:rsid w:val="00DB71D2"/>
    <w:rsid w:val="00DC0D0C"/>
    <w:rsid w:val="00DC27F9"/>
    <w:rsid w:val="00DC5010"/>
    <w:rsid w:val="00DC5E49"/>
    <w:rsid w:val="00DC6724"/>
    <w:rsid w:val="00DD00C8"/>
    <w:rsid w:val="00DD12F1"/>
    <w:rsid w:val="00DD214D"/>
    <w:rsid w:val="00DD2329"/>
    <w:rsid w:val="00DD2C56"/>
    <w:rsid w:val="00DD368E"/>
    <w:rsid w:val="00DD41D2"/>
    <w:rsid w:val="00DD422C"/>
    <w:rsid w:val="00DD459D"/>
    <w:rsid w:val="00DD536D"/>
    <w:rsid w:val="00DD539E"/>
    <w:rsid w:val="00DD58C3"/>
    <w:rsid w:val="00DD5EFC"/>
    <w:rsid w:val="00DE024B"/>
    <w:rsid w:val="00DE07BA"/>
    <w:rsid w:val="00DE1126"/>
    <w:rsid w:val="00DE2A7F"/>
    <w:rsid w:val="00DE2E31"/>
    <w:rsid w:val="00DE5647"/>
    <w:rsid w:val="00DE5A5A"/>
    <w:rsid w:val="00DE74FC"/>
    <w:rsid w:val="00DF3753"/>
    <w:rsid w:val="00DF42F0"/>
    <w:rsid w:val="00DF478A"/>
    <w:rsid w:val="00DF5480"/>
    <w:rsid w:val="00DF6D9F"/>
    <w:rsid w:val="00E014F7"/>
    <w:rsid w:val="00E0251C"/>
    <w:rsid w:val="00E02838"/>
    <w:rsid w:val="00E04352"/>
    <w:rsid w:val="00E05E74"/>
    <w:rsid w:val="00E067FB"/>
    <w:rsid w:val="00E10075"/>
    <w:rsid w:val="00E11349"/>
    <w:rsid w:val="00E12FDE"/>
    <w:rsid w:val="00E148C6"/>
    <w:rsid w:val="00E15F95"/>
    <w:rsid w:val="00E172DF"/>
    <w:rsid w:val="00E205C4"/>
    <w:rsid w:val="00E20FBB"/>
    <w:rsid w:val="00E219C9"/>
    <w:rsid w:val="00E22C12"/>
    <w:rsid w:val="00E23373"/>
    <w:rsid w:val="00E24424"/>
    <w:rsid w:val="00E26907"/>
    <w:rsid w:val="00E274B3"/>
    <w:rsid w:val="00E302A2"/>
    <w:rsid w:val="00E32063"/>
    <w:rsid w:val="00E32458"/>
    <w:rsid w:val="00E32691"/>
    <w:rsid w:val="00E32A3A"/>
    <w:rsid w:val="00E333E3"/>
    <w:rsid w:val="00E343FD"/>
    <w:rsid w:val="00E34A99"/>
    <w:rsid w:val="00E37A93"/>
    <w:rsid w:val="00E37CB4"/>
    <w:rsid w:val="00E37D96"/>
    <w:rsid w:val="00E403B9"/>
    <w:rsid w:val="00E42162"/>
    <w:rsid w:val="00E4286E"/>
    <w:rsid w:val="00E43081"/>
    <w:rsid w:val="00E44145"/>
    <w:rsid w:val="00E44498"/>
    <w:rsid w:val="00E45012"/>
    <w:rsid w:val="00E45151"/>
    <w:rsid w:val="00E45B6B"/>
    <w:rsid w:val="00E4610D"/>
    <w:rsid w:val="00E46187"/>
    <w:rsid w:val="00E471E8"/>
    <w:rsid w:val="00E473BD"/>
    <w:rsid w:val="00E50487"/>
    <w:rsid w:val="00E50675"/>
    <w:rsid w:val="00E50E28"/>
    <w:rsid w:val="00E51CB6"/>
    <w:rsid w:val="00E53846"/>
    <w:rsid w:val="00E53E0A"/>
    <w:rsid w:val="00E53E13"/>
    <w:rsid w:val="00E57048"/>
    <w:rsid w:val="00E60ADA"/>
    <w:rsid w:val="00E6426A"/>
    <w:rsid w:val="00E65075"/>
    <w:rsid w:val="00E65E6C"/>
    <w:rsid w:val="00E67259"/>
    <w:rsid w:val="00E70C0D"/>
    <w:rsid w:val="00E71B4C"/>
    <w:rsid w:val="00E729B2"/>
    <w:rsid w:val="00E73ECF"/>
    <w:rsid w:val="00E740CC"/>
    <w:rsid w:val="00E755C9"/>
    <w:rsid w:val="00E76ACE"/>
    <w:rsid w:val="00E76C02"/>
    <w:rsid w:val="00E80082"/>
    <w:rsid w:val="00E80216"/>
    <w:rsid w:val="00E804F3"/>
    <w:rsid w:val="00E81D02"/>
    <w:rsid w:val="00E823CA"/>
    <w:rsid w:val="00E823F6"/>
    <w:rsid w:val="00E83FDA"/>
    <w:rsid w:val="00E8624E"/>
    <w:rsid w:val="00E87F0A"/>
    <w:rsid w:val="00E9061C"/>
    <w:rsid w:val="00E9155B"/>
    <w:rsid w:val="00E93362"/>
    <w:rsid w:val="00E93463"/>
    <w:rsid w:val="00E95891"/>
    <w:rsid w:val="00E971CA"/>
    <w:rsid w:val="00E97C56"/>
    <w:rsid w:val="00EA0E65"/>
    <w:rsid w:val="00EA18CE"/>
    <w:rsid w:val="00EA20C0"/>
    <w:rsid w:val="00EA3016"/>
    <w:rsid w:val="00EA4033"/>
    <w:rsid w:val="00EB02B1"/>
    <w:rsid w:val="00EB2B17"/>
    <w:rsid w:val="00EB2C44"/>
    <w:rsid w:val="00EB3A04"/>
    <w:rsid w:val="00EB3EFD"/>
    <w:rsid w:val="00EB4632"/>
    <w:rsid w:val="00EC1F15"/>
    <w:rsid w:val="00EC1FC3"/>
    <w:rsid w:val="00EC4163"/>
    <w:rsid w:val="00EC44A4"/>
    <w:rsid w:val="00EC4E0A"/>
    <w:rsid w:val="00EC5244"/>
    <w:rsid w:val="00EC5550"/>
    <w:rsid w:val="00EC61FC"/>
    <w:rsid w:val="00EC6C3E"/>
    <w:rsid w:val="00EC6C9C"/>
    <w:rsid w:val="00EC7029"/>
    <w:rsid w:val="00ED0940"/>
    <w:rsid w:val="00ED19FF"/>
    <w:rsid w:val="00ED24A7"/>
    <w:rsid w:val="00ED3D72"/>
    <w:rsid w:val="00ED4801"/>
    <w:rsid w:val="00ED52A4"/>
    <w:rsid w:val="00ED7808"/>
    <w:rsid w:val="00ED7DD6"/>
    <w:rsid w:val="00ED7EB7"/>
    <w:rsid w:val="00ED7F25"/>
    <w:rsid w:val="00EE1603"/>
    <w:rsid w:val="00EE2671"/>
    <w:rsid w:val="00EE3C53"/>
    <w:rsid w:val="00EE53BB"/>
    <w:rsid w:val="00EE5AD3"/>
    <w:rsid w:val="00EE5C03"/>
    <w:rsid w:val="00EF3355"/>
    <w:rsid w:val="00EF3FA9"/>
    <w:rsid w:val="00EF440D"/>
    <w:rsid w:val="00EF692E"/>
    <w:rsid w:val="00EF7E84"/>
    <w:rsid w:val="00F01C2C"/>
    <w:rsid w:val="00F020AD"/>
    <w:rsid w:val="00F04641"/>
    <w:rsid w:val="00F05FE0"/>
    <w:rsid w:val="00F06951"/>
    <w:rsid w:val="00F13946"/>
    <w:rsid w:val="00F1449A"/>
    <w:rsid w:val="00F156B7"/>
    <w:rsid w:val="00F15BA7"/>
    <w:rsid w:val="00F15E84"/>
    <w:rsid w:val="00F1781E"/>
    <w:rsid w:val="00F21689"/>
    <w:rsid w:val="00F2223C"/>
    <w:rsid w:val="00F23132"/>
    <w:rsid w:val="00F2531A"/>
    <w:rsid w:val="00F256F8"/>
    <w:rsid w:val="00F26D57"/>
    <w:rsid w:val="00F270AC"/>
    <w:rsid w:val="00F273DD"/>
    <w:rsid w:val="00F27D27"/>
    <w:rsid w:val="00F30662"/>
    <w:rsid w:val="00F30CA4"/>
    <w:rsid w:val="00F32D2C"/>
    <w:rsid w:val="00F35002"/>
    <w:rsid w:val="00F35933"/>
    <w:rsid w:val="00F35E50"/>
    <w:rsid w:val="00F361D5"/>
    <w:rsid w:val="00F36D67"/>
    <w:rsid w:val="00F375F0"/>
    <w:rsid w:val="00F40202"/>
    <w:rsid w:val="00F415E1"/>
    <w:rsid w:val="00F44107"/>
    <w:rsid w:val="00F44892"/>
    <w:rsid w:val="00F44F9F"/>
    <w:rsid w:val="00F45269"/>
    <w:rsid w:val="00F456EA"/>
    <w:rsid w:val="00F462AF"/>
    <w:rsid w:val="00F46A0B"/>
    <w:rsid w:val="00F470E5"/>
    <w:rsid w:val="00F477E3"/>
    <w:rsid w:val="00F5208F"/>
    <w:rsid w:val="00F52850"/>
    <w:rsid w:val="00F53220"/>
    <w:rsid w:val="00F5419D"/>
    <w:rsid w:val="00F60611"/>
    <w:rsid w:val="00F60ED8"/>
    <w:rsid w:val="00F634F9"/>
    <w:rsid w:val="00F64761"/>
    <w:rsid w:val="00F64DA9"/>
    <w:rsid w:val="00F67DB1"/>
    <w:rsid w:val="00F713FE"/>
    <w:rsid w:val="00F71A0C"/>
    <w:rsid w:val="00F71BB6"/>
    <w:rsid w:val="00F71EE9"/>
    <w:rsid w:val="00F75DCD"/>
    <w:rsid w:val="00F772E5"/>
    <w:rsid w:val="00F777ED"/>
    <w:rsid w:val="00F77FA9"/>
    <w:rsid w:val="00F802D5"/>
    <w:rsid w:val="00F8043E"/>
    <w:rsid w:val="00F81446"/>
    <w:rsid w:val="00F8255F"/>
    <w:rsid w:val="00F82A93"/>
    <w:rsid w:val="00F84B10"/>
    <w:rsid w:val="00F85731"/>
    <w:rsid w:val="00F85A86"/>
    <w:rsid w:val="00F86580"/>
    <w:rsid w:val="00F8798B"/>
    <w:rsid w:val="00F87D1E"/>
    <w:rsid w:val="00F917EB"/>
    <w:rsid w:val="00F91F3F"/>
    <w:rsid w:val="00F9357B"/>
    <w:rsid w:val="00F941C4"/>
    <w:rsid w:val="00F954E9"/>
    <w:rsid w:val="00F95A19"/>
    <w:rsid w:val="00F95C5D"/>
    <w:rsid w:val="00F97E4B"/>
    <w:rsid w:val="00FA0542"/>
    <w:rsid w:val="00FA2096"/>
    <w:rsid w:val="00FA7A96"/>
    <w:rsid w:val="00FA7AFD"/>
    <w:rsid w:val="00FB1890"/>
    <w:rsid w:val="00FB2702"/>
    <w:rsid w:val="00FB2DE1"/>
    <w:rsid w:val="00FB521E"/>
    <w:rsid w:val="00FB5FAD"/>
    <w:rsid w:val="00FB6C0A"/>
    <w:rsid w:val="00FB7C0A"/>
    <w:rsid w:val="00FC1A23"/>
    <w:rsid w:val="00FC210C"/>
    <w:rsid w:val="00FC2E1B"/>
    <w:rsid w:val="00FC33F1"/>
    <w:rsid w:val="00FC3F3B"/>
    <w:rsid w:val="00FC457B"/>
    <w:rsid w:val="00FC481C"/>
    <w:rsid w:val="00FC7D30"/>
    <w:rsid w:val="00FD123F"/>
    <w:rsid w:val="00FD1CB0"/>
    <w:rsid w:val="00FD29A0"/>
    <w:rsid w:val="00FD44E1"/>
    <w:rsid w:val="00FE08A0"/>
    <w:rsid w:val="00FE121C"/>
    <w:rsid w:val="00FE214D"/>
    <w:rsid w:val="00FE322A"/>
    <w:rsid w:val="00FE386F"/>
    <w:rsid w:val="00FE45B4"/>
    <w:rsid w:val="00FE5D43"/>
    <w:rsid w:val="00FE6790"/>
    <w:rsid w:val="00FE6F7A"/>
    <w:rsid w:val="00FE7349"/>
    <w:rsid w:val="00FF205C"/>
    <w:rsid w:val="00FF216D"/>
    <w:rsid w:val="00FF2C75"/>
    <w:rsid w:val="00FF39DF"/>
    <w:rsid w:val="00FF39EC"/>
    <w:rsid w:val="00FF4454"/>
    <w:rsid w:val="00FF5396"/>
    <w:rsid w:val="00FF6642"/>
    <w:rsid w:val="00FF7F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362D"/>
  <w15:chartTrackingRefBased/>
  <w15:docId w15:val="{BBD59078-2E9E-4AD7-8CBD-3DDFD8E2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458E"/>
    <w:pPr>
      <w:ind w:left="720"/>
      <w:contextualSpacing/>
    </w:pPr>
  </w:style>
  <w:style w:type="table" w:styleId="Grilledutableau">
    <w:name w:val="Table Grid"/>
    <w:basedOn w:val="TableauNormal"/>
    <w:uiPriority w:val="39"/>
    <w:rsid w:val="00B11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91C3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1C36"/>
    <w:rPr>
      <w:sz w:val="20"/>
      <w:szCs w:val="20"/>
    </w:rPr>
  </w:style>
  <w:style w:type="character" w:styleId="Appelnotedebasdep">
    <w:name w:val="footnote reference"/>
    <w:basedOn w:val="Policepardfaut"/>
    <w:uiPriority w:val="99"/>
    <w:semiHidden/>
    <w:unhideWhenUsed/>
    <w:rsid w:val="00A91C36"/>
    <w:rPr>
      <w:vertAlign w:val="superscript"/>
    </w:rPr>
  </w:style>
  <w:style w:type="character" w:styleId="Lienhypertexte">
    <w:name w:val="Hyperlink"/>
    <w:basedOn w:val="Policepardfaut"/>
    <w:uiPriority w:val="99"/>
    <w:semiHidden/>
    <w:unhideWhenUsed/>
    <w:rsid w:val="00A447BD"/>
    <w:rPr>
      <w:color w:val="0563C1" w:themeColor="hyperlink"/>
      <w:u w:val="single"/>
    </w:rPr>
  </w:style>
  <w:style w:type="paragraph" w:styleId="Rvision">
    <w:name w:val="Revision"/>
    <w:hidden/>
    <w:uiPriority w:val="99"/>
    <w:semiHidden/>
    <w:rsid w:val="00E95891"/>
    <w:pPr>
      <w:spacing w:after="0" w:line="240" w:lineRule="auto"/>
    </w:pPr>
  </w:style>
  <w:style w:type="character" w:styleId="Marquedecommentaire">
    <w:name w:val="annotation reference"/>
    <w:basedOn w:val="Policepardfaut"/>
    <w:uiPriority w:val="99"/>
    <w:semiHidden/>
    <w:unhideWhenUsed/>
    <w:rsid w:val="003246D8"/>
    <w:rPr>
      <w:sz w:val="16"/>
      <w:szCs w:val="16"/>
    </w:rPr>
  </w:style>
  <w:style w:type="paragraph" w:styleId="Commentaire">
    <w:name w:val="annotation text"/>
    <w:basedOn w:val="Normal"/>
    <w:link w:val="CommentaireCar"/>
    <w:uiPriority w:val="99"/>
    <w:unhideWhenUsed/>
    <w:rsid w:val="003246D8"/>
    <w:pPr>
      <w:spacing w:line="240" w:lineRule="auto"/>
    </w:pPr>
    <w:rPr>
      <w:sz w:val="20"/>
      <w:szCs w:val="20"/>
    </w:rPr>
  </w:style>
  <w:style w:type="character" w:customStyle="1" w:styleId="CommentaireCar">
    <w:name w:val="Commentaire Car"/>
    <w:basedOn w:val="Policepardfaut"/>
    <w:link w:val="Commentaire"/>
    <w:uiPriority w:val="99"/>
    <w:rsid w:val="003246D8"/>
    <w:rPr>
      <w:sz w:val="20"/>
      <w:szCs w:val="20"/>
    </w:rPr>
  </w:style>
  <w:style w:type="paragraph" w:styleId="Objetducommentaire">
    <w:name w:val="annotation subject"/>
    <w:basedOn w:val="Commentaire"/>
    <w:next w:val="Commentaire"/>
    <w:link w:val="ObjetducommentaireCar"/>
    <w:uiPriority w:val="99"/>
    <w:semiHidden/>
    <w:unhideWhenUsed/>
    <w:rsid w:val="003246D8"/>
    <w:rPr>
      <w:b/>
      <w:bCs/>
    </w:rPr>
  </w:style>
  <w:style w:type="character" w:customStyle="1" w:styleId="ObjetducommentaireCar">
    <w:name w:val="Objet du commentaire Car"/>
    <w:basedOn w:val="CommentaireCar"/>
    <w:link w:val="Objetducommentaire"/>
    <w:uiPriority w:val="99"/>
    <w:semiHidden/>
    <w:rsid w:val="003246D8"/>
    <w:rPr>
      <w:b/>
      <w:bCs/>
      <w:sz w:val="20"/>
      <w:szCs w:val="20"/>
    </w:rPr>
  </w:style>
  <w:style w:type="paragraph" w:customStyle="1" w:styleId="pf0">
    <w:name w:val="pf0"/>
    <w:basedOn w:val="Normal"/>
    <w:rsid w:val="00C96A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f01">
    <w:name w:val="cf01"/>
    <w:basedOn w:val="Policepardfaut"/>
    <w:rsid w:val="00C96A13"/>
    <w:rPr>
      <w:rFonts w:ascii="Segoe UI" w:hAnsi="Segoe UI" w:cs="Segoe UI" w:hint="default"/>
      <w:sz w:val="22"/>
      <w:szCs w:val="22"/>
    </w:rPr>
  </w:style>
  <w:style w:type="paragraph" w:styleId="Textedebulles">
    <w:name w:val="Balloon Text"/>
    <w:basedOn w:val="Normal"/>
    <w:link w:val="TextedebullesCar"/>
    <w:uiPriority w:val="99"/>
    <w:semiHidden/>
    <w:unhideWhenUsed/>
    <w:rsid w:val="003250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50EA"/>
    <w:rPr>
      <w:rFonts w:ascii="Segoe UI" w:hAnsi="Segoe UI" w:cs="Segoe UI"/>
      <w:sz w:val="18"/>
      <w:szCs w:val="18"/>
    </w:rPr>
  </w:style>
  <w:style w:type="paragraph" w:styleId="En-tte">
    <w:name w:val="header"/>
    <w:basedOn w:val="Normal"/>
    <w:link w:val="En-tteCar"/>
    <w:uiPriority w:val="99"/>
    <w:unhideWhenUsed/>
    <w:rsid w:val="00C84C3E"/>
    <w:pPr>
      <w:tabs>
        <w:tab w:val="center" w:pos="4536"/>
        <w:tab w:val="right" w:pos="9072"/>
      </w:tabs>
      <w:spacing w:after="0" w:line="240" w:lineRule="auto"/>
    </w:pPr>
  </w:style>
  <w:style w:type="character" w:customStyle="1" w:styleId="En-tteCar">
    <w:name w:val="En-tête Car"/>
    <w:basedOn w:val="Policepardfaut"/>
    <w:link w:val="En-tte"/>
    <w:uiPriority w:val="99"/>
    <w:rsid w:val="00C84C3E"/>
  </w:style>
  <w:style w:type="paragraph" w:styleId="Pieddepage">
    <w:name w:val="footer"/>
    <w:basedOn w:val="Normal"/>
    <w:link w:val="PieddepageCar"/>
    <w:uiPriority w:val="99"/>
    <w:unhideWhenUsed/>
    <w:rsid w:val="00C84C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50923">
      <w:bodyDiv w:val="1"/>
      <w:marLeft w:val="0"/>
      <w:marRight w:val="0"/>
      <w:marTop w:val="0"/>
      <w:marBottom w:val="0"/>
      <w:divBdr>
        <w:top w:val="none" w:sz="0" w:space="0" w:color="auto"/>
        <w:left w:val="none" w:sz="0" w:space="0" w:color="auto"/>
        <w:bottom w:val="none" w:sz="0" w:space="0" w:color="auto"/>
        <w:right w:val="none" w:sz="0" w:space="0" w:color="auto"/>
      </w:divBdr>
    </w:div>
    <w:div w:id="437411367">
      <w:bodyDiv w:val="1"/>
      <w:marLeft w:val="0"/>
      <w:marRight w:val="0"/>
      <w:marTop w:val="0"/>
      <w:marBottom w:val="0"/>
      <w:divBdr>
        <w:top w:val="none" w:sz="0" w:space="0" w:color="auto"/>
        <w:left w:val="none" w:sz="0" w:space="0" w:color="auto"/>
        <w:bottom w:val="none" w:sz="0" w:space="0" w:color="auto"/>
        <w:right w:val="none" w:sz="0" w:space="0" w:color="auto"/>
      </w:divBdr>
    </w:div>
    <w:div w:id="514466062">
      <w:bodyDiv w:val="1"/>
      <w:marLeft w:val="0"/>
      <w:marRight w:val="0"/>
      <w:marTop w:val="0"/>
      <w:marBottom w:val="0"/>
      <w:divBdr>
        <w:top w:val="none" w:sz="0" w:space="0" w:color="auto"/>
        <w:left w:val="none" w:sz="0" w:space="0" w:color="auto"/>
        <w:bottom w:val="none" w:sz="0" w:space="0" w:color="auto"/>
        <w:right w:val="none" w:sz="0" w:space="0" w:color="auto"/>
      </w:divBdr>
    </w:div>
    <w:div w:id="562060764">
      <w:bodyDiv w:val="1"/>
      <w:marLeft w:val="0"/>
      <w:marRight w:val="0"/>
      <w:marTop w:val="0"/>
      <w:marBottom w:val="0"/>
      <w:divBdr>
        <w:top w:val="none" w:sz="0" w:space="0" w:color="auto"/>
        <w:left w:val="none" w:sz="0" w:space="0" w:color="auto"/>
        <w:bottom w:val="none" w:sz="0" w:space="0" w:color="auto"/>
        <w:right w:val="none" w:sz="0" w:space="0" w:color="auto"/>
      </w:divBdr>
    </w:div>
    <w:div w:id="606277534">
      <w:bodyDiv w:val="1"/>
      <w:marLeft w:val="0"/>
      <w:marRight w:val="0"/>
      <w:marTop w:val="0"/>
      <w:marBottom w:val="0"/>
      <w:divBdr>
        <w:top w:val="none" w:sz="0" w:space="0" w:color="auto"/>
        <w:left w:val="none" w:sz="0" w:space="0" w:color="auto"/>
        <w:bottom w:val="none" w:sz="0" w:space="0" w:color="auto"/>
        <w:right w:val="none" w:sz="0" w:space="0" w:color="auto"/>
      </w:divBdr>
    </w:div>
    <w:div w:id="741830133">
      <w:bodyDiv w:val="1"/>
      <w:marLeft w:val="0"/>
      <w:marRight w:val="0"/>
      <w:marTop w:val="0"/>
      <w:marBottom w:val="0"/>
      <w:divBdr>
        <w:top w:val="none" w:sz="0" w:space="0" w:color="auto"/>
        <w:left w:val="none" w:sz="0" w:space="0" w:color="auto"/>
        <w:bottom w:val="none" w:sz="0" w:space="0" w:color="auto"/>
        <w:right w:val="none" w:sz="0" w:space="0" w:color="auto"/>
      </w:divBdr>
    </w:div>
    <w:div w:id="1123117288">
      <w:bodyDiv w:val="1"/>
      <w:marLeft w:val="0"/>
      <w:marRight w:val="0"/>
      <w:marTop w:val="0"/>
      <w:marBottom w:val="0"/>
      <w:divBdr>
        <w:top w:val="none" w:sz="0" w:space="0" w:color="auto"/>
        <w:left w:val="none" w:sz="0" w:space="0" w:color="auto"/>
        <w:bottom w:val="none" w:sz="0" w:space="0" w:color="auto"/>
        <w:right w:val="none" w:sz="0" w:space="0" w:color="auto"/>
      </w:divBdr>
    </w:div>
    <w:div w:id="1415589741">
      <w:bodyDiv w:val="1"/>
      <w:marLeft w:val="0"/>
      <w:marRight w:val="0"/>
      <w:marTop w:val="0"/>
      <w:marBottom w:val="0"/>
      <w:divBdr>
        <w:top w:val="none" w:sz="0" w:space="0" w:color="auto"/>
        <w:left w:val="none" w:sz="0" w:space="0" w:color="auto"/>
        <w:bottom w:val="none" w:sz="0" w:space="0" w:color="auto"/>
        <w:right w:val="none" w:sz="0" w:space="0" w:color="auto"/>
      </w:divBdr>
    </w:div>
    <w:div w:id="16269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sutopiques.org/quand-la-cfdt-voulait-le-socialisme-et-lautoges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EFF8A-BB6B-4799-B457-8F23F5A4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33</Pages>
  <Words>13009</Words>
  <Characters>71553</Characters>
  <Application>Microsoft Office Word</Application>
  <DocSecurity>0</DocSecurity>
  <Lines>596</Lines>
  <Paragraphs>168</Paragraphs>
  <ScaleCrop>false</ScaleCrop>
  <HeadingPairs>
    <vt:vector size="2" baseType="variant">
      <vt:variant>
        <vt:lpstr>Titre</vt:lpstr>
      </vt:variant>
      <vt:variant>
        <vt:i4>1</vt:i4>
      </vt:variant>
    </vt:vector>
  </HeadingPairs>
  <TitlesOfParts>
    <vt:vector size="1" baseType="lpstr">
      <vt:lpstr/>
    </vt:vector>
  </TitlesOfParts>
  <Company>Université Jean Moulin Lyon3</Company>
  <LinksUpToDate>false</LinksUpToDate>
  <CharactersWithSpaces>84394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WIRTZ Peter</dc:creator>
  <cp:keywords/>
  <dc:description/>
  <cp:lastModifiedBy>AUBERT Nicolas</cp:lastModifiedBy>
  <cp:revision>23</cp:revision>
  <dcterms:created xsi:type="dcterms:W3CDTF">2024-02-05T10:22:00Z</dcterms:created>
  <dcterms:modified xsi:type="dcterms:W3CDTF">2024-06-18T16:07:00Z</dcterms:modified>
</cp:coreProperties>
</file>