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15B98" w14:textId="77777777" w:rsidR="007F4819" w:rsidRDefault="007F4819" w:rsidP="007F4819">
      <w:pPr>
        <w:pStyle w:val="GrandTitre"/>
      </w:pPr>
      <w:r w:rsidRPr="00803545">
        <w:t>Caractérisation mécanique et modélisation du contreplaqué de peuplier</w:t>
      </w:r>
    </w:p>
    <w:p w14:paraId="532342C6" w14:textId="0D02DF69" w:rsidR="000728E0" w:rsidRPr="007F4819" w:rsidRDefault="007F4819" w:rsidP="006F4CC1">
      <w:pPr>
        <w:pStyle w:val="SousTitre"/>
        <w:rPr>
          <w:lang w:val="en-US"/>
        </w:rPr>
      </w:pPr>
      <w:r w:rsidRPr="00803545">
        <w:rPr>
          <w:lang w:val="en-US"/>
        </w:rPr>
        <w:t>Mechanical characterization and modelling of poplar plywood</w:t>
      </w:r>
    </w:p>
    <w:p w14:paraId="30D92147" w14:textId="77777777" w:rsidR="007F4819" w:rsidRDefault="007F4819" w:rsidP="007F4819">
      <w:pPr>
        <w:pStyle w:val="Auteurs"/>
        <w:rPr>
          <w:rFonts w:ascii="Times New Roman" w:hAnsi="Times New Roman"/>
          <w:b/>
          <w:sz w:val="20"/>
        </w:rPr>
      </w:pPr>
      <w:r w:rsidRPr="002A7054">
        <w:rPr>
          <w:rFonts w:ascii="Times New Roman" w:hAnsi="Times New Roman"/>
          <w:b/>
          <w:sz w:val="20"/>
        </w:rPr>
        <w:t>PEIGNON Axel</w:t>
      </w:r>
      <w:r w:rsidRPr="002A7054">
        <w:rPr>
          <w:rFonts w:ascii="Times New Roman" w:hAnsi="Times New Roman"/>
          <w:b/>
          <w:sz w:val="20"/>
          <w:vertAlign w:val="superscript"/>
        </w:rPr>
        <w:t>1</w:t>
      </w:r>
      <w:r w:rsidRPr="002A7054">
        <w:rPr>
          <w:rFonts w:ascii="Times New Roman" w:hAnsi="Times New Roman"/>
          <w:b/>
          <w:sz w:val="20"/>
        </w:rPr>
        <w:t>, CASTANIE Bruno</w:t>
      </w:r>
      <w:r w:rsidRPr="002A7054">
        <w:rPr>
          <w:rFonts w:ascii="Times New Roman" w:hAnsi="Times New Roman"/>
          <w:b/>
          <w:sz w:val="20"/>
          <w:vertAlign w:val="superscript"/>
        </w:rPr>
        <w:t>1</w:t>
      </w:r>
      <w:r w:rsidRPr="002A7054">
        <w:rPr>
          <w:rFonts w:ascii="Times New Roman" w:hAnsi="Times New Roman"/>
          <w:b/>
          <w:sz w:val="20"/>
        </w:rPr>
        <w:t>, EYMA Florent</w:t>
      </w:r>
      <w:r w:rsidRPr="002A7054">
        <w:rPr>
          <w:rFonts w:ascii="Times New Roman" w:hAnsi="Times New Roman"/>
          <w:b/>
          <w:sz w:val="20"/>
          <w:vertAlign w:val="superscript"/>
        </w:rPr>
        <w:t>1</w:t>
      </w:r>
      <w:r w:rsidRPr="002A7054">
        <w:rPr>
          <w:rFonts w:ascii="Times New Roman" w:hAnsi="Times New Roman"/>
          <w:b/>
          <w:sz w:val="20"/>
        </w:rPr>
        <w:t xml:space="preserve">, </w:t>
      </w:r>
    </w:p>
    <w:p w14:paraId="14DE7551" w14:textId="77777777" w:rsidR="007F4819" w:rsidRDefault="007F4819" w:rsidP="007F4819">
      <w:pPr>
        <w:pStyle w:val="Auteurs"/>
        <w:rPr>
          <w:rFonts w:ascii="Times New Roman" w:hAnsi="Times New Roman"/>
          <w:b/>
          <w:sz w:val="20"/>
          <w:vertAlign w:val="superscript"/>
        </w:rPr>
      </w:pPr>
      <w:r w:rsidRPr="002A7054">
        <w:rPr>
          <w:rFonts w:ascii="Times New Roman" w:hAnsi="Times New Roman"/>
          <w:b/>
          <w:sz w:val="20"/>
        </w:rPr>
        <w:t>CANTAREL Arthur</w:t>
      </w:r>
      <w:r w:rsidRPr="002A7054">
        <w:rPr>
          <w:rFonts w:ascii="Times New Roman" w:hAnsi="Times New Roman"/>
          <w:b/>
          <w:sz w:val="20"/>
          <w:vertAlign w:val="superscript"/>
        </w:rPr>
        <w:t>1</w:t>
      </w:r>
      <w:r w:rsidRPr="002A7054">
        <w:rPr>
          <w:rFonts w:ascii="Times New Roman" w:hAnsi="Times New Roman"/>
          <w:b/>
          <w:sz w:val="20"/>
        </w:rPr>
        <w:t>, SERRA Joel</w:t>
      </w:r>
      <w:r w:rsidRPr="002A7054">
        <w:rPr>
          <w:rFonts w:ascii="Times New Roman" w:hAnsi="Times New Roman"/>
          <w:b/>
          <w:sz w:val="20"/>
          <w:vertAlign w:val="superscript"/>
        </w:rPr>
        <w:t>1</w:t>
      </w:r>
    </w:p>
    <w:p w14:paraId="0924A43B" w14:textId="3F0CEB8C" w:rsidR="007F4819" w:rsidRDefault="007F4819" w:rsidP="007F4819">
      <w:pPr>
        <w:pStyle w:val="Adresses"/>
        <w:rPr>
          <w:rFonts w:ascii="Times New Roman" w:hAnsi="Times New Roman"/>
          <w:szCs w:val="16"/>
        </w:rPr>
      </w:pPr>
      <w:r w:rsidRPr="00A10895">
        <w:rPr>
          <w:rFonts w:ascii="Times New Roman" w:hAnsi="Times New Roman"/>
          <w:szCs w:val="16"/>
        </w:rPr>
        <w:t xml:space="preserve">1 : </w:t>
      </w:r>
      <w:r w:rsidRPr="002A7054">
        <w:rPr>
          <w:rFonts w:ascii="Times New Roman" w:hAnsi="Times New Roman"/>
          <w:szCs w:val="16"/>
        </w:rPr>
        <w:t xml:space="preserve">Université de Toulouse, Institut Clément Ader (UMR CNRS 5312), </w:t>
      </w:r>
    </w:p>
    <w:p w14:paraId="5DBD15D7" w14:textId="77777777" w:rsidR="007F4819" w:rsidRDefault="007F4819" w:rsidP="007F4819">
      <w:pPr>
        <w:pStyle w:val="Adresses"/>
        <w:rPr>
          <w:rFonts w:ascii="Times New Roman" w:hAnsi="Times New Roman"/>
          <w:szCs w:val="16"/>
        </w:rPr>
      </w:pPr>
      <w:r w:rsidRPr="002A7054">
        <w:rPr>
          <w:rFonts w:ascii="Times New Roman" w:hAnsi="Times New Roman"/>
          <w:szCs w:val="16"/>
        </w:rPr>
        <w:t xml:space="preserve">ISAE-SUPAERO/UPS/IMT Mines Albi/INSA </w:t>
      </w:r>
    </w:p>
    <w:p w14:paraId="3EA96BE4" w14:textId="62E55716" w:rsidR="0088652E" w:rsidRDefault="007F4819" w:rsidP="007F4819">
      <w:pPr>
        <w:pStyle w:val="Adresses"/>
        <w:rPr>
          <w:rFonts w:ascii="Times New Roman" w:hAnsi="Times New Roman"/>
          <w:szCs w:val="16"/>
        </w:rPr>
      </w:pPr>
      <w:r w:rsidRPr="002A7054">
        <w:rPr>
          <w:rFonts w:ascii="Times New Roman" w:hAnsi="Times New Roman"/>
          <w:szCs w:val="16"/>
        </w:rPr>
        <w:t xml:space="preserve">Toulouse, </w:t>
      </w:r>
      <w:r w:rsidR="0088652E" w:rsidRPr="0088652E">
        <w:rPr>
          <w:rFonts w:ascii="Times New Roman" w:hAnsi="Times New Roman"/>
          <w:szCs w:val="16"/>
        </w:rPr>
        <w:t>3 Rue Caroline Aigle, 31400 Toulouse</w:t>
      </w:r>
    </w:p>
    <w:p w14:paraId="2A7886E3" w14:textId="204CED93" w:rsidR="000728E0" w:rsidRPr="007F4819" w:rsidRDefault="007F4819" w:rsidP="007F4819">
      <w:pPr>
        <w:pStyle w:val="Adresses"/>
        <w:rPr>
          <w:rFonts w:ascii="Times New Roman" w:hAnsi="Times New Roman"/>
          <w:szCs w:val="16"/>
          <w:lang w:val="it-IT"/>
        </w:rPr>
      </w:pPr>
      <w:r w:rsidRPr="009C719C">
        <w:rPr>
          <w:rFonts w:ascii="Times New Roman" w:hAnsi="Times New Roman"/>
          <w:szCs w:val="16"/>
          <w:lang w:val="it-IT"/>
        </w:rPr>
        <w:t xml:space="preserve">e-mail : </w:t>
      </w:r>
      <w:hyperlink r:id="rId7" w:history="1">
        <w:r w:rsidRPr="00913CBB">
          <w:rPr>
            <w:rStyle w:val="Lienhypertexte"/>
            <w:rFonts w:ascii="Times New Roman" w:hAnsi="Times New Roman"/>
            <w:szCs w:val="16"/>
            <w:lang w:val="it-IT"/>
          </w:rPr>
          <w:t>peignon@insa-toulouse.fr</w:t>
        </w:r>
      </w:hyperlink>
      <w:r>
        <w:rPr>
          <w:rFonts w:ascii="Times New Roman" w:hAnsi="Times New Roman"/>
          <w:szCs w:val="16"/>
          <w:lang w:val="it-IT"/>
        </w:rPr>
        <w:t xml:space="preserve">, </w:t>
      </w:r>
      <w:hyperlink r:id="rId8" w:history="1">
        <w:r w:rsidRPr="00913CBB">
          <w:rPr>
            <w:rStyle w:val="Lienhypertexte"/>
            <w:rFonts w:ascii="Times New Roman" w:hAnsi="Times New Roman"/>
            <w:szCs w:val="16"/>
            <w:lang w:val="it-IT"/>
          </w:rPr>
          <w:t>castanie@insa-toulouse.fr</w:t>
        </w:r>
      </w:hyperlink>
      <w:r>
        <w:rPr>
          <w:rFonts w:ascii="Times New Roman" w:hAnsi="Times New Roman"/>
          <w:szCs w:val="16"/>
          <w:lang w:val="it-IT"/>
        </w:rPr>
        <w:t xml:space="preserve">, </w:t>
      </w:r>
      <w:hyperlink r:id="rId9" w:history="1">
        <w:r w:rsidRPr="00913CBB">
          <w:rPr>
            <w:rStyle w:val="Lienhypertexte"/>
            <w:rFonts w:ascii="Times New Roman" w:hAnsi="Times New Roman"/>
            <w:szCs w:val="16"/>
            <w:lang w:val="it-IT"/>
          </w:rPr>
          <w:t>florent.eyma@iut-tarbes.fr</w:t>
        </w:r>
      </w:hyperlink>
      <w:r>
        <w:rPr>
          <w:rFonts w:ascii="Times New Roman" w:hAnsi="Times New Roman"/>
          <w:szCs w:val="16"/>
          <w:lang w:val="it-IT"/>
        </w:rPr>
        <w:t xml:space="preserve">, </w:t>
      </w:r>
      <w:hyperlink r:id="rId10" w:history="1">
        <w:r w:rsidRPr="00913CBB">
          <w:rPr>
            <w:rStyle w:val="Lienhypertexte"/>
            <w:rFonts w:ascii="Times New Roman" w:hAnsi="Times New Roman"/>
            <w:szCs w:val="16"/>
            <w:lang w:val="it-IT"/>
          </w:rPr>
          <w:t>arthur.cantarel@iut-tarbes.fr</w:t>
        </w:r>
      </w:hyperlink>
      <w:r>
        <w:rPr>
          <w:rFonts w:ascii="Times New Roman" w:hAnsi="Times New Roman"/>
          <w:szCs w:val="16"/>
          <w:lang w:val="it-IT"/>
        </w:rPr>
        <w:t xml:space="preserve"> et </w:t>
      </w:r>
      <w:hyperlink r:id="rId11" w:history="1">
        <w:r w:rsidRPr="00913CBB">
          <w:rPr>
            <w:rStyle w:val="Lienhypertexte"/>
            <w:rFonts w:ascii="Times New Roman" w:hAnsi="Times New Roman"/>
            <w:szCs w:val="16"/>
            <w:lang w:val="it-IT"/>
          </w:rPr>
          <w:t>joel.serra@isae-supaero.fr</w:t>
        </w:r>
      </w:hyperlink>
      <w:r>
        <w:rPr>
          <w:rFonts w:ascii="Times New Roman" w:hAnsi="Times New Roman"/>
          <w:szCs w:val="16"/>
          <w:lang w:val="it-IT"/>
        </w:rPr>
        <w:t xml:space="preserve"> </w:t>
      </w:r>
    </w:p>
    <w:p w14:paraId="6CDB6F61" w14:textId="77777777" w:rsidR="00FE440B" w:rsidRPr="007F4819" w:rsidRDefault="00FE440B" w:rsidP="00717B8A">
      <w:pPr>
        <w:pStyle w:val="Resume"/>
        <w:jc w:val="center"/>
        <w:rPr>
          <w:rFonts w:ascii="Times New Roman" w:hAnsi="Times New Roman"/>
          <w:sz w:val="36"/>
          <w:szCs w:val="36"/>
          <w:lang w:val="it-IT"/>
        </w:rPr>
      </w:pPr>
    </w:p>
    <w:p w14:paraId="394CCFEE" w14:textId="77777777" w:rsidR="000728E0" w:rsidRPr="00991DEA" w:rsidRDefault="000728E0" w:rsidP="000728E0">
      <w:pPr>
        <w:pStyle w:val="Titreresume"/>
      </w:pPr>
      <w:r w:rsidRPr="00991DEA">
        <w:t>Résumé</w:t>
      </w:r>
    </w:p>
    <w:p w14:paraId="2304B7BC" w14:textId="71380110" w:rsidR="00B16C99" w:rsidRPr="00991DEA" w:rsidRDefault="009B3622" w:rsidP="005A68C6">
      <w:pPr>
        <w:pStyle w:val="Resume"/>
      </w:pPr>
      <w:r>
        <w:t>L</w:t>
      </w:r>
      <w:r w:rsidR="00B16C99" w:rsidRPr="00991DEA">
        <w:t xml:space="preserve">'influence du nombre de plis sur l'identification des propriétés mécaniques du </w:t>
      </w:r>
      <w:r w:rsidR="001A37F9" w:rsidRPr="00991DEA">
        <w:t xml:space="preserve">lamibois </w:t>
      </w:r>
      <w:r w:rsidR="00B16C99" w:rsidRPr="00991DEA">
        <w:t>de peuplier à partir d'essais de traction</w:t>
      </w:r>
      <w:r>
        <w:t xml:space="preserve"> est étudiée</w:t>
      </w:r>
      <w:r w:rsidR="00B16C99" w:rsidRPr="00991DEA">
        <w:t xml:space="preserve">. Des éprouvettes </w:t>
      </w:r>
      <w:r>
        <w:t xml:space="preserve">stratifiées </w:t>
      </w:r>
      <w:r w:rsidR="00B16C99" w:rsidRPr="00991DEA">
        <w:t xml:space="preserve">ont été préparées </w:t>
      </w:r>
      <w:r w:rsidR="005F781A">
        <w:t>à partir de plis de bois déroulés et l’influence du</w:t>
      </w:r>
      <w:r>
        <w:t xml:space="preserve"> nombre </w:t>
      </w:r>
      <w:r w:rsidR="005F781A">
        <w:t xml:space="preserve">de </w:t>
      </w:r>
      <w:r>
        <w:t>plis orientés à 0°</w:t>
      </w:r>
      <w:r w:rsidRPr="00991DEA">
        <w:t xml:space="preserve"> </w:t>
      </w:r>
      <w:r w:rsidR="005F781A">
        <w:t>a été étudiée</w:t>
      </w:r>
      <w:r w:rsidR="00B16C99" w:rsidRPr="00991DEA">
        <w:t xml:space="preserve"> </w:t>
      </w:r>
      <w:r w:rsidR="005F781A">
        <w:t xml:space="preserve">pour </w:t>
      </w:r>
      <w:r w:rsidR="00B16C99" w:rsidRPr="00991DEA">
        <w:t xml:space="preserve">des essais de traction </w:t>
      </w:r>
      <w:r w:rsidR="008D09AD" w:rsidRPr="00991DEA">
        <w:t>uniaxiale</w:t>
      </w:r>
      <w:r w:rsidR="00B16C99" w:rsidRPr="00991DEA">
        <w:t xml:space="preserve">. Les résultats </w:t>
      </w:r>
      <w:r>
        <w:t>montrent</w:t>
      </w:r>
      <w:r w:rsidR="00B16C99" w:rsidRPr="00991DEA">
        <w:t xml:space="preserve"> que la configuration des plis a une influence sur les propriétés mécaniques. Ces résultats fournissent des informations précieuses pour la conception et l'optimisation des structures en </w:t>
      </w:r>
      <w:r w:rsidR="00787DFE" w:rsidRPr="00991DEA">
        <w:t>lamibois</w:t>
      </w:r>
      <w:r w:rsidR="00B16C99" w:rsidRPr="00991DEA">
        <w:t>.</w:t>
      </w:r>
      <w:r w:rsidR="00A054D9" w:rsidRPr="00991DEA">
        <w:t xml:space="preserve"> Des stratégies de modélisation sont envisagées pour rendre compte de </w:t>
      </w:r>
      <w:r w:rsidR="00991DEA" w:rsidRPr="00991DEA">
        <w:t>l’effet du nombre de pli sur la rigidité des stratifiés de peuplier.</w:t>
      </w:r>
    </w:p>
    <w:p w14:paraId="0C10BF84" w14:textId="77777777" w:rsidR="005A68C6" w:rsidRPr="00991DEA" w:rsidRDefault="005A68C6" w:rsidP="005A68C6">
      <w:pPr>
        <w:pStyle w:val="Resume"/>
        <w:rPr>
          <w:rFonts w:ascii="Times New Roman" w:hAnsi="Times New Roman"/>
        </w:rPr>
      </w:pPr>
    </w:p>
    <w:p w14:paraId="129C1AAF" w14:textId="0845845F" w:rsidR="004D100A" w:rsidRPr="004D100A" w:rsidRDefault="000728E0" w:rsidP="004D100A">
      <w:pPr>
        <w:pStyle w:val="Titreresume"/>
        <w:rPr>
          <w:lang w:val="en-US"/>
        </w:rPr>
      </w:pPr>
      <w:r w:rsidRPr="00991DEA">
        <w:rPr>
          <w:lang w:val="en-US"/>
        </w:rPr>
        <w:t>Abstract</w:t>
      </w:r>
    </w:p>
    <w:p w14:paraId="03C3E923" w14:textId="6F83A768" w:rsidR="004D100A" w:rsidRDefault="004D100A" w:rsidP="000728E0">
      <w:pPr>
        <w:pStyle w:val="Resume"/>
        <w:rPr>
          <w:lang w:val="en-US"/>
        </w:rPr>
      </w:pPr>
      <w:r w:rsidRPr="004D100A">
        <w:rPr>
          <w:lang w:val="en-US"/>
        </w:rPr>
        <w:t>The influence of the number of plies on the identification of mechanical properties of poplar Laminated Veneer Lumber (LVL) from tensile tests is studied. LVL specimens were prepared from peeled wood veneer and the influence of the number of plies oriented at 0° was studied for uniaxial tensile tests. The results show that the ply configuration has an influence on the mechanical properties. These results provide valuable information for the design and optimization of laminated wood structures. Modeling strategies are considered to account for the effect of ply number on the stiffness of poplar laminates.</w:t>
      </w:r>
    </w:p>
    <w:p w14:paraId="43390C7B" w14:textId="77777777" w:rsidR="004D100A" w:rsidRDefault="004D100A" w:rsidP="000728E0">
      <w:pPr>
        <w:pStyle w:val="Resume"/>
        <w:rPr>
          <w:highlight w:val="yellow"/>
          <w:lang w:val="en-US"/>
        </w:rPr>
      </w:pPr>
    </w:p>
    <w:p w14:paraId="5DC48C54" w14:textId="77777777" w:rsidR="000728E0" w:rsidRPr="00A60C82" w:rsidRDefault="000728E0" w:rsidP="000728E0">
      <w:pPr>
        <w:pStyle w:val="Resume"/>
        <w:rPr>
          <w:rFonts w:ascii="Times New Roman" w:hAnsi="Times New Roman"/>
          <w:lang w:val="en-GB"/>
        </w:rPr>
      </w:pPr>
    </w:p>
    <w:p w14:paraId="5848520C" w14:textId="7B3808CA" w:rsidR="000728E0" w:rsidRPr="006F4CC1" w:rsidRDefault="000728E0" w:rsidP="006F4CC1">
      <w:pPr>
        <w:pStyle w:val="Resume"/>
      </w:pPr>
      <w:r w:rsidRPr="006F4CC1">
        <w:rPr>
          <w:b/>
        </w:rPr>
        <w:t>Mots Clés :</w:t>
      </w:r>
      <w:r w:rsidRPr="006F4CC1">
        <w:t xml:space="preserve"> </w:t>
      </w:r>
      <w:r w:rsidR="005F781A">
        <w:t xml:space="preserve">Lamibois, Peuplier, </w:t>
      </w:r>
      <w:r w:rsidR="00B16C99">
        <w:t>Essai de Traction, Module d’Young</w:t>
      </w:r>
    </w:p>
    <w:p w14:paraId="698086E6" w14:textId="2FB61B61" w:rsidR="000728E0" w:rsidRPr="00443C8F" w:rsidRDefault="000728E0" w:rsidP="006F4CC1">
      <w:pPr>
        <w:pStyle w:val="Resume"/>
        <w:rPr>
          <w:lang w:val="en-US"/>
        </w:rPr>
      </w:pPr>
      <w:r w:rsidRPr="00443C8F">
        <w:rPr>
          <w:b/>
          <w:lang w:val="en-US"/>
        </w:rPr>
        <w:t>Keywords :</w:t>
      </w:r>
      <w:r w:rsidRPr="00443C8F">
        <w:rPr>
          <w:lang w:val="en-US"/>
        </w:rPr>
        <w:t xml:space="preserve"> </w:t>
      </w:r>
      <w:r w:rsidR="005F781A">
        <w:rPr>
          <w:lang w:val="en-US"/>
        </w:rPr>
        <w:t xml:space="preserve">Laminated Veneer Lumber, Poplar, </w:t>
      </w:r>
      <w:r w:rsidR="00B16C99">
        <w:rPr>
          <w:lang w:val="en-US"/>
        </w:rPr>
        <w:t>Tensile Tests, Young’s Modulus</w:t>
      </w:r>
    </w:p>
    <w:p w14:paraId="02C41F04" w14:textId="77777777" w:rsidR="000728E0" w:rsidRPr="00443C8F" w:rsidRDefault="000728E0" w:rsidP="000728E0">
      <w:pPr>
        <w:pStyle w:val="Resume"/>
        <w:rPr>
          <w:rFonts w:ascii="Times New Roman" w:hAnsi="Times New Roman"/>
          <w:lang w:val="en-US"/>
        </w:rPr>
      </w:pPr>
    </w:p>
    <w:p w14:paraId="38E6A0CA" w14:textId="77777777" w:rsidR="000728E0" w:rsidRPr="00443C8F" w:rsidRDefault="000728E0" w:rsidP="000728E0">
      <w:pPr>
        <w:pStyle w:val="Resume"/>
        <w:rPr>
          <w:rFonts w:ascii="Times New Roman" w:hAnsi="Times New Roman"/>
          <w:lang w:val="en-US"/>
        </w:rPr>
      </w:pPr>
    </w:p>
    <w:p w14:paraId="405A3ACD" w14:textId="3A30813B" w:rsidR="00D41B40" w:rsidRDefault="000728E0" w:rsidP="00D41B40">
      <w:pPr>
        <w:pStyle w:val="Titredeniveau1"/>
      </w:pPr>
      <w:r w:rsidRPr="00D41B40">
        <w:t xml:space="preserve">Introduction </w:t>
      </w:r>
    </w:p>
    <w:p w14:paraId="783EB5C9" w14:textId="7C7DCDD1" w:rsidR="001C0D3F" w:rsidRDefault="003051EA" w:rsidP="003051EA">
      <w:r w:rsidRPr="00671290">
        <w:t xml:space="preserve">L’utilisation du bois dans l'industrie du transport n'est pas récente </w:t>
      </w:r>
      <w:r w:rsidR="00724C39" w:rsidRPr="00671290">
        <w:fldChar w:fldCharType="begin"/>
      </w:r>
      <w:r w:rsidR="00724C39" w:rsidRPr="00671290">
        <w:instrText xml:space="preserve"> ADDIN ZOTERO_ITEM CSL_CITATION {"citationID":"veE6aH1Z","properties":{"formattedCitation":"[1]","plainCitation":"[1]","noteIndex":0},"citationItems":[{"id":619,"uris":["http://zotero.org/users/9031857/items/42AYTU4J"],"itemData":{"id":619,"type":"article-journal","abstract":"This paper presents a review of the issues concerning sandwich structures for aeronautical applications. The main questions raised by designers are first recalled and the complexity of sandwich structure design for aeronautics is highlighted. Then a review of applications is presented, starting with early examples from the 1930s and the Second World War. The growth in the use of sandwich materials in civil and military applications is then developed. Recent research and innovations conclude the paper.","container-title":"Composites Part C: Open Access","DOI":"10.1016/j.jcomc.2020.100004","ISSN":"2666-6820","journalAbbreviation":"Composites Part C: Open Access","language":"en","page":"100004","source":"ScienceDirect","title":"Review of composite sandwich structure in aeronautic applications","volume":"1","author":[{"family":"Castanie","given":"Bruno"},{"family":"Bouvet","given":"Christophe"},{"family":"Ginot","given":"Malo"}],"issued":{"date-parts":[["2020",8,1]]}}}],"schema":"https://github.com/citation-style-language/schema/raw/master/csl-citation.json"} </w:instrText>
      </w:r>
      <w:r w:rsidR="00724C39" w:rsidRPr="00671290">
        <w:fldChar w:fldCharType="separate"/>
      </w:r>
      <w:r w:rsidR="00B70FC9" w:rsidRPr="00671290">
        <w:t>[1]</w:t>
      </w:r>
      <w:r w:rsidR="00724C39" w:rsidRPr="00671290">
        <w:fldChar w:fldCharType="end"/>
      </w:r>
      <w:r w:rsidRPr="00671290">
        <w:t xml:space="preserve"> mais elle pourrait devenir une solution aux problèmes environnementaux actuels. Grâce à son faible coût et à sa faible empreinte carbone, le bois </w:t>
      </w:r>
      <w:r w:rsidR="009B3622" w:rsidRPr="00671290">
        <w:t>est</w:t>
      </w:r>
      <w:r w:rsidRPr="00671290">
        <w:t xml:space="preserve"> une bonne alternative à de nombreux matériaux </w:t>
      </w:r>
      <w:r w:rsidR="00724C39" w:rsidRPr="00671290">
        <w:fldChar w:fldCharType="begin"/>
      </w:r>
      <w:r w:rsidR="00724C39" w:rsidRPr="00671290">
        <w:instrText xml:space="preserve"> ADDIN ZOTERO_ITEM CSL_CITATION {"citationID":"KNFmCbO7","properties":{"formattedCitation":"[2]","plainCitation":"[2]","noteIndex":0},"citationItems":[{"id":414,"uris":["http://zotero.org/users/9031857/items/3CDYWKFV"],"itemData":{"id":414,"type":"article-journal","abstract":"Purpose: The introduction of renewable materials into automotive applications is perceived as an innovative lightweight solution. Wood-based materials are advantageous in that they have potentially lower environmental impacts as compared with other materials such as steel. However, using wood per se does not automatically ensure more sustainability. Few prospective sustainability assessment methods or studies on the use of wood-based materials in automotive applications have been carried out, although these are needed to reduce unintended, negative sustainability effects and to support sustainable oriented research and innovation. Therefore, this study was conducted to assess the potential sustainability effects and consequences of introducing a wood-based component into an automotive application. \nMethods: A combination of methods was used to analyze the potential sustainability effects when introducing wood into automotive applications. This prospective life cycle sustainability analysis solely relied on secondary data. The environmental impacts were analyzed using a simplified environmental life cycle assessment on the product level. A multi-regional input-output-based assessment was conducted to model the country-specific environmental and socioeconomic consequences. The potential shift in social risks and opportunities on a national scale was analyzed by conducting a generic social life cycle assessment. Various aspects of each approach differ, with each providing a specific perspective of the system under study.\nResults and discussion: The results indicate that implementing wood into automotive application can have environmental, social, and economic benefits, according to most of the indicators analyzed. Mostly due to the product weight reduction due to the use of a wood-based component, the results show that environmental impacts decrease. Some possible consequences of using wood-based materials are increased value added and increasing the number of jobs in European countries. Similarly, the social risks and opportunities are shifted from countries all over the world to European countries, which perform better than developing countries according to several indicators. However, some indicators, such as migrant acceptance or local supplier quantity, perform better in the current situation.\nConclusions: The presented case study is particularly notable, because the results clearly indicate the advantages of using wood-based materials in automotive applications, although the application of such relatively holistic and complex approaches often may lead to rather indifferent pictures. Policy makers, researchers, and companies can apply this combination of methods that rely solely on generic data to obtain both feasible and informative results. These methods also allow users to link the product level assessment with a regional and social perspective and screen critical topics to support sustainability research and innovation.","container-title":"The International Journal of Life Cycle Assessment","DOI":"10.1007/s11367-020-01803-y","journalAbbreviation":"The International Journal of Life Cycle Assessment","page":"2027-2049","source":"ResearchGate","title":"Prospective sustainability assessment: the case of wood in automotive applications","title-short":"Prospective sustainability assessment","volume":"25","author":[{"family":"Mair-Bauernfeind","given":"Claudia"},{"family":"Zimek","given":"Martina"},{"family":"Asada","given":"Raphael"},{"family":"Bauernfeind","given":"Daniel"},{"family":"Baumgartner","given":"Rupert"},{"family":"Stern","given":"Tobias"}],"issued":{"date-parts":[["2020",10,1]]}}}],"schema":"https://github.com/citation-style-language/schema/raw/master/csl-citation.json"} </w:instrText>
      </w:r>
      <w:r w:rsidR="00724C39" w:rsidRPr="00671290">
        <w:fldChar w:fldCharType="separate"/>
      </w:r>
      <w:r w:rsidR="00B70FC9" w:rsidRPr="00671290">
        <w:t>[2]</w:t>
      </w:r>
      <w:r w:rsidR="00724C39" w:rsidRPr="00671290">
        <w:fldChar w:fldCharType="end"/>
      </w:r>
      <w:r w:rsidRPr="00671290">
        <w:t xml:space="preserve">. </w:t>
      </w:r>
      <w:r w:rsidR="00536034" w:rsidRPr="00671290">
        <w:t xml:space="preserve">Le Lamibois </w:t>
      </w:r>
      <w:r w:rsidR="0083781A" w:rsidRPr="00671290">
        <w:t>(</w:t>
      </w:r>
      <w:r w:rsidR="00536034" w:rsidRPr="00671290">
        <w:t>ou LVL pour l’anglais « Laminated Veneer Lumber »)</w:t>
      </w:r>
      <w:r w:rsidR="0083781A" w:rsidRPr="00671290">
        <w:t xml:space="preserve"> et le contreplaqué sont des </w:t>
      </w:r>
      <w:r w:rsidR="00536034" w:rsidRPr="00671290">
        <w:rPr>
          <w:rStyle w:val="q4iawc"/>
        </w:rPr>
        <w:t>produit</w:t>
      </w:r>
      <w:r w:rsidR="00872291">
        <w:rPr>
          <w:rStyle w:val="q4iawc"/>
        </w:rPr>
        <w:t>s</w:t>
      </w:r>
      <w:r w:rsidR="00536034" w:rsidRPr="00671290">
        <w:rPr>
          <w:rStyle w:val="q4iawc"/>
        </w:rPr>
        <w:t xml:space="preserve"> structurel</w:t>
      </w:r>
      <w:r w:rsidR="00872291">
        <w:rPr>
          <w:rStyle w:val="q4iawc"/>
        </w:rPr>
        <w:t>s</w:t>
      </w:r>
      <w:r w:rsidR="00536034" w:rsidRPr="00671290">
        <w:rPr>
          <w:rStyle w:val="q4iawc"/>
        </w:rPr>
        <w:t xml:space="preserve"> </w:t>
      </w:r>
      <w:r w:rsidR="00536034" w:rsidRPr="00671290">
        <w:t>composite</w:t>
      </w:r>
      <w:r w:rsidR="00872291">
        <w:t xml:space="preserve">s dérivés du bois. </w:t>
      </w:r>
      <w:r w:rsidR="00872291" w:rsidRPr="00872291">
        <w:rPr>
          <w:rStyle w:val="q4iawc"/>
        </w:rPr>
        <w:t xml:space="preserve">Ils sont fabriqués à partir de fines feuilles de bois assemblées </w:t>
      </w:r>
      <w:r w:rsidR="000B7252">
        <w:rPr>
          <w:rStyle w:val="q4iawc"/>
        </w:rPr>
        <w:t>par collage</w:t>
      </w:r>
      <w:r w:rsidR="00872291" w:rsidRPr="00872291">
        <w:rPr>
          <w:rStyle w:val="q4iawc"/>
        </w:rPr>
        <w:t>, ce qui permet d'éliminer les défauts tels que les nœuds et les fissures.</w:t>
      </w:r>
      <w:r w:rsidR="00B364BF" w:rsidRPr="00671290">
        <w:t xml:space="preserve"> </w:t>
      </w:r>
      <w:r w:rsidR="00872291">
        <w:t>Ils</w:t>
      </w:r>
      <w:r w:rsidR="00B364BF" w:rsidRPr="00671290">
        <w:t xml:space="preserve"> sont </w:t>
      </w:r>
      <w:r w:rsidR="00872291">
        <w:t xml:space="preserve">donc </w:t>
      </w:r>
      <w:r w:rsidR="00B364BF" w:rsidRPr="00671290">
        <w:t>les plus prometteur</w:t>
      </w:r>
      <w:r w:rsidR="00872291">
        <w:t>s</w:t>
      </w:r>
      <w:r w:rsidR="00B364BF" w:rsidRPr="00671290">
        <w:t xml:space="preserve"> pour des applications structurales,</w:t>
      </w:r>
      <w:r w:rsidR="003F70CB" w:rsidRPr="00671290">
        <w:t xml:space="preserve"> </w:t>
      </w:r>
      <w:r w:rsidR="00B364BF" w:rsidRPr="00671290">
        <w:t>c</w:t>
      </w:r>
      <w:r w:rsidRPr="00671290">
        <w:t>ependant</w:t>
      </w:r>
      <w:r w:rsidR="00872291">
        <w:t xml:space="preserve">, ces composites </w:t>
      </w:r>
      <w:r w:rsidR="003F70CB" w:rsidRPr="00671290">
        <w:t>bois</w:t>
      </w:r>
      <w:r w:rsidR="00787DFE" w:rsidRPr="00671290">
        <w:t xml:space="preserve"> </w:t>
      </w:r>
      <w:r w:rsidRPr="00671290">
        <w:t xml:space="preserve">et plus globalement les </w:t>
      </w:r>
      <w:r w:rsidR="00671290" w:rsidRPr="00671290">
        <w:rPr>
          <w:rStyle w:val="q4iawc"/>
        </w:rPr>
        <w:t>placages</w:t>
      </w:r>
      <w:r w:rsidR="00671290" w:rsidRPr="00671290">
        <w:t xml:space="preserve"> </w:t>
      </w:r>
      <w:r w:rsidRPr="00671290">
        <w:t>de bois sont hétérogènes</w:t>
      </w:r>
      <w:r w:rsidR="00872291">
        <w:t>,</w:t>
      </w:r>
      <w:r w:rsidRPr="00671290">
        <w:t xml:space="preserve"> ce qui entraîne une dispersion et une certaine complexité de</w:t>
      </w:r>
      <w:r w:rsidR="00872291">
        <w:t xml:space="preserve"> leurs</w:t>
      </w:r>
      <w:r w:rsidRPr="00671290">
        <w:t xml:space="preserve"> propriétés mécaniques </w:t>
      </w:r>
      <w:r w:rsidR="00724C39" w:rsidRPr="00671290">
        <w:fldChar w:fldCharType="begin"/>
      </w:r>
      <w:r w:rsidR="00724C39" w:rsidRPr="00671290">
        <w:instrText xml:space="preserve"> ADDIN ZOTERO_ITEM CSL_CITATION {"citationID":"cIWjG7Wi","properties":{"formattedCitation":"[3]","plainCitation":"[3]","noteIndex":0},"citationItems":[{"id":72,"uris":["http://zotero.org/users/9031857/items/QPDDK54D"],"itemData":{"id":72,"type":"article-journal","abstract":"This work studies the potential of using wooden tubes for crash applications. The tubes were made from 1 mm thick “I214” poplar veneers, according to different stacking sequences. Four configurations were characterized under static crushing (5 mm/min) and the one that performed best ([90/04/90]) was chosen to undergo dynamic tests under a drop weight tower (5.7 m/s). This configuration presents significant energy absorption performance in static (31.6 J / g) and in dynamic (28.5 J / g) crushing for a material that is natural, ecological (low carbon footprint), recyclable, and low cost in comparison with other materials such as composite materials. As with composites, the position, number, and orientation of the plies directly affect the amount of energy absorbed. The use of poplar, one of the weakest woods in mechanical terms, shows the possibilities of wood for this use.","container-title":"International Journal of Impact Engineering","DOI":"10.1016/j.ijimpeng.2020.103738","ISSN":"0734-743X","journalAbbreviation":"International Journal of Impact Engineering","language":"en","page":"103738","source":"ScienceDirect","title":"Crashworthiness of poplar wood veneer tubes","volume":"147","author":[{"family":"Guélou","given":"R."},{"family":"Eyma","given":"F."},{"family":"Cantarel","given":"A."},{"family":"Rivallant","given":"S."},{"family":"Castanié","given":"B."}],"issued":{"date-parts":[["2021",1,1]]}}}],"schema":"https://github.com/citation-style-language/schema/raw/master/csl-citation.json"} </w:instrText>
      </w:r>
      <w:r w:rsidR="00724C39" w:rsidRPr="00671290">
        <w:fldChar w:fldCharType="separate"/>
      </w:r>
      <w:r w:rsidR="00B70FC9" w:rsidRPr="00671290">
        <w:t>[3]</w:t>
      </w:r>
      <w:r w:rsidR="00724C39" w:rsidRPr="00671290">
        <w:fldChar w:fldCharType="end"/>
      </w:r>
      <w:r w:rsidRPr="00671290">
        <w:t xml:space="preserve">. Il est donc essentiel d’analyser finement ces dernières pour envisager son utilisation comme matériau de structure dans les transports comme l'automobile </w:t>
      </w:r>
      <w:r w:rsidR="00724C39" w:rsidRPr="00671290">
        <w:fldChar w:fldCharType="begin"/>
      </w:r>
      <w:r w:rsidR="00724C39" w:rsidRPr="00671290">
        <w:instrText xml:space="preserve"> ADDIN ZOTERO_ITEM CSL_CITATION {"citationID":"Oq3ut60z","properties":{"formattedCitation":"[4]","plainCitation":"[4]","noteIndex":0},"citationItems":[{"id":5951,"uris":["http://zotero.org/users/9031857/items/VRK4UMC6"],"itemData":{"id":5951,"type":"webpage","title":"WoodC.A.R.","URL":"https://woodcar.eu/","accessed":{"date-parts":[["2023",5,16]]}}}],"schema":"https://github.com/citation-style-language/schema/raw/master/csl-citation.json"} </w:instrText>
      </w:r>
      <w:r w:rsidR="00724C39" w:rsidRPr="00671290">
        <w:fldChar w:fldCharType="separate"/>
      </w:r>
      <w:r w:rsidR="00B70FC9" w:rsidRPr="00671290">
        <w:t>[4]</w:t>
      </w:r>
      <w:r w:rsidR="00724C39" w:rsidRPr="00671290">
        <w:fldChar w:fldCharType="end"/>
      </w:r>
      <w:r w:rsidRPr="00671290">
        <w:t xml:space="preserve"> ou l'aéronautique </w:t>
      </w:r>
      <w:r w:rsidR="00724C39" w:rsidRPr="00671290">
        <w:fldChar w:fldCharType="begin"/>
      </w:r>
      <w:r w:rsidR="00724C39" w:rsidRPr="00671290">
        <w:instrText xml:space="preserve"> ADDIN ZOTERO_ITEM CSL_CITATION {"citationID":"I0lvhszy","properties":{"formattedCitation":"[5]","plainCitation":"[5]","noteIndex":0},"citationItems":[{"id":5953,"uris":["http://zotero.org/users/9031857/items/IJH6YKRG"],"itemData":{"id":5953,"type":"webpage","abstract":"AURA AERO s'engage au service de l'humanité en concevant et fabriquant des avions qui accélèrent la décarbonation du transport aérien.","container-title":"Aura Aero","language":"fr","title":"AURA AERO","URL":"https://aura-aero.com/","accessed":{"date-parts":[["2023",5,16]]}}}],"schema":"https://github.com/citation-style-language/schema/raw/master/csl-citation.json"} </w:instrText>
      </w:r>
      <w:r w:rsidR="00724C39" w:rsidRPr="00671290">
        <w:fldChar w:fldCharType="separate"/>
      </w:r>
      <w:r w:rsidR="00B70FC9" w:rsidRPr="00671290">
        <w:t>[5]</w:t>
      </w:r>
      <w:r w:rsidR="00724C39" w:rsidRPr="00671290">
        <w:fldChar w:fldCharType="end"/>
      </w:r>
      <w:r w:rsidRPr="00671290">
        <w:t>.</w:t>
      </w:r>
      <w:r w:rsidR="00724C39">
        <w:t xml:space="preserve"> </w:t>
      </w:r>
    </w:p>
    <w:p w14:paraId="4EA0ED1D" w14:textId="7723FAF6" w:rsidR="002D41B1" w:rsidRPr="005D624B" w:rsidRDefault="000B7252" w:rsidP="00404C7A">
      <w:r>
        <w:t xml:space="preserve">Bien que l’objectif soit la caractérisation du contreplaqué, les LVL ayant des plis uniquement à 0° seront étudiés dans un premier temps. </w:t>
      </w:r>
      <w:r w:rsidR="00787DFE" w:rsidRPr="00991DEA">
        <w:t>Concernant la caractérisation du LVL,</w:t>
      </w:r>
      <w:r w:rsidR="00724C39" w:rsidRPr="00991DEA">
        <w:t xml:space="preserve"> </w:t>
      </w:r>
      <w:r w:rsidR="00787DFE" w:rsidRPr="00991DEA">
        <w:t>d</w:t>
      </w:r>
      <w:r w:rsidR="00404C7A" w:rsidRPr="00991DEA">
        <w:t xml:space="preserve">e nombreux auteurs se sont </w:t>
      </w:r>
      <w:r w:rsidR="00724C39" w:rsidRPr="00991DEA">
        <w:t>intéressé</w:t>
      </w:r>
      <w:r w:rsidR="005F781A">
        <w:t>s</w:t>
      </w:r>
      <w:r w:rsidR="00404C7A" w:rsidRPr="00991DEA">
        <w:t xml:space="preserve"> à l’effet du nombre de pli sur de</w:t>
      </w:r>
      <w:r w:rsidR="002D41B1" w:rsidRPr="00991DEA">
        <w:t xml:space="preserve">s LVL ayant une épaisseur constante </w:t>
      </w:r>
      <w:r w:rsidR="00404C7A" w:rsidRPr="00991DEA">
        <w:t>et donc fabriqué</w:t>
      </w:r>
      <w:r w:rsidR="009B3622">
        <w:t>s</w:t>
      </w:r>
      <w:r w:rsidR="00404C7A" w:rsidRPr="00991DEA">
        <w:t xml:space="preserve"> avec des placages d’</w:t>
      </w:r>
      <w:r w:rsidR="002D41B1" w:rsidRPr="00991DEA">
        <w:t>épaisseurs différentes</w:t>
      </w:r>
      <w:r w:rsidR="00404C7A" w:rsidRPr="00991DEA">
        <w:t xml:space="preserve">. </w:t>
      </w:r>
      <w:r w:rsidR="005F781A">
        <w:t>Ils ont notamment étudié</w:t>
      </w:r>
      <w:r w:rsidR="002D41B1" w:rsidRPr="00991DEA">
        <w:t xml:space="preserve"> l’influence du nombre de placage sur sa rigidité et sa résistance. </w:t>
      </w:r>
      <w:proofErr w:type="spellStart"/>
      <w:r w:rsidR="002D41B1" w:rsidRPr="00991DEA">
        <w:t>Kiliç</w:t>
      </w:r>
      <w:proofErr w:type="spellEnd"/>
      <w:r w:rsidR="002D41B1" w:rsidRPr="00991DEA">
        <w:t xml:space="preserve"> et </w:t>
      </w:r>
      <w:r w:rsidR="00B1784F">
        <w:t>al.</w:t>
      </w:r>
      <w:r w:rsidR="002D41B1" w:rsidRPr="00991DEA">
        <w:t xml:space="preserve"> </w:t>
      </w:r>
      <w:proofErr w:type="gramStart"/>
      <w:r w:rsidR="002D41B1" w:rsidRPr="00991DEA">
        <w:t>comparent</w:t>
      </w:r>
      <w:proofErr w:type="gramEnd"/>
      <w:r w:rsidR="005F781A">
        <w:t>,</w:t>
      </w:r>
      <w:r w:rsidR="002D41B1" w:rsidRPr="00991DEA">
        <w:t xml:space="preserve"> </w:t>
      </w:r>
      <w:r w:rsidR="005F781A">
        <w:t xml:space="preserve">par exemple, </w:t>
      </w:r>
      <w:r w:rsidR="002D41B1" w:rsidRPr="00991DEA">
        <w:t xml:space="preserve">deux LVL d’aulne glutineux, de 20mm d’épaisseur, </w:t>
      </w:r>
      <w:r w:rsidR="005F781A">
        <w:t>réalisés</w:t>
      </w:r>
      <w:r w:rsidR="005F781A" w:rsidRPr="00991DEA">
        <w:t xml:space="preserve"> </w:t>
      </w:r>
      <w:r w:rsidR="002D41B1" w:rsidRPr="00991DEA">
        <w:t xml:space="preserve">à partir de placages de 2mm et de 4mm d’épaisseur en utilisant deux </w:t>
      </w:r>
      <w:r w:rsidR="002D41B1" w:rsidRPr="00991DEA">
        <w:lastRenderedPageBreak/>
        <w:t xml:space="preserve">colles différentes. Ils montrent qu’en cisaillement, compression et flexion, la résistance à la rupture est plus importante pour le LVL fabriqué avec des plis de 2mm quelle que soit la colle utilisée. Ils montrent aussi que le module d’Young est plus élevé dans cette configuration. Ils expliquent cela via l’augmentation de la quantité de colle dans le LVL fabriqué à base de plis plus fins </w:t>
      </w:r>
      <w:r w:rsidR="002D41B1" w:rsidRPr="00991DEA">
        <w:fldChar w:fldCharType="begin"/>
      </w:r>
      <w:r w:rsidR="00B1784F">
        <w:instrText xml:space="preserve"> ADDIN ZOTERO_ITEM CSL_CITATION {"citationID":"dHM7O6ZE","properties":{"formattedCitation":"[6]","plainCitation":"[6]","noteIndex":0},"citationItems":[{"id":4459,"uris":["http://zotero.org/users/9031857/items/H9TM9XII"],"itemData":{"id":4459,"type":"article-journal","container-title":"Forest Products Society","issue":"9","language":"en","page":"5","source":"Zotero","title":"An investigation of some physical and mechanical properties of laminated veneer lumber manufactured from black alder (AInus glutinosa) glued with polyvinyl acetate and polyurethane adhesives","volume":"56","author":[{"family":"Kiliç","given":"Yilmaz"},{"family":"Colak","given":"Mehmet"},{"family":"Baysal","given":"Ergun"},{"family":"Burdurlu","given":"Erol"}],"issued":{"date-parts":[["2006"]]}}}],"schema":"https://github.com/citation-style-language/schema/raw/master/csl-citation.json"} </w:instrText>
      </w:r>
      <w:r w:rsidR="002D41B1" w:rsidRPr="00991DEA">
        <w:fldChar w:fldCharType="separate"/>
      </w:r>
      <w:r w:rsidR="00B70FC9" w:rsidRPr="00991DEA">
        <w:t>[6]</w:t>
      </w:r>
      <w:r w:rsidR="002D41B1" w:rsidRPr="00991DEA">
        <w:fldChar w:fldCharType="end"/>
      </w:r>
      <w:r w:rsidR="002D41B1" w:rsidRPr="00991DEA">
        <w:t>.</w:t>
      </w:r>
      <w:r w:rsidR="00404C7A">
        <w:t xml:space="preserve"> </w:t>
      </w:r>
    </w:p>
    <w:p w14:paraId="22A1C71D" w14:textId="6331A4F1" w:rsidR="00404C7A" w:rsidRDefault="002D41B1" w:rsidP="00404C7A">
      <w:r w:rsidRPr="00790256">
        <w:t>D’après la littérature, il semblerait que le nombre de placage</w:t>
      </w:r>
      <w:r w:rsidR="005F781A">
        <w:t>s</w:t>
      </w:r>
      <w:r w:rsidRPr="00790256">
        <w:t xml:space="preserve"> dans un LVL ai</w:t>
      </w:r>
      <w:r>
        <w:t>t</w:t>
      </w:r>
      <w:r w:rsidRPr="00790256">
        <w:t xml:space="preserve"> une influence sur sa rigidité </w:t>
      </w:r>
      <w:r w:rsidR="00724C39">
        <w:t>ou</w:t>
      </w:r>
      <w:r w:rsidRPr="00790256">
        <w:t xml:space="preserve"> sa résistance en flexion. Les explications avancées sont les suivantes : une meilleure répartition des défauts du bois au travers </w:t>
      </w:r>
      <w:r>
        <w:t>l</w:t>
      </w:r>
      <w:r w:rsidRPr="00790256">
        <w:t>es placages et une quantité de colle plus importante dans le LVL</w:t>
      </w:r>
      <w:r w:rsidR="00404C7A">
        <w:t xml:space="preserve"> </w:t>
      </w:r>
      <w:r w:rsidR="00724C39">
        <w:fldChar w:fldCharType="begin"/>
      </w:r>
      <w:r w:rsidR="001E7015">
        <w:instrText xml:space="preserve"> ADDIN ZOTERO_ITEM CSL_CITATION {"citationID":"YHs3MeTC","properties":{"formattedCitation":"[7]\\uc0\\u8211{}[10]","plainCitation":"[7]–[10]","dontUpdate":true,"noteIndex":0},"citationItems":[{"id":4457,"uris":["http://zotero.org/users/9031857/items/9LAXRBFX"],"itemData":{"id":4457,"type":"article-journal","language":"en","page":"23","source":"Zotero","title":"FEASIBILITY OF PRODUCING A HIGH-YIELD LAMINATED STRUCTURAL PRODUCT General Summary","author":[{"family":"Schaffer","given":"E L"},{"family":"Jokerst","given":"R W"},{"family":"Moody","given":"R C"},{"family":"Peters","given":"C C"},{"family":"Tschernitz","given":"J L"},{"family":"Zahn","given":"J J"}],"issued":{"date-parts":[["1972"]]}}},{"id":5188,"uris":["http://zotero.org/users/9031857/items/WFTWF835"],"itemData":{"id":5188,"type":"article-journal","abstract":"The rising cost of hardwood lumber has increased the use of substitute materials in furniture production. Laminated-veneer-lumber (LVL) is a substitute that offers the potential to produce furniture of essentially the same quality possible with lumber. The potential market for hardwood LVL will be evaluated in the next paper in this series (7). This paper reports the results of cooperative research into the effect ofspecies; number of plies per unit thickness; size and location of holes; and the degree and location of cross grain in comparison with controls containing no defects. In addition, LVL containing actual knots was compared with the results obtained for equivalent size holes. Bending and shear properties of all specimens were determined. The evaluations for holes were made for a worst case scenario-the knots in each ply coïncident along one edge ofa furniture part. Species and number ofplies had a significant effect on all properties. Holes had an effect only after a threshold level of section loss was reached. A regression model was developed that predicts the effect of size, number, and location of holes on maximum load. Angled grain significantly reduced the properties of LVL. This information will better enable potential end-users to specify the type ofLVL that best meets their needs, which are discussed in the third paper in this series (6).","container-title":"FOREST PRODUCTS JOURNAL","issue":"9","language":"en","page":"5","source":"Zotero","title":"Material design faetors for hardwood laminated-veneer-lumber","volume":"37","author":[{"family":"Hoover","given":"William L"},{"family":"Ringe","given":"James M"},{"family":"Eckelman","given":"Cari A"},{"family":"Youngquist","given":"John A"}],"issued":{"date-parts":[["1987"]]}}},{"id":5230,"uris":["http://zotero.org/users/9031857/items/63TGMJN4"],"itemData":{"id":5230,"type":"article-journal","abstract":"Bending Properties of Laminated Veneer Lumber Produced from Keruing (Dipterocarpus sp.) Reinforced with Low Density Wood Species","container-title":"Asian Journal of Scientific Research","DOI":"10.3923/ajsr.2010.118.125","language":"en-gb","title":"Bending Properties of Laminated Veneer Lumber Produced from Keruing (Dipterocarpus sp.) Reinforced with Low Density Wood Species","URL":"https://scialert.net/abstract/?doi=ajsr.2010.118.125","author":[{"family":"H'ng","given":"P.S."},{"family":"Paridah","given":"M.T."},{"family":"Chin","given":"K.L."}],"accessed":{"date-parts":[["2022",7,26]]},"issued":{"date-parts":[["2010"]]}}},{"id":4414,"uris":["http://zotero.org/users/9031857/items/BWSKH4LK"],"itemData":{"id":4414,"type":"article-journal","abstract":"The quality of peeled veneers is generally quoted considering 3 main criteria: surface roughness, thickness variations and lathe checking. This last criterion impacts on mechanical properties of byproducts. It is well known that lathe checking occurrence can be reduced applying a good hygrothermal treatment of the round-wood before peeling coupled with optimised setting of pressure bar on the peeling lathe. It is also well known that thicker the veneer is and more difficult it is to reduce lathe checking and the other veneer defects.","container-title":"Maderas. Ciencia y tecnología","DOI":"10.4067/S0718-221X2011000100007","ISSN":"0718-221X","issue":"1","journalAbbreviation":"Maderas, Cienc. tecnol.","language":"en","page":"69-83","source":"DOI.org (Crossref)","title":"Influence of veneer quality on beech LVL mechanical properties","volume":"13","author":[{"family":"Daoui","given":"Abdelhakim"},{"family":"Descamps","given":"Clément"},{"family":"Marchal","given":"Rémy"},{"family":"Zerizer","given":"Abdellatif"}],"issued":{"date-parts":[["2011"]]}}}],"schema":"https://github.com/citation-style-language/schema/raw/master/csl-citation.json"} </w:instrText>
      </w:r>
      <w:r w:rsidR="00724C39">
        <w:fldChar w:fldCharType="separate"/>
      </w:r>
      <w:r w:rsidR="00B70FC9" w:rsidRPr="00B70FC9">
        <w:t>[7–10]</w:t>
      </w:r>
      <w:r w:rsidR="00724C39">
        <w:fldChar w:fldCharType="end"/>
      </w:r>
      <w:r w:rsidRPr="00790256">
        <w:t xml:space="preserve">. </w:t>
      </w:r>
    </w:p>
    <w:p w14:paraId="0EB562AE" w14:textId="49EC91AB" w:rsidR="002D41B1" w:rsidRPr="00790256" w:rsidRDefault="002D41B1" w:rsidP="00404C7A">
      <w:r w:rsidRPr="00790256">
        <w:t xml:space="preserve">Sur des essais de traction, Youngquist et </w:t>
      </w:r>
      <w:r w:rsidR="003E1BCF">
        <w:t>al.</w:t>
      </w:r>
      <w:r w:rsidRPr="00790256">
        <w:t xml:space="preserve"> montre</w:t>
      </w:r>
      <w:r>
        <w:t>nt</w:t>
      </w:r>
      <w:r w:rsidRPr="00790256">
        <w:t xml:space="preserve"> une augmentation de la rigidité et de la contrainte moyenne </w:t>
      </w:r>
      <w:r w:rsidR="003E1BCF">
        <w:t>avec l’augmentation du</w:t>
      </w:r>
      <w:r w:rsidRPr="00790256">
        <w:t xml:space="preserve"> nombre de plis dans un LVL</w:t>
      </w:r>
      <w:r w:rsidR="002372C5">
        <w:t xml:space="preserve"> de Douglas</w:t>
      </w:r>
      <w:r>
        <w:t>. C</w:t>
      </w:r>
      <w:r w:rsidRPr="00790256">
        <w:t>ependant</w:t>
      </w:r>
      <w:r>
        <w:t>,</w:t>
      </w:r>
      <w:r w:rsidRPr="00790256">
        <w:t xml:space="preserve"> la forte variabilité observé</w:t>
      </w:r>
      <w:r>
        <w:t>e</w:t>
      </w:r>
      <w:r w:rsidRPr="00790256">
        <w:t xml:space="preserve"> lors des essais ne leur permet pas de conclure avec certitude sur ce phénomène </w:t>
      </w:r>
      <w:r w:rsidRPr="00790256">
        <w:fldChar w:fldCharType="begin"/>
      </w:r>
      <w:r w:rsidR="00724C39">
        <w:instrText xml:space="preserve"> ADDIN ZOTERO_ITEM CSL_CITATION {"citationID":"St1EAjBW","properties":{"formattedCitation":"[11]","plainCitation":"[11]","noteIndex":0},"citationItems":[{"id":4447,"uris":["http://zotero.org/users/9031857/items/8PCK6N38"],"itemData":{"id":4447,"type":"article-journal","abstract":"Laminated veneer lumber (LVL) materials represent a design alternative for structural lumber users. The study of processing options for producing LVL in plywood manufacturing and glued-laminating facilities is of interest as this would allow existing production equipment to be used. This study was conducted in three phases to assess the feasibility of using visually graded veneer to produce 8-foot LVL lengths which, when end jointed, could be competitive with existing structural lumber products. Phase I evaluated panel-length 3/4-inch-thick LVL made from C- or D-grade 3/16-, 1/8-, or 1/10-inch-thick veneer, and the effect of specimen width on flexural and tensile properties. Phase II evaluated the use of vertical and horizontal finger joints and scarfjoints to join 3/4-inch thicknesses of LVL. Phase III investigated end-joint configurations for 1-1/2-inch thicknesses of LVL. Comparison of the LVL tensile properties with several grades of structural lumber shows that C-grade veneer in 1/8- and 1/10-inch thicknesses can be used to produce a structural product. No width effects could be detected in this study. The strengths of all of the LVL specimens (both unjointed and jointed) compared favorably with most highstrength lumber grades. The low variability of strength properties of the LVL contributed to this favorable strength comparison.","container-title":"FOREST PRODUCTS JOURNAL","language":"en","page":"8","source":"Zotero","title":"End jointing of laminated veneer lumber for structural use","author":[{"family":"Youngquist","given":"J A"},{"family":"Laufenberg","given":"T L"},{"family":"Bryant","given":"B S"}],"issued":{"date-parts":[["1984"]]}}}],"schema":"https://github.com/citation-style-language/schema/raw/master/csl-citation.json"} </w:instrText>
      </w:r>
      <w:r w:rsidRPr="00790256">
        <w:fldChar w:fldCharType="separate"/>
      </w:r>
      <w:r w:rsidR="00B70FC9" w:rsidRPr="00B70FC9">
        <w:t>[11]</w:t>
      </w:r>
      <w:r w:rsidRPr="00790256">
        <w:fldChar w:fldCharType="end"/>
      </w:r>
      <w:r w:rsidRPr="00790256">
        <w:t xml:space="preserve">. </w:t>
      </w:r>
    </w:p>
    <w:p w14:paraId="2E0884C9" w14:textId="734BC7D5" w:rsidR="002D41B1" w:rsidRDefault="0092451B" w:rsidP="0092451B">
      <w:r>
        <w:t>Cependant, les études précédentes ne s’intéresse</w:t>
      </w:r>
      <w:r w:rsidR="003E1BCF">
        <w:t>nt</w:t>
      </w:r>
      <w:r>
        <w:t xml:space="preserve"> pas à l’effet du nombre de pli d’épaisseur fixe sur les propriétés </w:t>
      </w:r>
      <w:r w:rsidR="009B3622">
        <w:t xml:space="preserve">du </w:t>
      </w:r>
      <w:r>
        <w:t xml:space="preserve">LVL </w:t>
      </w:r>
      <w:r w:rsidR="009B3622">
        <w:t>résultant</w:t>
      </w:r>
      <w:r>
        <w:t>. Seul</w:t>
      </w:r>
      <w:r w:rsidR="00B1784F">
        <w:t>s</w:t>
      </w:r>
      <w:r>
        <w:t xml:space="preserve">, </w:t>
      </w:r>
      <w:r w:rsidR="002D41B1" w:rsidRPr="00790256">
        <w:t xml:space="preserve">Lechner et </w:t>
      </w:r>
      <w:r w:rsidR="003E1BCF">
        <w:t xml:space="preserve">al. </w:t>
      </w:r>
      <w:r w:rsidR="002D41B1" w:rsidRPr="00790256">
        <w:t>montre</w:t>
      </w:r>
      <w:r w:rsidR="002D41B1">
        <w:t>nt</w:t>
      </w:r>
      <w:r w:rsidR="002D41B1" w:rsidRPr="00790256">
        <w:t xml:space="preserve"> sur des essais de traction avec des spécimens de 1,2 et 4 plis, une augmentation de la contrainte </w:t>
      </w:r>
      <w:r w:rsidR="002D41B1">
        <w:t>à</w:t>
      </w:r>
      <w:r w:rsidR="002D41B1" w:rsidRPr="00790256">
        <w:t xml:space="preserve"> </w:t>
      </w:r>
      <w:r w:rsidR="002D41B1">
        <w:t xml:space="preserve">la </w:t>
      </w:r>
      <w:r w:rsidR="002D41B1" w:rsidRPr="00790256">
        <w:t>rupture et de la rigidité</w:t>
      </w:r>
      <w:r w:rsidR="002D41B1">
        <w:t xml:space="preserve"> lorsque le nombre de </w:t>
      </w:r>
      <w:r w:rsidR="003E1BCF">
        <w:t xml:space="preserve">plis </w:t>
      </w:r>
      <w:r w:rsidR="002D41B1">
        <w:t>augmente</w:t>
      </w:r>
      <w:r w:rsidR="002D41B1" w:rsidRPr="00790256">
        <w:t xml:space="preserve">. </w:t>
      </w:r>
      <w:r w:rsidR="00B1784F">
        <w:t>Mais</w:t>
      </w:r>
      <w:r w:rsidR="002D41B1" w:rsidRPr="00790256">
        <w:t>, pour le LVL de 6 plis, les propriétés mécaniques sont inférieures en moyenne aux essais avec 4 plis</w:t>
      </w:r>
      <w:r w:rsidR="002D41B1">
        <w:t> :</w:t>
      </w:r>
      <w:r w:rsidR="002D41B1" w:rsidRPr="00790256">
        <w:t xml:space="preserve"> la dispersion ne </w:t>
      </w:r>
      <w:r w:rsidR="002D41B1">
        <w:t xml:space="preserve">leur </w:t>
      </w:r>
      <w:r w:rsidR="002D41B1" w:rsidRPr="00790256">
        <w:t>permet pas de conclure sur cette baisse de propriété</w:t>
      </w:r>
      <w:r w:rsidR="002D41B1">
        <w:t>s</w:t>
      </w:r>
      <w:r w:rsidR="002D41B1" w:rsidRPr="00790256">
        <w:t xml:space="preserve"> </w:t>
      </w:r>
      <w:r w:rsidR="002D41B1" w:rsidRPr="00790256">
        <w:fldChar w:fldCharType="begin"/>
      </w:r>
      <w:r w:rsidR="00680D77">
        <w:instrText xml:space="preserve"> ADDIN ZOTERO_ITEM CSL_CITATION {"citationID":"B1uRnLjN","properties":{"formattedCitation":"[12]","plainCitation":"[12]","noteIndex":0},"citationItems":[{"id":1407,"uris":["http://zotero.org/users/9031857/items/WIRIZ5GL"],"itemData":{"id":1407,"type":"article-journal","abstract":"This paper deals with the development of a novel veneer-reinforced timber product for load-bearing applications – veneer-reinforced timber. For this composite timber product, veneers are inserted vertically into a glulam cross-section to act as reinforcement for shear and tension stresses perpendicular to the grain. By arranging the veneer layers between the glulam components at angles of 0°, 45° and 90°, the highly anisotropic strength and stiffness properties of glulam are homogenized. By means of numerical simulations and experimental investigations, the load-bearing behavior and the efficiency of veneer-reinforced timber are investigated. The results substantiate a considerable increase in load bearing capacities of veneer-reinforced timber with notches, holes or cross connections. Studies and derived recommendations on the effect of the inclination of the veneer on the shrinkage behavior of this composite timber product conclude this paper.","container-title":"Construction and Building Materials","DOI":"10.1016/j.conbuildmat.2021.123880","ISSN":"0950-0618","journalAbbreviation":"Construction and Building Materials","language":"en","page":"123880","source":"ScienceDirect","title":"Veneer-reinforced timber – Numerical and experimental studies on a novel hybrid timber product","volume":"298","author":[{"family":"Lechner","given":"Markus"},{"family":"Dietsch","given":"Philipp"},{"family":"Winter","given":"Stefan"}],"issued":{"date-parts":[["2021",9,6]]}}}],"schema":"https://github.com/citation-style-language/schema/raw/master/csl-citation.json"} </w:instrText>
      </w:r>
      <w:r w:rsidR="002D41B1" w:rsidRPr="00790256">
        <w:fldChar w:fldCharType="separate"/>
      </w:r>
      <w:r w:rsidR="00680D77" w:rsidRPr="00680D77">
        <w:t>[12]</w:t>
      </w:r>
      <w:r w:rsidR="002D41B1" w:rsidRPr="00790256">
        <w:fldChar w:fldCharType="end"/>
      </w:r>
      <w:r w:rsidR="002D41B1" w:rsidRPr="00790256">
        <w:t xml:space="preserve">. </w:t>
      </w:r>
    </w:p>
    <w:p w14:paraId="7F0B74D8" w14:textId="2631C608" w:rsidR="002D41B1" w:rsidRDefault="002D41B1" w:rsidP="00404C7A">
      <w:r>
        <w:t>L’effet du nombre de plis sur les propriétés</w:t>
      </w:r>
      <w:r w:rsidRPr="00D74B9F">
        <w:t xml:space="preserve"> </w:t>
      </w:r>
      <w:r>
        <w:t>du LVL est souvent expliqué</w:t>
      </w:r>
      <w:r w:rsidRPr="00D74B9F">
        <w:t xml:space="preserve"> </w:t>
      </w:r>
      <w:r>
        <w:t>par les auteurs via des fissurations plus faibles dans les placages, mais aussi des quantités de colle plus importantes lorsque l’on augmente le nombre de plis dans un LVL. </w:t>
      </w:r>
      <w:r w:rsidR="00283FD5">
        <w:t>Toutefois</w:t>
      </w:r>
      <w:r>
        <w:t xml:space="preserve">, </w:t>
      </w:r>
      <w:r w:rsidR="00B1784F">
        <w:t>l’influence</w:t>
      </w:r>
      <w:r>
        <w:t xml:space="preserve"> du nombre de pli</w:t>
      </w:r>
      <w:r w:rsidR="00283FD5">
        <w:t xml:space="preserve"> d’</w:t>
      </w:r>
      <w:r>
        <w:t xml:space="preserve">épaisseur fixe, sur les propriétés du </w:t>
      </w:r>
      <w:r w:rsidR="00283FD5">
        <w:t>stratifié bois obtenu</w:t>
      </w:r>
      <w:r>
        <w:t xml:space="preserve"> n’est que peu traité dans la littérature</w:t>
      </w:r>
      <w:r w:rsidR="00283FD5">
        <w:t xml:space="preserve"> malgré son </w:t>
      </w:r>
      <w:r w:rsidR="007C1A8A">
        <w:t>intérêt</w:t>
      </w:r>
      <w:r w:rsidR="00283FD5">
        <w:t xml:space="preserve"> pour les structures.</w:t>
      </w:r>
      <w:r>
        <w:t xml:space="preserve">  </w:t>
      </w:r>
    </w:p>
    <w:p w14:paraId="5F5935E7" w14:textId="5810BFF8" w:rsidR="002D41B1" w:rsidRDefault="00D17DCD" w:rsidP="002D41B1">
      <w:r>
        <w:t xml:space="preserve">Cette étude vise donc à </w:t>
      </w:r>
      <w:r w:rsidR="002D41B1" w:rsidRPr="002A7054">
        <w:t xml:space="preserve">poursuivre les travaux menés par les membres de l'ICA depuis 2014 </w:t>
      </w:r>
      <w:r w:rsidR="00AF595F">
        <w:fldChar w:fldCharType="begin"/>
      </w:r>
      <w:r w:rsidR="00680D77">
        <w:instrText xml:space="preserve"> ADDIN ZOTERO_ITEM CSL_CITATION {"citationID":"fqa7ZbPh","properties":{"formattedCitation":"[13]","plainCitation":"[13]","noteIndex":0},"citationItems":[{"id":280,"uris":["http://zotero.org/users/9031857/items/5AUSQHVB"],"itemData":{"id":280,"type":"article-journal","abstract":"The impact behavior of innovative wood based sandwich structures with plywood core and skins made either of aluminum or of fiber reinforced polymer (carbon, glass, or flax composite skins) was investigated numerically. The wood based sandwich structures were subjected to low-velocity/low-energy impacts. An explicit nonlinear numerical model based on volume elements with a cohesive layer was developed. A plastic wood law already implemented in LS-DYNA was used in association with composite type damage criteria. Comparisons with experiments in terms of layer deformations and overall contact laws during impact showed satisfactory results.","container-title":"Mechanics of Advanced Materials and Structures","DOI":"10.1080/15376494.2018.1519619","ISSN":"1537-6494, 1537-6532","issue":"18","journalAbbreviation":"Mechanics of Advanced Materials and Structures","language":"en","note":"number: 18","page":"1583-1598","source":"DOI.org (Crossref)","title":"Numerical modeling of impact on wood-based sandwich structures","volume":"27","author":[{"family":"Susainathan","given":"John"},{"family":"Eyma","given":"Florent"},{"family":"De Luycker","given":"Emmanuel"},{"family":"Cantarel","given":"Arthur"},{"family":"Castanie","given":"Bruno"}],"issued":{"date-parts":[["2020",9,15]]}}}],"schema":"https://github.com/citation-style-language/schema/raw/master/csl-citation.json"} </w:instrText>
      </w:r>
      <w:r w:rsidR="00AF595F">
        <w:fldChar w:fldCharType="separate"/>
      </w:r>
      <w:r w:rsidR="00680D77" w:rsidRPr="00680D77">
        <w:t>[13]</w:t>
      </w:r>
      <w:r w:rsidR="00AF595F">
        <w:fldChar w:fldCharType="end"/>
      </w:r>
      <w:r w:rsidR="0092451B">
        <w:t>.</w:t>
      </w:r>
      <w:r w:rsidR="002D41B1" w:rsidRPr="002A7054">
        <w:t xml:space="preserve"> </w:t>
      </w:r>
      <w:r w:rsidR="0092451B">
        <w:t>D</w:t>
      </w:r>
      <w:r w:rsidR="002D41B1">
        <w:t>es LVL constitués de différents plis de peuplier sont caractérisés au travers d’</w:t>
      </w:r>
      <w:r w:rsidR="002D41B1" w:rsidRPr="002A7054">
        <w:t>une campagne d'essais de traction</w:t>
      </w:r>
      <w:r w:rsidR="002D41B1">
        <w:t xml:space="preserve"> uniaxiale</w:t>
      </w:r>
      <w:r w:rsidR="002D41B1" w:rsidRPr="002A7054">
        <w:t xml:space="preserve">. Cette campagne vise à comprendre et </w:t>
      </w:r>
      <w:r w:rsidR="002D41B1">
        <w:t xml:space="preserve">à </w:t>
      </w:r>
      <w:r w:rsidR="002D41B1" w:rsidRPr="002A7054">
        <w:t xml:space="preserve">identifier les propriétés mécaniques du </w:t>
      </w:r>
      <w:r w:rsidR="00283FD5">
        <w:t>stratifié bois</w:t>
      </w:r>
      <w:r w:rsidR="002D41B1" w:rsidRPr="002A7054">
        <w:t xml:space="preserve"> en </w:t>
      </w:r>
      <w:r w:rsidR="002D41B1">
        <w:t>fonction du nombre de pli qui le compose</w:t>
      </w:r>
      <w:r w:rsidR="003E1BCF">
        <w:t>nt</w:t>
      </w:r>
      <w:r w:rsidR="002D41B1" w:rsidRPr="002A7054">
        <w:t xml:space="preserve">. </w:t>
      </w:r>
      <w:r w:rsidR="002D41B1">
        <w:t xml:space="preserve">Les empilements choisis sont les suivants : </w:t>
      </w:r>
      <w:r w:rsidR="002D41B1" w:rsidRPr="002A7054">
        <w:t>[0°], [0°]</w:t>
      </w:r>
      <w:r w:rsidR="002D41B1" w:rsidRPr="00803545">
        <w:rPr>
          <w:vertAlign w:val="subscript"/>
        </w:rPr>
        <w:t>2</w:t>
      </w:r>
      <w:r w:rsidR="002D41B1" w:rsidRPr="002A7054">
        <w:t>, [0°]</w:t>
      </w:r>
      <w:r w:rsidR="002D41B1" w:rsidRPr="00803545">
        <w:rPr>
          <w:vertAlign w:val="subscript"/>
        </w:rPr>
        <w:t>3</w:t>
      </w:r>
      <w:r w:rsidR="002D41B1" w:rsidRPr="002A7054">
        <w:t>, [0°]</w:t>
      </w:r>
      <w:r w:rsidR="002D41B1">
        <w:rPr>
          <w:vertAlign w:val="subscript"/>
        </w:rPr>
        <w:t>5</w:t>
      </w:r>
      <w:r w:rsidR="002D41B1" w:rsidRPr="002A7054">
        <w:t>, [0°]</w:t>
      </w:r>
      <w:r w:rsidR="002D41B1">
        <w:rPr>
          <w:vertAlign w:val="subscript"/>
        </w:rPr>
        <w:t>7</w:t>
      </w:r>
      <w:r w:rsidR="002D41B1" w:rsidRPr="002A7054">
        <w:t>,</w:t>
      </w:r>
      <w:r w:rsidR="002D41B1">
        <w:t xml:space="preserve"> et </w:t>
      </w:r>
      <w:r w:rsidR="002D41B1" w:rsidRPr="002A7054">
        <w:t>[</w:t>
      </w:r>
      <w:r w:rsidR="002D41B1">
        <w:t>0</w:t>
      </w:r>
      <w:r w:rsidR="002D41B1" w:rsidRPr="002A7054">
        <w:t>°]</w:t>
      </w:r>
      <w:r w:rsidR="002D41B1">
        <w:rPr>
          <w:vertAlign w:val="subscript"/>
        </w:rPr>
        <w:t>9</w:t>
      </w:r>
      <w:r w:rsidR="002D41B1" w:rsidRPr="002A7054">
        <w:t xml:space="preserve">. </w:t>
      </w:r>
    </w:p>
    <w:p w14:paraId="3F812BCC" w14:textId="684F71CD" w:rsidR="00D17DCD" w:rsidRPr="005F35D1" w:rsidRDefault="00D17DCD" w:rsidP="00D17DCD">
      <w:pPr>
        <w:pStyle w:val="Titredeniveau1"/>
      </w:pPr>
      <w:r>
        <w:t>Matériel et méthode</w:t>
      </w:r>
    </w:p>
    <w:p w14:paraId="55CD80D7" w14:textId="77777777" w:rsidR="00D17DCD" w:rsidRPr="00D17DCD" w:rsidRDefault="00D17DCD" w:rsidP="00D17DCD">
      <w:pPr>
        <w:pStyle w:val="Paragraphedeliste"/>
        <w:numPr>
          <w:ilvl w:val="0"/>
          <w:numId w:val="1"/>
        </w:numPr>
        <w:contextualSpacing w:val="0"/>
        <w:rPr>
          <w:b/>
          <w:vanish/>
          <w:sz w:val="22"/>
          <w:szCs w:val="22"/>
        </w:rPr>
      </w:pPr>
    </w:p>
    <w:p w14:paraId="4226349E" w14:textId="77777777" w:rsidR="00D17DCD" w:rsidRPr="00D17DCD" w:rsidRDefault="00D17DCD" w:rsidP="00D17DCD">
      <w:pPr>
        <w:pStyle w:val="Paragraphedeliste"/>
        <w:numPr>
          <w:ilvl w:val="0"/>
          <w:numId w:val="1"/>
        </w:numPr>
        <w:contextualSpacing w:val="0"/>
        <w:rPr>
          <w:b/>
          <w:vanish/>
          <w:sz w:val="22"/>
          <w:szCs w:val="22"/>
        </w:rPr>
      </w:pPr>
    </w:p>
    <w:p w14:paraId="24E2489C" w14:textId="79FD5C09" w:rsidR="002F0A8A" w:rsidRDefault="005A68C6" w:rsidP="0092451B">
      <w:pPr>
        <w:pStyle w:val="Titredeniveau2"/>
      </w:pPr>
      <w:r>
        <w:t>Conception des éprouvettes</w:t>
      </w:r>
    </w:p>
    <w:p w14:paraId="2B9131A3" w14:textId="08BB7EFE" w:rsidR="00960683" w:rsidRDefault="00960683" w:rsidP="0092451B">
      <w:pPr>
        <w:rPr>
          <w:rStyle w:val="q4iawc"/>
        </w:rPr>
      </w:pPr>
      <w:r w:rsidRPr="009A5122">
        <w:rPr>
          <w:rStyle w:val="q4iawc"/>
        </w:rPr>
        <w:t xml:space="preserve">Les normes pour les essais de traction sur des contreplaqués préconisent la conception d’éprouvettes en « forme d’os » pour réduire la section transverse de l’éprouvette et éviter une rupture de cette dernière dans la zone des mors (DIN 52188). Compte tenu de la faible épaisseur des </w:t>
      </w:r>
      <w:r w:rsidR="0092451B">
        <w:rPr>
          <w:rStyle w:val="q4iawc"/>
        </w:rPr>
        <w:t>placages de bois</w:t>
      </w:r>
      <w:r w:rsidRPr="009A5122">
        <w:rPr>
          <w:rStyle w:val="q4iawc"/>
        </w:rPr>
        <w:t xml:space="preserve"> et </w:t>
      </w:r>
      <w:r>
        <w:rPr>
          <w:rStyle w:val="q4iawc"/>
        </w:rPr>
        <w:t xml:space="preserve">de </w:t>
      </w:r>
      <w:r w:rsidRPr="009A5122">
        <w:rPr>
          <w:rStyle w:val="q4iawc"/>
        </w:rPr>
        <w:t xml:space="preserve">leur fragilité, l’usinage de ces derniers pour obtenir une forme d’os </w:t>
      </w:r>
      <w:r w:rsidR="00283FD5">
        <w:rPr>
          <w:rStyle w:val="q4iawc"/>
        </w:rPr>
        <w:t>provoque</w:t>
      </w:r>
      <w:r w:rsidR="00283FD5" w:rsidRPr="009A5122">
        <w:rPr>
          <w:rStyle w:val="q4iawc"/>
        </w:rPr>
        <w:t xml:space="preserve"> </w:t>
      </w:r>
      <w:r w:rsidRPr="009A5122">
        <w:rPr>
          <w:rStyle w:val="q4iawc"/>
        </w:rPr>
        <w:t xml:space="preserve">chez certains auteurs la rupture des éprouvettes </w:t>
      </w:r>
      <w:r w:rsidRPr="009A5122">
        <w:rPr>
          <w:rStyle w:val="q4iawc"/>
        </w:rPr>
        <w:fldChar w:fldCharType="begin"/>
      </w:r>
      <w:r w:rsidR="00680D77">
        <w:rPr>
          <w:rStyle w:val="q4iawc"/>
        </w:rPr>
        <w:instrText xml:space="preserve"> ADDIN ZOTERO_ITEM CSL_CITATION {"citationID":"bOn7OSA8","properties":{"formattedCitation":"[14]","plainCitation":"[14]","noteIndex":0},"citationItems":[{"id":278,"uris":["http://zotero.org/users/9031857/items/EXGSLDQB"],"itemData":{"id":278,"type":"article-journal","abstract":"The development of high-performance, veneer-based wood composites is a topic of increasing importance due to the high design ﬂexibility and the comparable mechanical performance to solid wood. Part of this improved mechanical performance can be contributed to the size effect present in wood. Based on previous ﬁndings in the literature, this size effect can be either strengthening or weakening. The presented study investigates the inﬂuence of thickness and load angle on the tensile strength and tensile stiffness of peeled veneers compared to thin sawn timber. Veneers with thicknesses of 0.5 ± 0.05 mm, 1.0 ± 0.05 mm and 1.5 ± 0.05 mm as well as sawn wood with thicknesses of 1.5 ± 0.1 mm, 3.0 ± 0.1 mm and 5.0 ± 0.1 mm were tested in tension under different load angles (0◦, 45◦ and 90◦). The results only partly conﬁrm a size effect for strength parallel to the grain. The strength perpendicular to the grain increased signiﬁcantly between 0.5 mm and 1.5 mm, with a signiﬁcant decrease between 1.5 mm and 5.0 mm. The presence of lathe checks diminished the strength perpendicular to the grain of the veneers by about 70% compared to solid wood, partly overshadowing a possible strengthening effect. It was concluded that a transition from a strengthening to a weakening behaviour lies in the range of multiple millimetres, but further investigations are needed to quantify this zone more precisely. The presented results provide a useful basis for the development of veneer-based wood composites with a performance driven layer-thickness.","container-title":"Forests","DOI":"10.3390/f12010087","ISSN":"1999-4907","issue":"1","journalAbbreviation":"Forests","language":"en","note":"number: 1","page":"87","source":"DOI.org (Crossref)","title":"The Influence of Thickness on the Tensile Strength of Finnish Birch Veneers under Varying Load Angles","volume":"12","author":[{"family":"Pramreiter","given":"Maximilian"},{"family":"Stadlmann","given":"Alexander"},{"family":"Huber","given":"Christian"},{"family":"Konnerth","given":"Johannes"},{"family":"Halbauer","given":"Peter"},{"family":"Baumann","given":"Georg"},{"family":"Müller","given":"Ulrich"}],"issued":{"date-parts":[["2021",1,15]]}}}],"schema":"https://github.com/citation-style-language/schema/raw/master/csl-citation.json"} </w:instrText>
      </w:r>
      <w:r w:rsidRPr="009A5122">
        <w:rPr>
          <w:rStyle w:val="q4iawc"/>
        </w:rPr>
        <w:fldChar w:fldCharType="separate"/>
      </w:r>
      <w:r w:rsidR="00680D77" w:rsidRPr="00680D77">
        <w:t>[14]</w:t>
      </w:r>
      <w:r w:rsidRPr="009A5122">
        <w:rPr>
          <w:rStyle w:val="q4iawc"/>
        </w:rPr>
        <w:fldChar w:fldCharType="end"/>
      </w:r>
      <w:r w:rsidRPr="009A5122">
        <w:rPr>
          <w:rStyle w:val="q4iawc"/>
        </w:rPr>
        <w:t>. Le choix est donc souvent fait de caractériser des éprouvettes ayant une géométrie rectangulaire et d’ajouter des talons pour éviter une rupture dans les mors lors de l’essai de traction</w:t>
      </w:r>
      <w:r w:rsidR="004D100A">
        <w:rPr>
          <w:rStyle w:val="q4iawc"/>
        </w:rPr>
        <w:t xml:space="preserve"> </w:t>
      </w:r>
      <w:r w:rsidR="00AF595F">
        <w:rPr>
          <w:rStyle w:val="q4iawc"/>
        </w:rPr>
        <w:fldChar w:fldCharType="begin"/>
      </w:r>
      <w:r w:rsidR="001E7015">
        <w:rPr>
          <w:rStyle w:val="q4iawc"/>
        </w:rPr>
        <w:instrText xml:space="preserve"> ADDIN ZOTERO_ITEM CSL_CITATION {"citationID":"G1rogd6V","properties":{"formattedCitation":"[13], [15]\\uc0\\u8211{}[18]","plainCitation":"[13], [15]–[18]","dontUpdate":true,"noteIndex":0},"citationItems":[{"id":1407,"uris":["http://zotero.org/users/9031857/items/WIRIZ5GL"],"itemData":{"id":1407,"type":"article-journal","abstract":"This paper deals with the development of a novel veneer-reinforced timber product for load-bearing applications – veneer-reinforced timber. For this composite timber product, veneers are inserted vertically into a glulam cross-section to act as reinforcement for shear and tension stresses perpendicular to the grain. By arranging the veneer layers between the glulam components at angles of 0°, 45° and 90°, the highly anisotropic strength and stiffness properties of glulam are homogenized. By means of numerical simulations and experimental investigations, the load-bearing behavior and the efficiency of veneer-reinforced timber are investigated. The results substantiate a considerable increase in load bearing capacities of veneer-reinforced timber with notches, holes or cross connections. Studies and derived recommendations on the effect of the inclination of the veneer on the shrinkage behavior of this composite timber product conclude this paper.","container-title":"Construction and Building Materials","DOI":"10.1016/j.conbuildmat.2021.123880","ISSN":"0950-0618","journalAbbreviation":"Construction and Building Materials","language":"en","page":"123880","source":"ScienceDirect","title":"Veneer-reinforced timber – Numerical and experimental studies on a novel hybrid timber product","volume":"298","author":[{"family":"Lechner","given":"Markus"},{"family":"Dietsch","given":"Philipp"},{"family":"Winter","given":"Stefan"}],"issued":{"date-parts":[["2021",9,6]]}}},{"id":278,"uris":["http://zotero.org/users/9031857/items/EXGSLDQB"],"itemData":{"id":278,"type":"article-journal","abstract":"The development of high-performance, veneer-based wood composites is a topic of increasing importance due to the high design ﬂexibility and the comparable mechanical performance to solid wood. Part of this improved mechanical performance can be contributed to the size effect present in wood. Based on previous ﬁndings in the literature, this size effect can be either strengthening or weakening. The presented study investigates the inﬂuence of thickness and load angle on the tensile strength and tensile stiffness of peeled veneers compared to thin sawn timber. Veneers with thicknesses of 0.5 ± 0.05 mm, 1.0 ± 0.05 mm and 1.5 ± 0.05 mm as well as sawn wood with thicknesses of 1.5 ± 0.1 mm, 3.0 ± 0.1 mm and 5.0 ± 0.1 mm were tested in tension under different load angles (0◦, 45◦ and 90◦). The results only partly conﬁrm a size effect for strength parallel to the grain. The strength perpendicular to the grain increased signiﬁcantly between 0.5 mm and 1.5 mm, with a signiﬁcant decrease between 1.5 mm and 5.0 mm. The presence of lathe checks diminished the strength perpendicular to the grain of the veneers by about 70% compared to solid wood, partly overshadowing a possible strengthening effect. It was concluded that a transition from a strengthening to a weakening behaviour lies in the range of multiple millimetres, but further investigations are needed to quantify this zone more precisely. The presented results provide a useful basis for the development of veneer-based wood composites with a performance driven layer-thickness.","container-title":"Forests","DOI":"10.3390/f12010087","ISSN":"1999-4907","issue":"1","journalAbbreviation":"Forests","language":"en","note":"number: 1","page":"87","source":"DOI.org (Crossref)","title":"The Influence of Thickness on the Tensile Strength of Finnish Birch Veneers under Varying Load Angles","volume":"12","author":[{"family":"Pramreiter","given":"Maximilian"},{"family":"Stadlmann","given":"Alexander"},{"family":"Huber","given":"Christian"},{"family":"Konnerth","given":"Johannes"},{"family":"Halbauer","given":"Peter"},{"family":"Baumann","given":"Georg"},{"family":"Müller","given":"Ulrich"}],"issued":{"date-parts":[["2021",1,15]]}}},{"id":5073,"uris":["http://zotero.org/users/9031857/items/ND74GIP7"],"itemData":{"id":5073,"type":"article-journal","abstract":"Loblolly pine veneer specimens were obtained from five silviculturally different stands. Clear specimens were cut parallel to the grain from full size veneer sheets and tests were done at either air-dry or ovendry conditions to determine differences in bending modulus of rupture (MORb), bending modulus of elasticity (MOEb), tensile modulus of elasticity (MOEt), and tensile strength (TS). A statistical analysis revealed no significant difference between the stands for MORb, MOEb, and MOEt. There were no significant differences between air-dry and ovendry properties of MOEb, TS, and MOEt. Bending properties were significantly correlated, as were tensile properties.","container-title":"Forest Products Journal 47(11/12):92-96","language":"en","source":"www.fs.usda.gov","title":"Effects of silvicultural practice and moisture content level on lobolly pine veneer mechanical properties","URL":"http://www.fs.usda.gov/treesearch/pubs/8287","author":[{"family":"Shupe","given":"Todd F."},{"family":"Hse","given":"Chung-Yun"},{"family":"Choong","given":"Elvin T."},{"family":"Groom","given":"Leslie H."}],"accessed":{"date-parts":[["2022",6,14]]},"issued":{"date-parts":[["1998"]]}}},{"id":5079,"uris":["http://zotero.org/users/9031857/items/VHTTZDK3"],"itemData":{"id":5079,"type":"article-journal","container-title":"Forest Products Journal","language":"en","page":"7","source":"Zotero","title":"Tensile and dimensional properties of wood strands made from plantation southern pine lumber","author":[{"family":"Wu","given":"Qinglin"},{"family":"Cai","given":"Zhiyong"},{"family":"Lee","given":"Jong N"}],"issued":{"date-parts":[["2005"]]}}},{"id":1279,"uris":["http://zotero.org/users/9031857/items/YLICTMFG"],"itemData":{"id":1279,"type":"article-journal","abstract":"Previous studies were devoted to various applications of digital image correlation (DIC) to wood and wood-based composites. However, the focus of these studies was qualitative strain distribution. Overall, there is a lack of testing protocols of DIC for quantifying the elastic properties of woody materials. The objective of this study was to investigate the effects of different specimen thicknesses and loading rates on measurement of Young's modulus and Poisson's ratio by DIC. Young's modulus from DIC decreased as thickness increased at a loading rate of 0.254 mm min -1 . Comparing the different loading rates at a thickness of 0.794 mm, Young's modulus from DIC was not in agreement with the value obtained by means of the extensometer regardless of loading rate. However, Young's modulus from DIC at a thickness of 0.381 mm and a loading rate of 0.254 mm min -1 was in good agreement with the corresponding Young's modulus obtained by an extensometer. Poisson's ratio measured from different loading rates and specimen thicknesses was not significantly different between the two measurement systems. From the testing arrangement applied for this study, it is recommended that DIC should be applied at a loading rate of 0.254 mm min -1 or slower for strands with a thickness of 0.381 mm or less.","container-title":"Holzforschung","DOI":"10.1515/hf.2010.110","ISSN":"1437-434X","issue":"6","language":"en","note":"publisher: De Gruyter\nsection: Holzforschung","page":"729-734","source":"www.degruyter.com","title":"Applying digital image correlation to wood strands: Influence of loading rate and specimen thickness","title-short":"Applying digital image correlation to wood strands","volume":"64","author":[{"family":"Jeong","given":"Gi Young"},{"family":"Zink-Sharp","given":"Audrey"},{"family":"Hindman","given":"Daniel P."}],"issued":{"date-parts":[["2010",10,1]]}}}],"schema":"https://github.com/citation-style-language/schema/raw/master/csl-citation.json"} </w:instrText>
      </w:r>
      <w:r w:rsidR="00AF595F">
        <w:rPr>
          <w:rStyle w:val="q4iawc"/>
        </w:rPr>
        <w:fldChar w:fldCharType="separate"/>
      </w:r>
      <w:r w:rsidR="00B70FC9" w:rsidRPr="00B70FC9">
        <w:t>[1</w:t>
      </w:r>
      <w:r w:rsidR="00680D77">
        <w:t>2</w:t>
      </w:r>
      <w:r w:rsidR="00B70FC9" w:rsidRPr="00B70FC9">
        <w:t>, 1</w:t>
      </w:r>
      <w:r w:rsidR="00680D77">
        <w:t>4</w:t>
      </w:r>
      <w:r w:rsidR="00B70FC9" w:rsidRPr="00B70FC9">
        <w:t>–1</w:t>
      </w:r>
      <w:r w:rsidR="00680D77">
        <w:t>7</w:t>
      </w:r>
      <w:r w:rsidR="00B70FC9" w:rsidRPr="00B70FC9">
        <w:t>]</w:t>
      </w:r>
      <w:r w:rsidR="00AF595F">
        <w:rPr>
          <w:rStyle w:val="q4iawc"/>
        </w:rPr>
        <w:fldChar w:fldCharType="end"/>
      </w:r>
      <w:r w:rsidRPr="009A5122">
        <w:rPr>
          <w:rStyle w:val="q4iawc"/>
        </w:rPr>
        <w:t>.</w:t>
      </w:r>
    </w:p>
    <w:p w14:paraId="225B21C6" w14:textId="0C08096D" w:rsidR="00C417C4" w:rsidRPr="00C417C4" w:rsidRDefault="0092451B" w:rsidP="00C417C4">
      <w:pPr>
        <w:rPr>
          <w:highlight w:val="yellow"/>
        </w:rPr>
      </w:pPr>
      <w:r>
        <w:t>De plus</w:t>
      </w:r>
      <w:r w:rsidRPr="002F0A8A">
        <w:t>,</w:t>
      </w:r>
      <w:r w:rsidR="00AF595F">
        <w:t xml:space="preserve"> comme</w:t>
      </w:r>
      <w:r w:rsidRPr="002F0A8A">
        <w:t xml:space="preserve"> pour l</w:t>
      </w:r>
      <w:r w:rsidR="00AF595F">
        <w:t>es</w:t>
      </w:r>
      <w:r w:rsidRPr="002F0A8A">
        <w:t xml:space="preserve"> </w:t>
      </w:r>
      <w:r w:rsidR="00AF595F" w:rsidRPr="002F0A8A">
        <w:t>matériaux</w:t>
      </w:r>
      <w:r w:rsidRPr="002F0A8A">
        <w:t xml:space="preserve"> composites, il est montré que, de par les propriétés orthotropes du matériau, cette forme en</w:t>
      </w:r>
      <w:r w:rsidR="00AF595F">
        <w:t xml:space="preserve"> </w:t>
      </w:r>
      <w:r w:rsidRPr="002F0A8A">
        <w:t xml:space="preserve">os </w:t>
      </w:r>
      <w:r w:rsidR="00B75DFF">
        <w:t>de chien peut</w:t>
      </w:r>
      <w:r w:rsidR="00B75DFF" w:rsidRPr="002F0A8A">
        <w:t xml:space="preserve"> </w:t>
      </w:r>
      <w:r w:rsidRPr="002F0A8A">
        <w:t>favorise</w:t>
      </w:r>
      <w:r w:rsidR="00AF595F">
        <w:t>r</w:t>
      </w:r>
      <w:r w:rsidRPr="002F0A8A">
        <w:t xml:space="preserve"> une rupture par cisaillement dans les mors</w:t>
      </w:r>
      <w:r w:rsidR="00AF595F">
        <w:t xml:space="preserve"> </w:t>
      </w:r>
      <w:r w:rsidR="00C417C4">
        <w:t xml:space="preserve">ou en dehors de la zone d’étude </w:t>
      </w:r>
      <w:r w:rsidR="00AF595F">
        <w:fldChar w:fldCharType="begin"/>
      </w:r>
      <w:r w:rsidR="001E7015">
        <w:instrText xml:space="preserve"> ADDIN ZOTERO_ITEM CSL_CITATION {"citationID":"xPPx2KaL","properties":{"formattedCitation":"[19], [20]","plainCitation":"[19], [20]","dontUpdate":true,"noteIndex":0},"citationItems":[{"id":5763,"uris":["http://zotero.org/users/9031857/items/3JFCSRRC"],"itemData":{"id":5763,"type":"article-journal","abstract":"Background:\n              Testing standards prescribe dog-bone samples for the determination of clear-wood longitudinal tensile strength. However, the literature reports a high number of invalid tests due to the unexpected failure of the sample outside the gauge length.\n            \n            \n              Motivation:\n              The paper aims at understanding the reason for the premature failure of dog-bone samples and suggesting possible strategies for improving testing protocols.\n            \n            \n              Methods:\n              The paper starts with a comparative review of standards for different orthotropic materials. Thereafter, it analyzes the stress distribution in a clear-wood dog-bone sample using a recently proposed stress-recovery procedure and Finite Elements. Finally, the sample failure is considered applying Tsai-Wu and SIA criteria.\n            \n            \n              Results:\n              Comparative review highlights the controversy on the choice of the sample geometry. Both analytical and numerical results confirm the presence of shear and transversal stresses in necking regions, overlapping with axial stress greater (up to 2%) than the one in the gauge region. As a consequence, clear-wood dog-bone samples fail not due to a pure axial stress state in the gauge region (as expected), but due to complex stress state in necking region, where failure index is 4 ~ 5% greater than the one in gauge region.\n            \n            \n              Conclusion:\n              Assuming that dog-bone samples fail in the gauge region due to pure axial stress is simplistic, as demonstrated by analytical and numerical evidence. As a consequence, interpretations of experimental results based on this belief are misleading and testing protocols should be refined. Indeed, the presence of spurious stresses interfering with expected pure axial stress seems unavoidable. Therefore, clear-wood testing standards should allow to use prismatic samples or, alternatively, to consider as valid also tests on samples breaking outside the gauge region. Both the proposed solutions apparently reduce the accuracy of the experiments, while in contrast, they provide the best achievable results, speeding up the testing procedure and reducing the testing costs.","container-title":"The Open Civil Engineering Journal","DOI":"10.2174/1874149502115010001","ISSN":"1874-1495","issue":"1","journalAbbreviation":"TOCIEJ","language":"en","page":"1-12","source":"DOI.org (Crossref)","title":"Dog-bone Samples may not Provide Direct Access to the Longitudinal Tensile Strength of Clear-wood","volume":"15","author":[{"family":"Balduzzi","given":"Giuseppe"},{"family":"Zelaya-Lainez","given":"Luis"},{"family":"Hochreiner","given":"Georg"},{"family":"Hellmich","given":"Christian"}],"issued":{"date-parts":[["2021",2,22]]}}},{"id":5959,"uris":["http://zotero.org/users/9031857/items/4WQP4LK2"],"itemData":{"id":5959,"type":"article-journal","abstract":"The tension test parallel-to-fiber in anisotropic materials, such as bamboo, is one of the most important tests because it makes it possible to evaluate mechanical properties used in calculations for different types of stresses. For this type of test there are standards that apply to wood in general, others to bamboo, and other more specific ones that apply to bamboo Guadua angustifolia Kunth. These rules suggest the use of dog bone test specimens. When performing such tests parallel to the fiber direction, failures are observed in undesired zones. This document characterizes and analyzes the possible types of failures. It also evidences the difficulties presented and quantifies them finding that, for 59 failed test pieces, only 18.6% had failures within the desired zones, while the other 81.4% had failures within undesired zones in the tension test parallel to the fiber. Finally, it can be concluded that there are gaps in the rules that influence the variation of the results obtained by different authors. The dog bone test specimens are not recommended for tension tests parallel to the Guadua fiber. Rather, utilization of straight specimens is recommended with a calculated clamping height and the standard equation and protected clamping area.","container-title":"BioResources","DOI":"10.15376/biores.16.2.3214-3223","ISSN":"19302126, 19302126","issue":"2","journalAbbreviation":"BioRes","language":"en","page":"3214-3223","source":"DOI.org (Crossref)","title":"Determination of the suitable shape for tensile tests parallel to the fibers in Guadua angustifolia Kunth specimens","volume":"16","author":[{"family":"Acosta","given":"Ricardo"},{"family":"Montoya","given":"Jorge A."},{"family":"Welling","given":"Johannes"}],"issued":{"date-parts":[["2021",3,11]]}}}],"schema":"https://github.com/citation-style-language/schema/raw/master/csl-citation.json"} </w:instrText>
      </w:r>
      <w:r w:rsidR="00AF595F">
        <w:fldChar w:fldCharType="separate"/>
      </w:r>
      <w:r w:rsidR="00B70FC9" w:rsidRPr="00B70FC9">
        <w:t>[1</w:t>
      </w:r>
      <w:r w:rsidR="00680D77">
        <w:t>8</w:t>
      </w:r>
      <w:r w:rsidR="00B70FC9" w:rsidRPr="00B70FC9">
        <w:t xml:space="preserve">, </w:t>
      </w:r>
      <w:r w:rsidR="00680D77">
        <w:t>19</w:t>
      </w:r>
      <w:r w:rsidR="00B70FC9" w:rsidRPr="00B70FC9">
        <w:t>]</w:t>
      </w:r>
      <w:r w:rsidR="00AF595F">
        <w:fldChar w:fldCharType="end"/>
      </w:r>
      <w:r w:rsidRPr="002F0A8A">
        <w:t xml:space="preserve">. Balduzzi et al </w:t>
      </w:r>
      <w:r w:rsidRPr="002F0A8A">
        <w:fldChar w:fldCharType="begin"/>
      </w:r>
      <w:r w:rsidR="00680D77">
        <w:instrText xml:space="preserve"> ADDIN ZOTERO_ITEM CSL_CITATION {"citationID":"mvo3gTEH","properties":{"formattedCitation":"[18]","plainCitation":"[18]","noteIndex":0},"citationItems":[{"id":5763,"uris":["http://zotero.org/users/9031857/items/3JFCSRRC"],"itemData":{"id":5763,"type":"article-journal","abstract":"Background:\n              Testing standards prescribe dog-bone samples for the determination of clear-wood longitudinal tensile strength. However, the literature reports a high number of invalid tests due to the unexpected failure of the sample outside the gauge length.\n            \n            \n              Motivation:\n              The paper aims at understanding the reason for the premature failure of dog-bone samples and suggesting possible strategies for improving testing protocols.\n            \n            \n              Methods:\n              The paper starts with a comparative review of standards for different orthotropic materials. Thereafter, it analyzes the stress distribution in a clear-wood dog-bone sample using a recently proposed stress-recovery procedure and Finite Elements. Finally, the sample failure is considered applying Tsai-Wu and SIA criteria.\n            \n            \n              Results:\n              Comparative review highlights the controversy on the choice of the sample geometry. Both analytical and numerical results confirm the presence of shear and transversal stresses in necking regions, overlapping with axial stress greater (up to 2%) than the one in the gauge region. As a consequence, clear-wood dog-bone samples fail not due to a pure axial stress state in the gauge region (as expected), but due to complex stress state in necking region, where failure index is 4 ~ 5% greater than the one in gauge region.\n            \n            \n              Conclusion:\n              Assuming that dog-bone samples fail in the gauge region due to pure axial stress is simplistic, as demonstrated by analytical and numerical evidence. As a consequence, interpretations of experimental results based on this belief are misleading and testing protocols should be refined. Indeed, the presence of spurious stresses interfering with expected pure axial stress seems unavoidable. Therefore, clear-wood testing standards should allow to use prismatic samples or, alternatively, to consider as valid also tests on samples breaking outside the gauge region. Both the proposed solutions apparently reduce the accuracy of the experiments, while in contrast, they provide the best achievable results, speeding up the testing procedure and reducing the testing costs.","container-title":"The Open Civil Engineering Journal","DOI":"10.2174/1874149502115010001","ISSN":"1874-1495","issue":"1","journalAbbreviation":"TOCIEJ","language":"en","page":"1-12","source":"DOI.org (Crossref)","title":"Dog-bone Samples may not Provide Direct Access to the Longitudinal Tensile Strength of Clear-wood","volume":"15","author":[{"family":"Balduzzi","given":"Giuseppe"},{"family":"Zelaya-Lainez","given":"Luis"},{"family":"Hochreiner","given":"Georg"},{"family":"Hellmich","given":"Christian"}],"issued":{"date-parts":[["2021",2,22]]}}}],"schema":"https://github.com/citation-style-language/schema/raw/master/csl-citation.json"} </w:instrText>
      </w:r>
      <w:r w:rsidRPr="002F0A8A">
        <w:fldChar w:fldCharType="separate"/>
      </w:r>
      <w:r w:rsidR="00680D77" w:rsidRPr="00680D77">
        <w:t>[18]</w:t>
      </w:r>
      <w:r w:rsidRPr="002F0A8A">
        <w:fldChar w:fldCharType="end"/>
      </w:r>
      <w:r w:rsidRPr="002F0A8A">
        <w:t xml:space="preserve"> montrent analytiquement et numériquement la présence de contraintes de cisaillement et transversales dans les régions de rétrécissement de la forme en os. Par conséquent, les éprouvettes en forme d’os de chien ne se rompent pas en raison d'un état de contrainte axiale pure. Pour cette raison, la norme ASTM D3039, utilisé</w:t>
      </w:r>
      <w:r w:rsidR="00B75DFF">
        <w:t>e</w:t>
      </w:r>
      <w:r w:rsidRPr="002F0A8A">
        <w:t xml:space="preserve"> pour l</w:t>
      </w:r>
      <w:r w:rsidR="00C417C4">
        <w:t>es</w:t>
      </w:r>
      <w:r w:rsidRPr="002F0A8A">
        <w:t xml:space="preserve"> </w:t>
      </w:r>
      <w:r w:rsidR="00C417C4" w:rsidRPr="002F0A8A">
        <w:t>matériaux</w:t>
      </w:r>
      <w:r w:rsidRPr="002F0A8A">
        <w:t xml:space="preserve"> composites, sera choisi</w:t>
      </w:r>
      <w:r w:rsidR="00B75DFF">
        <w:t>e</w:t>
      </w:r>
      <w:r w:rsidRPr="002F0A8A">
        <w:t xml:space="preserve"> pour caractériser les modules élastiques transverses et longitudina</w:t>
      </w:r>
      <w:r w:rsidR="00B75DFF">
        <w:t>ux</w:t>
      </w:r>
      <w:r w:rsidRPr="002F0A8A">
        <w:t xml:space="preserve">, le </w:t>
      </w:r>
      <w:r w:rsidRPr="002F0A8A">
        <w:lastRenderedPageBreak/>
        <w:t xml:space="preserve">coefficient de poisson dans le plan, </w:t>
      </w:r>
      <w:r w:rsidR="00B75DFF" w:rsidRPr="002F0A8A">
        <w:t xml:space="preserve">ainsi que </w:t>
      </w:r>
      <w:r w:rsidR="00283FD5" w:rsidRPr="002F0A8A">
        <w:t>l</w:t>
      </w:r>
      <w:r w:rsidR="00283FD5">
        <w:t>es</w:t>
      </w:r>
      <w:r w:rsidR="00283FD5" w:rsidRPr="002F0A8A">
        <w:t xml:space="preserve"> </w:t>
      </w:r>
      <w:r w:rsidRPr="002F0A8A">
        <w:t>contrainte</w:t>
      </w:r>
      <w:r w:rsidR="00283FD5">
        <w:t>s</w:t>
      </w:r>
      <w:r w:rsidRPr="002F0A8A">
        <w:t xml:space="preserve"> et déformation</w:t>
      </w:r>
      <w:r w:rsidR="00283FD5">
        <w:t>s</w:t>
      </w:r>
      <w:r w:rsidRPr="002F0A8A">
        <w:t xml:space="preserve"> à la rupture. Les éprouvettes seront donc de géométrie rectangulaire et avec des talons, de sorte à limiter les concentrations de contrainte, et donc la rupture, dans les mors de la machine d’essai. </w:t>
      </w:r>
    </w:p>
    <w:p w14:paraId="76D84A2C" w14:textId="4E894987" w:rsidR="00F14841" w:rsidRDefault="00C417C4" w:rsidP="00C417C4">
      <w:r w:rsidRPr="00C417C4">
        <w:t xml:space="preserve">Six configurations </w:t>
      </w:r>
      <w:r w:rsidR="00B75DFF">
        <w:t>d’éprouvettes</w:t>
      </w:r>
      <w:r w:rsidRPr="00C417C4">
        <w:t xml:space="preserve"> ont été réalisées pour cette étude : [0°], [0°]</w:t>
      </w:r>
      <w:r w:rsidRPr="00C417C4">
        <w:rPr>
          <w:vertAlign w:val="subscript"/>
        </w:rPr>
        <w:t>2</w:t>
      </w:r>
      <w:r w:rsidRPr="00C417C4">
        <w:t>, [0°]</w:t>
      </w:r>
      <w:r w:rsidRPr="00C417C4">
        <w:rPr>
          <w:vertAlign w:val="subscript"/>
        </w:rPr>
        <w:t>3</w:t>
      </w:r>
      <w:r w:rsidRPr="00C417C4">
        <w:t>, [0°]</w:t>
      </w:r>
      <w:r w:rsidRPr="00C417C4">
        <w:rPr>
          <w:vertAlign w:val="subscript"/>
        </w:rPr>
        <w:t>5</w:t>
      </w:r>
      <w:r w:rsidRPr="00C417C4">
        <w:t>, [0°]</w:t>
      </w:r>
      <w:r w:rsidRPr="00C417C4">
        <w:rPr>
          <w:vertAlign w:val="subscript"/>
        </w:rPr>
        <w:t>7</w:t>
      </w:r>
      <w:r w:rsidRPr="00C417C4">
        <w:t>, et [0°]</w:t>
      </w:r>
      <w:r w:rsidRPr="00C417C4">
        <w:rPr>
          <w:vertAlign w:val="subscript"/>
        </w:rPr>
        <w:t>9</w:t>
      </w:r>
      <w:r w:rsidRPr="00C417C4">
        <w:t>.</w:t>
      </w:r>
      <w:r>
        <w:t xml:space="preserve"> </w:t>
      </w:r>
      <w:r w:rsidR="00F14841">
        <w:t>Des placages de bois de peuplier (Populus</w:t>
      </w:r>
      <w:r w:rsidR="00B75DFF">
        <w:t xml:space="preserve">- </w:t>
      </w:r>
      <w:r w:rsidR="00F14841">
        <w:t>Koster</w:t>
      </w:r>
      <w:r w:rsidR="00B75DFF">
        <w:t>)</w:t>
      </w:r>
      <w:r w:rsidR="00F14841">
        <w:t xml:space="preserve"> de 1mm </w:t>
      </w:r>
      <w:r>
        <w:t>s</w:t>
      </w:r>
      <w:r w:rsidR="00F14841">
        <w:t>ont utilisés</w:t>
      </w:r>
      <w:r w:rsidR="00283FD5">
        <w:t>.</w:t>
      </w:r>
      <w:r w:rsidR="00F14841">
        <w:t xml:space="preserve"> Les placages, fournis par le laboratoire LaBoMaP de Cluny, ont été produits à l’aide d’une dérouleuse. </w:t>
      </w:r>
      <w:r w:rsidR="00B75DFF">
        <w:t xml:space="preserve">La masse volumique des placages de peuplier était de 348 kg/m3 ± 4% pour une </w:t>
      </w:r>
      <w:r w:rsidR="00F14841">
        <w:t xml:space="preserve">teneur en humidité du bois </w:t>
      </w:r>
      <w:r w:rsidR="00B75DFF">
        <w:t>avant collage de</w:t>
      </w:r>
      <w:r w:rsidR="00F14841">
        <w:t xml:space="preserve"> 10,1±0,4 %</w:t>
      </w:r>
      <w:r>
        <w:t xml:space="preserve">. </w:t>
      </w:r>
      <w:r w:rsidR="00F14841">
        <w:t xml:space="preserve">Les placages ont ensuite été empilés et pressés pendant 5 heures à 10 bars et 25°C. La colle à bois utilisée pour fabriquer le </w:t>
      </w:r>
      <w:r w:rsidR="00B75DFF">
        <w:t xml:space="preserve">LVL </w:t>
      </w:r>
      <w:r w:rsidR="00F14841">
        <w:t>était la Kleiberit PUR 510 FIBERBOND, une colle monocomposante à base de polyuréthane qui durcit par réaction avec l'humidité. La quantité de colle utilisée était de 250 g/m</w:t>
      </w:r>
      <w:r w:rsidR="00F14841" w:rsidRPr="00B1784F">
        <w:rPr>
          <w:vertAlign w:val="superscript"/>
        </w:rPr>
        <w:t>2</w:t>
      </w:r>
      <w:r w:rsidR="00F14841">
        <w:t xml:space="preserve">. </w:t>
      </w:r>
    </w:p>
    <w:p w14:paraId="4600DC67" w14:textId="58CB8D11" w:rsidR="00F14841" w:rsidRDefault="00F14841" w:rsidP="00F14841">
      <w:r>
        <w:t xml:space="preserve">Il est important de noter que lors de la fabrication des placages, des fissures de déroulage se créent sur l’une des faces des placages </w:t>
      </w:r>
      <w:r>
        <w:fldChar w:fldCharType="begin"/>
      </w:r>
      <w:r w:rsidR="001E7015">
        <w:instrText xml:space="preserve"> ADDIN ZOTERO_ITEM CSL_CITATION {"citationID":"qyIRKVfi","properties":{"formattedCitation":"[21], [22]","plainCitation":"[21], [22]","dontUpdate":true,"noteIndex":0},"citationItems":[{"id":1424,"uris":["http://zotero.org/users/9031857/items/FEN4YEVB"],"itemData":{"id":1424,"type":"article-journal","abstract":"Lathe check phenomenon is well known as one of the major veneer defects since it could affect bonding quality, mechanical quality and handling ability of the veneers. This phenomenon is resulting from the cutting geometry and the mechanical properties of wood. If the difference between the density of early and late wood is moderated, this phenomenon can be considered as nearly periodical according to many authors. Using a specifically designed apparatus called SMOF (Système de Mesure d’Ouverture des Fissures), some thousands of lathe checks were characterized by their depth and frequency on some species. This large database allows describing reliably the distribution of these parameters in function of the most important cutting parameters as veneer thickness, soaking temperature, pressure rate and cutting speed. This paper proposes a synthesis and an analysis of these results. These large experimental results can be used not only to adapt peeling parameters to control lathe check phenomenon, but also to calibrate and validate a cutting model of peeling process (0-90 cutting mode).","language":"en","page":"11","source":"Zotero","title":"Influence of Peeling Process Parameters on Veneer Lathe Check Properties","author":[{"family":"Denaud","given":"L"},{"family":"Marcon","given":"B"},{"family":"Rohumaa","given":"A"},{"family":"Purba","given":"C"},{"family":"Viguier","given":"J"},{"family":"Letourneau","given":"R"},{"family":"Marchal","given":"R"}],"issued":{"date-parts":[["2019",8]]}}},{"id":4530,"uris":["http://zotero.org/users/9031857/items/TVK7CYBI"],"itemData":{"id":4530,"type":"article-journal","abstract":"Laminated veneer lumber (LVL) is a well-known high-performance engineered wood product obtained by bounding veneers together in grain direction. The peeling process induce lathe checks of the veneer with various depths and spatial frequencies. In this study, the effect of lathe checks on LVL longitudinal modulus of elasticity and shear modulus in both edgewise and flatwise bending directions is investigated by using different peeling settings and by performing dynamic mechanical measurements. Both the longitudinal modulus of elasticity and the shear modulus appear to be affected by lathe checks in flatwise and edgewise bending directions. The decrease in shear modulus is particularly significant since it can be halved. This behaviour can be explained by the shear stress concentrations due to lathe checks, which were highlighted by a previous numerical study. The influence of lathe checks on shear modulus was underestimated and could be a concern for structural applications.","source":"ResearchGate","title":"Experimental study of the influence of veneer lathe checks on LVL elastic mechanical properties","author":[{"family":"Pot","given":"Guillaume"},{"family":"Denaud","given":"Louis"},{"family":"Butaud","given":"Jean-Claude"},{"family":"Girardon","given":"Stéphane"},{"family":"Collet","given":"Robert"},{"family":"Cottin","given":"Fabrice"}],"issued":{"date-parts":[["2016",8,22]]}}}],"schema":"https://github.com/citation-style-language/schema/raw/master/csl-citation.json"} </w:instrText>
      </w:r>
      <w:r>
        <w:fldChar w:fldCharType="separate"/>
      </w:r>
      <w:r w:rsidR="00B70FC9" w:rsidRPr="00B70FC9">
        <w:t>[2</w:t>
      </w:r>
      <w:r w:rsidR="00680D77">
        <w:t>0</w:t>
      </w:r>
      <w:r w:rsidR="00B70FC9" w:rsidRPr="00B70FC9">
        <w:t>, 2</w:t>
      </w:r>
      <w:r w:rsidR="00680D77">
        <w:t>1</w:t>
      </w:r>
      <w:r w:rsidR="00B70FC9" w:rsidRPr="00B70FC9">
        <w:t>]</w:t>
      </w:r>
      <w:r>
        <w:fldChar w:fldCharType="end"/>
      </w:r>
      <w:r>
        <w:t xml:space="preserve">. </w:t>
      </w:r>
      <w:r w:rsidRPr="00E6186A">
        <w:t xml:space="preserve">Le </w:t>
      </w:r>
      <w:r w:rsidR="00B75DFF">
        <w:t>LVL</w:t>
      </w:r>
      <w:r w:rsidR="00B75DFF" w:rsidRPr="00E6186A">
        <w:t xml:space="preserve"> </w:t>
      </w:r>
      <w:r w:rsidRPr="00E6186A">
        <w:t>fabriqué pour la mise en place d</w:t>
      </w:r>
      <w:r w:rsidR="004D100A">
        <w:t>es éprouvettes</w:t>
      </w:r>
      <w:r w:rsidRPr="00E6186A">
        <w:t xml:space="preserve"> tient compte du positionnement des </w:t>
      </w:r>
      <w:r>
        <w:t>fissure de déroulage</w:t>
      </w:r>
      <w:r w:rsidRPr="00E6186A">
        <w:t xml:space="preserve"> présentes dans les placages de Koster</w:t>
      </w:r>
      <w:r>
        <w:t xml:space="preserve"> </w:t>
      </w:r>
      <w:r w:rsidR="00327008" w:rsidRPr="00D805CE">
        <w:t xml:space="preserve">(Fig. 1). </w:t>
      </w:r>
      <w:r w:rsidRPr="00E6186A">
        <w:t>Un total de 1</w:t>
      </w:r>
      <w:r w:rsidR="005A68C6">
        <w:t>5</w:t>
      </w:r>
      <w:r w:rsidRPr="00E6186A">
        <w:t xml:space="preserve"> </w:t>
      </w:r>
      <w:r w:rsidR="00B75DFF">
        <w:t>éprouvette</w:t>
      </w:r>
      <w:r w:rsidR="00B75DFF" w:rsidRPr="00E6186A">
        <w:t xml:space="preserve">s </w:t>
      </w:r>
      <w:r w:rsidRPr="00E6186A">
        <w:t xml:space="preserve">par configuration a été </w:t>
      </w:r>
      <w:r w:rsidR="005A68C6">
        <w:t>fabriqué</w:t>
      </w:r>
      <w:r w:rsidRPr="00E6186A">
        <w:t>. Les éprouvettes</w:t>
      </w:r>
      <w:r w:rsidR="005A68C6">
        <w:t xml:space="preserve"> de traction</w:t>
      </w:r>
      <w:r w:rsidRPr="00E6186A">
        <w:t xml:space="preserve"> ont des dimensions </w:t>
      </w:r>
      <w:r>
        <w:t xml:space="preserve">nominales </w:t>
      </w:r>
      <w:r w:rsidRPr="00E6186A">
        <w:t>de 250×25</w:t>
      </w:r>
      <w:r w:rsidR="00604F1D" w:rsidRPr="00E6186A">
        <w:t>×</w:t>
      </w:r>
      <w:r w:rsidR="005A68C6">
        <w:t xml:space="preserve"> épaisseur du LVL</w:t>
      </w:r>
      <w:r w:rsidR="00B75DFF">
        <w:t xml:space="preserve"> mm</w:t>
      </w:r>
      <w:r w:rsidR="00B75DFF" w:rsidRPr="004D100A">
        <w:rPr>
          <w:vertAlign w:val="superscript"/>
        </w:rPr>
        <w:t>3</w:t>
      </w:r>
      <w:r w:rsidR="005A68C6">
        <w:t>.</w:t>
      </w:r>
    </w:p>
    <w:p w14:paraId="396D534B" w14:textId="16EBB9BA" w:rsidR="00327008" w:rsidRDefault="00327008" w:rsidP="00327008">
      <w:pPr>
        <w:pStyle w:val="image"/>
      </w:pPr>
      <w:r>
        <w:drawing>
          <wp:inline distT="0" distB="0" distL="0" distR="0" wp14:anchorId="3BBE99D7" wp14:editId="25B6E4F1">
            <wp:extent cx="3410876" cy="1749010"/>
            <wp:effectExtent l="0" t="0" r="0" b="3810"/>
            <wp:docPr id="4" name="Image 4" descr="https://ars.els-cdn.com/content/image/1-s2.0-S092401361400315X-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92401361400315X-g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3624" cy="1755547"/>
                    </a:xfrm>
                    <a:prstGeom prst="rect">
                      <a:avLst/>
                    </a:prstGeom>
                    <a:noFill/>
                    <a:ln>
                      <a:noFill/>
                    </a:ln>
                  </pic:spPr>
                </pic:pic>
              </a:graphicData>
            </a:graphic>
          </wp:inline>
        </w:drawing>
      </w:r>
      <w:r>
        <w:drawing>
          <wp:inline distT="0" distB="0" distL="0" distR="0" wp14:anchorId="5B454451" wp14:editId="63594FF1">
            <wp:extent cx="1411291" cy="1770352"/>
            <wp:effectExtent l="0" t="0" r="0" b="0"/>
            <wp:docPr id="2002853454" name="Image 200285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9368" cy="1793028"/>
                    </a:xfrm>
                    <a:prstGeom prst="rect">
                      <a:avLst/>
                    </a:prstGeom>
                    <a:noFill/>
                  </pic:spPr>
                </pic:pic>
              </a:graphicData>
            </a:graphic>
          </wp:inline>
        </w:drawing>
      </w:r>
    </w:p>
    <w:p w14:paraId="47E4BD0A" w14:textId="33F7DE5A" w:rsidR="00327008" w:rsidRDefault="00327008" w:rsidP="00327008">
      <w:pPr>
        <w:pStyle w:val="LgendeFigure"/>
      </w:pPr>
      <w:r w:rsidRPr="00327008">
        <w:t>Fig. 1.</w:t>
      </w:r>
      <w:r w:rsidRPr="00D805CE">
        <w:t xml:space="preserve"> </w:t>
      </w:r>
      <w:r>
        <w:t>Processus de déroulage des placages (</w:t>
      </w:r>
      <w:r w:rsidR="00B75DFF">
        <w:t>gauche</w:t>
      </w:r>
      <w:r>
        <w:t>) et empilement des placages pour les éprouvettes [0°]</w:t>
      </w:r>
      <w:r w:rsidRPr="00327008">
        <w:rPr>
          <w:vertAlign w:val="subscript"/>
        </w:rPr>
        <w:t>7</w:t>
      </w:r>
      <w:r>
        <w:t xml:space="preserve"> (</w:t>
      </w:r>
      <w:r w:rsidR="00B75DFF">
        <w:t>droite</w:t>
      </w:r>
      <w:r>
        <w:t>).</w:t>
      </w:r>
    </w:p>
    <w:p w14:paraId="7278BA57" w14:textId="3DAD50F5" w:rsidR="005A68C6" w:rsidRDefault="005A68C6" w:rsidP="00F14841">
      <w:r w:rsidRPr="00E6186A">
        <w:t>Lors de l</w:t>
      </w:r>
      <w:r w:rsidR="00283FD5">
        <w:t>a stratification</w:t>
      </w:r>
      <w:r w:rsidRPr="00E6186A">
        <w:t xml:space="preserve">, les faces présentant des fissures de déroulage sont placées </w:t>
      </w:r>
      <w:r>
        <w:t xml:space="preserve">sur des faces saines, à l’exception des plis extérieurs dont les faces fissurées sont orientées </w:t>
      </w:r>
      <w:r w:rsidRPr="00E6186A">
        <w:t xml:space="preserve">vers l’intérieur du </w:t>
      </w:r>
      <w:r w:rsidR="00B75DFF">
        <w:t>LVL</w:t>
      </w:r>
      <w:r w:rsidRPr="00E6186A">
        <w:t>.</w:t>
      </w:r>
      <w:r>
        <w:t xml:space="preserve"> Cet empilement est appelé ’</w:t>
      </w:r>
      <w:r w:rsidRPr="00691C09">
        <w:t>tight side out and loose side in</w:t>
      </w:r>
      <w:r>
        <w:t>’</w:t>
      </w:r>
      <w:r w:rsidR="00B75DFF">
        <w:t>. Il s’agit</w:t>
      </w:r>
      <w:r>
        <w:t xml:space="preserve"> </w:t>
      </w:r>
      <w:r w:rsidR="00B75DFF">
        <w:t>de la configuration</w:t>
      </w:r>
      <w:r>
        <w:t xml:space="preserve"> utilisé</w:t>
      </w:r>
      <w:r w:rsidR="00B75DFF">
        <w:t>e</w:t>
      </w:r>
      <w:r>
        <w:t xml:space="preserve"> dans l’industrie pour la fabrication des contreplaqués </w:t>
      </w:r>
      <w:r>
        <w:fldChar w:fldCharType="begin"/>
      </w:r>
      <w:r w:rsidR="00680D77">
        <w:instrText xml:space="preserve"> ADDIN ZOTERO_ITEM CSL_CITATION {"citationID":"e481fVm2","properties":{"formattedCitation":"[22]","plainCitation":"[22]","noteIndex":0},"citationItems":[{"id":5499,"uris":["http://zotero.org/users/9031857/items/9MJ6JLBF"],"itemData":{"id":5499,"type":"book","edition":"ACIAR Monograph","ISBN":"978 1 86320 052 3","language":"en","source":"Zotero","title":"A guide to manufacturing rotary veneer and products from small logs","author":[{"family":"Leggate","given":"William"},{"family":"McGavin","given":"Robert"},{"family":"Bailleres","given":"Henri"}],"issued":{"date-parts":[["2017"]]}}}],"schema":"https://github.com/citation-style-language/schema/raw/master/csl-citation.json"} </w:instrText>
      </w:r>
      <w:r>
        <w:fldChar w:fldCharType="separate"/>
      </w:r>
      <w:r w:rsidR="00680D77" w:rsidRPr="00680D77">
        <w:t>[22]</w:t>
      </w:r>
      <w:r>
        <w:fldChar w:fldCharType="end"/>
      </w:r>
      <w:r>
        <w:t>.</w:t>
      </w:r>
      <w:r w:rsidRPr="00E6186A">
        <w:t xml:space="preserve"> La </w:t>
      </w:r>
      <w:r w:rsidR="00B1784F">
        <w:t>f</w:t>
      </w:r>
      <w:r w:rsidR="00327008" w:rsidRPr="00D805CE">
        <w:t>ig</w:t>
      </w:r>
      <w:r w:rsidR="00B1784F">
        <w:t>ure</w:t>
      </w:r>
      <w:r w:rsidR="00327008" w:rsidRPr="00D805CE">
        <w:t xml:space="preserve"> 1</w:t>
      </w:r>
      <w:r w:rsidRPr="00E6186A">
        <w:t xml:space="preserve"> illustre l'empilement utilisé pour les spécimens </w:t>
      </w:r>
      <w:r w:rsidR="00327008">
        <w:t>[0°]</w:t>
      </w:r>
      <w:r w:rsidR="00327008" w:rsidRPr="00327008">
        <w:rPr>
          <w:vertAlign w:val="subscript"/>
        </w:rPr>
        <w:t>7</w:t>
      </w:r>
      <w:r w:rsidR="00327008" w:rsidRPr="00327008">
        <w:t>.</w:t>
      </w:r>
    </w:p>
    <w:p w14:paraId="373EC0AE" w14:textId="67EFFEA7" w:rsidR="00F14841" w:rsidRDefault="005A68C6" w:rsidP="00F14841">
      <w:pPr>
        <w:pStyle w:val="Titredeniveau2"/>
      </w:pPr>
      <w:r>
        <w:t>Montage expérimental</w:t>
      </w:r>
    </w:p>
    <w:p w14:paraId="143D384C" w14:textId="68EEA40A" w:rsidR="00F14841" w:rsidRDefault="00F14841" w:rsidP="00327008">
      <w:r w:rsidRPr="00E6186A">
        <w:t xml:space="preserve">Les essais </w:t>
      </w:r>
      <w:r w:rsidR="00004166">
        <w:t xml:space="preserve">de traction </w:t>
      </w:r>
      <w:r w:rsidRPr="00E6186A">
        <w:t xml:space="preserve">ont été réalisés à température et humidité ambiantes. </w:t>
      </w:r>
      <w:r w:rsidR="00004166">
        <w:t>Une</w:t>
      </w:r>
      <w:r w:rsidRPr="00E6186A">
        <w:t xml:space="preserve"> machine Instron 5900 </w:t>
      </w:r>
      <w:r w:rsidR="00004166">
        <w:t>est</w:t>
      </w:r>
      <w:r w:rsidRPr="00E6186A">
        <w:t xml:space="preserve"> utilisée </w:t>
      </w:r>
      <w:r w:rsidR="00004166">
        <w:t>pour ces essais</w:t>
      </w:r>
      <w:r w:rsidR="00464C6A">
        <w:t xml:space="preserve">. </w:t>
      </w:r>
      <w:r w:rsidRPr="00E6186A">
        <w:t xml:space="preserve">Une cellule d’effort de </w:t>
      </w:r>
      <w:r w:rsidR="005A68C6">
        <w:t>100</w:t>
      </w:r>
      <w:r w:rsidRPr="00E6186A">
        <w:t xml:space="preserve"> kN</w:t>
      </w:r>
      <w:r>
        <w:t xml:space="preserve"> </w:t>
      </w:r>
      <w:r w:rsidRPr="00E6186A">
        <w:t>a été installée</w:t>
      </w:r>
      <w:r>
        <w:t xml:space="preserve">, avec une précision de mesure </w:t>
      </w:r>
      <w:r w:rsidR="003B0679">
        <w:t xml:space="preserve">de </w:t>
      </w:r>
      <w:r w:rsidR="0020748D">
        <w:t>1</w:t>
      </w:r>
      <w:r>
        <w:t>N</w:t>
      </w:r>
      <w:r w:rsidR="003B0679">
        <w:t>. L</w:t>
      </w:r>
      <w:r w:rsidRPr="00E6186A">
        <w:t xml:space="preserve">a vitesse de déplacement a été fixée à 2 mm/min. La </w:t>
      </w:r>
      <w:r w:rsidR="005A68C6">
        <w:t>stéréo-</w:t>
      </w:r>
      <w:r w:rsidRPr="00E6186A">
        <w:t xml:space="preserve">corrélation d'images numériques (DIC) a été utilisée pour suivre la déformation des échantillons. </w:t>
      </w:r>
      <w:r w:rsidR="005A68C6">
        <w:t>Deux</w:t>
      </w:r>
      <w:r>
        <w:t xml:space="preserve"> caméra</w:t>
      </w:r>
      <w:r w:rsidR="005A68C6">
        <w:t>s</w:t>
      </w:r>
      <w:r>
        <w:t xml:space="preserve"> </w:t>
      </w:r>
      <w:r w:rsidRPr="00E6186A">
        <w:t xml:space="preserve">de 5 Mpx (2452x2052 pixels) </w:t>
      </w:r>
      <w:r w:rsidR="005A68C6">
        <w:t>ont</w:t>
      </w:r>
      <w:r w:rsidRPr="00E6186A">
        <w:t xml:space="preserve"> été utilisée</w:t>
      </w:r>
      <w:r w:rsidR="003B0679">
        <w:t>s</w:t>
      </w:r>
      <w:r w:rsidRPr="00E6186A">
        <w:t xml:space="preserve"> pour acquérir des images des </w:t>
      </w:r>
      <w:r w:rsidR="00D2464C">
        <w:t>éprouvette</w:t>
      </w:r>
      <w:r w:rsidR="00D2464C" w:rsidRPr="00E6186A">
        <w:t>s</w:t>
      </w:r>
      <w:r w:rsidRPr="00E6186A">
        <w:t>.</w:t>
      </w:r>
      <w:r w:rsidR="00327008">
        <w:t xml:space="preserve"> Ce montage d’essai est illustré sur la </w:t>
      </w:r>
      <w:r w:rsidR="00B1784F">
        <w:t>figure</w:t>
      </w:r>
      <w:r w:rsidR="00327008">
        <w:t xml:space="preserve"> 2.</w:t>
      </w:r>
      <w:r w:rsidRPr="00E6186A">
        <w:t xml:space="preserve"> Les éprouvettes ont été peintes avec des mouchetis pour la corrélation </w:t>
      </w:r>
      <w:r>
        <w:t>d’images</w:t>
      </w:r>
      <w:r w:rsidRPr="00E6186A">
        <w:t xml:space="preserve">. Les mouchetis ont été réalisés à l'aide d'une bombe de peinture et la taille des </w:t>
      </w:r>
      <w:r>
        <w:t>motifs</w:t>
      </w:r>
      <w:r w:rsidRPr="00E6186A">
        <w:t xml:space="preserve"> a été déterminée en fonction de notre configuration expérimentale afin d'obtenir une taille minimale de 3 pixels pour chaque moucheture </w:t>
      </w:r>
      <w:r>
        <w:fldChar w:fldCharType="begin"/>
      </w:r>
      <w:r w:rsidR="00680D77">
        <w:instrText xml:space="preserve"> ADDIN ZOTERO_ITEM CSL_CITATION {"citationID":"gALHlg65","properties":{"formattedCitation":"[23]","plainCitation":"[23]","noteIndex":0},"citationItems":[{"id":5490,"uris":["http://zotero.org/users/9031857/items/3QQZC7U6"],"itemData":{"id":5490,"type":"article-journal","container-title":"Experimental Techniques","DOI":"10.1111/ext.12110","ISSN":"07328818","issue":"6","journalAbbreviation":"Exp Techniques","language":"en","page":"1-2","source":"DOI.org (Crossref)","title":"All about speckles: Speckle Size Measurement","title-short":"All about speckles","volume":"38","author":[{"family":"Reu","given":"Phillip"}],"issued":{"date-parts":[["2014",11]]}}}],"schema":"https://github.com/citation-style-language/schema/raw/master/csl-citation.json"} </w:instrText>
      </w:r>
      <w:r>
        <w:fldChar w:fldCharType="separate"/>
      </w:r>
      <w:r w:rsidR="00680D77" w:rsidRPr="00680D77">
        <w:t>[23]</w:t>
      </w:r>
      <w:r>
        <w:fldChar w:fldCharType="end"/>
      </w:r>
      <w:r w:rsidRPr="00E6186A">
        <w:t xml:space="preserve">. </w:t>
      </w:r>
    </w:p>
    <w:p w14:paraId="5D7B37DD" w14:textId="5DFAC04F" w:rsidR="00FD13F3" w:rsidRDefault="00F806A2" w:rsidP="005A68C6">
      <w:pPr>
        <w:pStyle w:val="image"/>
        <w:rPr>
          <w:noProof w:val="0"/>
        </w:rPr>
      </w:pPr>
      <w:r>
        <w:lastRenderedPageBreak/>
        <w:drawing>
          <wp:inline distT="0" distB="0" distL="0" distR="0" wp14:anchorId="34CEC11D" wp14:editId="4D2F0026">
            <wp:extent cx="3105409" cy="1870213"/>
            <wp:effectExtent l="0" t="0" r="0" b="0"/>
            <wp:docPr id="2002853458" name="Image 200285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748" cy="1904745"/>
                    </a:xfrm>
                    <a:prstGeom prst="rect">
                      <a:avLst/>
                    </a:prstGeom>
                    <a:noFill/>
                  </pic:spPr>
                </pic:pic>
              </a:graphicData>
            </a:graphic>
          </wp:inline>
        </w:drawing>
      </w:r>
      <w:r w:rsidR="00004166">
        <w:drawing>
          <wp:inline distT="0" distB="0" distL="0" distR="0" wp14:anchorId="383C0CF6" wp14:editId="040A6556">
            <wp:extent cx="2369489" cy="1880987"/>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2810" cy="1907439"/>
                    </a:xfrm>
                    <a:prstGeom prst="rect">
                      <a:avLst/>
                    </a:prstGeom>
                  </pic:spPr>
                </pic:pic>
              </a:graphicData>
            </a:graphic>
          </wp:inline>
        </w:drawing>
      </w:r>
    </w:p>
    <w:p w14:paraId="0BA57861" w14:textId="2864A662" w:rsidR="00F14841" w:rsidRPr="005A68C6" w:rsidRDefault="00953FD2" w:rsidP="00327008">
      <w:pPr>
        <w:pStyle w:val="LgendeFigure"/>
      </w:pPr>
      <w:r w:rsidRPr="00327008">
        <w:t xml:space="preserve">Fig. </w:t>
      </w:r>
      <w:r w:rsidR="00327008" w:rsidRPr="00327008">
        <w:t>2</w:t>
      </w:r>
      <w:r w:rsidRPr="00327008">
        <w:t>.</w:t>
      </w:r>
      <w:r w:rsidRPr="00D805CE">
        <w:t xml:space="preserve"> </w:t>
      </w:r>
      <w:r w:rsidR="00327008">
        <w:t>Schématisation (gauche) et photo (droite) du montage expérimental.</w:t>
      </w:r>
    </w:p>
    <w:p w14:paraId="37337136" w14:textId="18C41A21" w:rsidR="003051EA" w:rsidRDefault="00F14841" w:rsidP="00080EEC">
      <w:r w:rsidRPr="00E6186A">
        <w:t>Un système d'acquisition de données a été utilisé pour enregistrer à la fois la charge appliquée et le déplacement vertical des mors, la fréquence d'acquisition liée à la corrélation</w:t>
      </w:r>
      <w:r>
        <w:t xml:space="preserve"> d’images</w:t>
      </w:r>
      <w:r w:rsidRPr="00E6186A">
        <w:t xml:space="preserve"> étant fixée à </w:t>
      </w:r>
      <w:r w:rsidR="005A68C6">
        <w:t>2</w:t>
      </w:r>
      <w:r w:rsidRPr="00E6186A">
        <w:t xml:space="preserve"> Hz.</w:t>
      </w:r>
      <w:r>
        <w:t xml:space="preserve"> </w:t>
      </w:r>
      <w:r w:rsidRPr="00E6186A">
        <w:t xml:space="preserve">Les </w:t>
      </w:r>
      <w:r>
        <w:t>données</w:t>
      </w:r>
      <w:r w:rsidRPr="00E6186A">
        <w:t xml:space="preserve"> </w:t>
      </w:r>
      <w:r>
        <w:t xml:space="preserve">de </w:t>
      </w:r>
      <w:r w:rsidRPr="00E6186A">
        <w:t xml:space="preserve">corrélation </w:t>
      </w:r>
      <w:r>
        <w:t xml:space="preserve">d’images </w:t>
      </w:r>
      <w:r w:rsidRPr="00E6186A">
        <w:t>ont été analysées avec VIC</w:t>
      </w:r>
      <w:r>
        <w:t xml:space="preserve"> </w:t>
      </w:r>
      <w:r w:rsidRPr="007B7175">
        <w:t>correlated system</w:t>
      </w:r>
      <w:r w:rsidRPr="00E6186A">
        <w:t>.</w:t>
      </w:r>
      <w:r>
        <w:t xml:space="preserve"> </w:t>
      </w:r>
    </w:p>
    <w:p w14:paraId="2ED1FA5C" w14:textId="41B93B09" w:rsidR="003051EA" w:rsidRDefault="009048D0" w:rsidP="003051EA">
      <w:pPr>
        <w:pStyle w:val="Titredeniveau1"/>
      </w:pPr>
      <w:r w:rsidRPr="009048D0">
        <w:t>Résultats expérimentaux et discussion</w:t>
      </w:r>
    </w:p>
    <w:p w14:paraId="3ECED62D" w14:textId="6221F52A" w:rsidR="00FD13F3" w:rsidRDefault="0085021D" w:rsidP="001E485E">
      <w:r>
        <w:t>Une fois les essais réalisés, chaque éprouvette a été inspectée afin de retirer de cette étude les éprouvettes présentant des rupture « anormales ». Les éprouvettes des séries [0°]</w:t>
      </w:r>
      <w:r w:rsidRPr="0085021D">
        <w:rPr>
          <w:vertAlign w:val="subscript"/>
        </w:rPr>
        <w:t>5</w:t>
      </w:r>
      <w:r w:rsidRPr="0085021D">
        <w:t>,</w:t>
      </w:r>
      <w:r>
        <w:t xml:space="preserve"> [0°]</w:t>
      </w:r>
      <w:r>
        <w:rPr>
          <w:vertAlign w:val="subscript"/>
        </w:rPr>
        <w:t>7</w:t>
      </w:r>
      <w:r>
        <w:t xml:space="preserve"> et [0°]</w:t>
      </w:r>
      <w:r>
        <w:rPr>
          <w:vertAlign w:val="subscript"/>
        </w:rPr>
        <w:t>9</w:t>
      </w:r>
      <w:r>
        <w:t xml:space="preserve"> ont toutes rompues dans les mors sous l’effet de la compression importante de mors auto-serrant. </w:t>
      </w:r>
      <w:r w:rsidR="00787DFE">
        <w:t>Les différentes séries seront donc comparé</w:t>
      </w:r>
      <w:r w:rsidR="00D2464C">
        <w:t>es</w:t>
      </w:r>
      <w:r w:rsidR="00787DFE">
        <w:t xml:space="preserve"> uniquement sur leur propriété linéaire. </w:t>
      </w:r>
      <w:r w:rsidRPr="00E6186A">
        <w:t xml:space="preserve">Les courbes </w:t>
      </w:r>
      <w:r>
        <w:t>Contrainte</w:t>
      </w:r>
      <w:r w:rsidRPr="00E6186A">
        <w:t>-</w:t>
      </w:r>
      <w:r>
        <w:t>Déformation</w:t>
      </w:r>
      <w:r w:rsidRPr="00E6186A">
        <w:t xml:space="preserve"> obtenues</w:t>
      </w:r>
      <w:r>
        <w:t xml:space="preserve"> lors des essais, </w:t>
      </w:r>
      <w:r w:rsidRPr="00E6186A">
        <w:t xml:space="preserve">sont illustrées </w:t>
      </w:r>
      <w:r>
        <w:t>pour la série [0°]</w:t>
      </w:r>
      <w:r>
        <w:rPr>
          <w:vertAlign w:val="subscript"/>
        </w:rPr>
        <w:t xml:space="preserve">1 </w:t>
      </w:r>
      <w:r>
        <w:t>et [0°]</w:t>
      </w:r>
      <w:r>
        <w:rPr>
          <w:vertAlign w:val="subscript"/>
        </w:rPr>
        <w:t xml:space="preserve">7 </w:t>
      </w:r>
      <w:r>
        <w:t>sur</w:t>
      </w:r>
      <w:r w:rsidRPr="00E6186A">
        <w:t xml:space="preserve"> la</w:t>
      </w:r>
      <w:r>
        <w:t xml:space="preserve"> </w:t>
      </w:r>
      <w:r w:rsidR="00B1784F">
        <w:t>figure</w:t>
      </w:r>
      <w:r w:rsidRPr="0085021D">
        <w:t xml:space="preserve"> 3</w:t>
      </w:r>
      <w:r>
        <w:t xml:space="preserve">. </w:t>
      </w:r>
    </w:p>
    <w:p w14:paraId="2CDEED8E" w14:textId="4D719036" w:rsidR="001E485E" w:rsidRDefault="001E485E" w:rsidP="00F6658B">
      <w:pPr>
        <w:pStyle w:val="image"/>
      </w:pPr>
      <w:r w:rsidRPr="00F6658B">
        <w:drawing>
          <wp:inline distT="0" distB="0" distL="0" distR="0" wp14:anchorId="1584BC3C" wp14:editId="2180419C">
            <wp:extent cx="2977287" cy="200493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2796"/>
                    <a:stretch/>
                  </pic:blipFill>
                  <pic:spPr bwMode="auto">
                    <a:xfrm>
                      <a:off x="0" y="0"/>
                      <a:ext cx="2988515" cy="2012493"/>
                    </a:xfrm>
                    <a:prstGeom prst="rect">
                      <a:avLst/>
                    </a:prstGeom>
                    <a:ln>
                      <a:noFill/>
                    </a:ln>
                    <a:extLst>
                      <a:ext uri="{53640926-AAD7-44D8-BBD7-CCE9431645EC}">
                        <a14:shadowObscured xmlns:a14="http://schemas.microsoft.com/office/drawing/2010/main"/>
                      </a:ext>
                    </a:extLst>
                  </pic:spPr>
                </pic:pic>
              </a:graphicData>
            </a:graphic>
          </wp:inline>
        </w:drawing>
      </w:r>
      <w:r w:rsidRPr="001E485E">
        <w:t xml:space="preserve"> </w:t>
      </w:r>
      <w:r w:rsidRPr="00F6658B">
        <w:drawing>
          <wp:inline distT="0" distB="0" distL="0" distR="0" wp14:anchorId="61A1EE61" wp14:editId="170344C3">
            <wp:extent cx="2999232" cy="2029709"/>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2364"/>
                    <a:stretch/>
                  </pic:blipFill>
                  <pic:spPr bwMode="auto">
                    <a:xfrm>
                      <a:off x="0" y="0"/>
                      <a:ext cx="3022331" cy="2045341"/>
                    </a:xfrm>
                    <a:prstGeom prst="rect">
                      <a:avLst/>
                    </a:prstGeom>
                    <a:ln>
                      <a:noFill/>
                    </a:ln>
                    <a:extLst>
                      <a:ext uri="{53640926-AAD7-44D8-BBD7-CCE9431645EC}">
                        <a14:shadowObscured xmlns:a14="http://schemas.microsoft.com/office/drawing/2010/main"/>
                      </a:ext>
                    </a:extLst>
                  </pic:spPr>
                </pic:pic>
              </a:graphicData>
            </a:graphic>
          </wp:inline>
        </w:drawing>
      </w:r>
    </w:p>
    <w:p w14:paraId="71820BCE" w14:textId="019ACC7B" w:rsidR="0085021D" w:rsidRDefault="0085021D" w:rsidP="0085021D">
      <w:pPr>
        <w:pStyle w:val="LgendeFigure"/>
      </w:pPr>
      <w:r w:rsidRPr="00327008">
        <w:t xml:space="preserve">Fig. </w:t>
      </w:r>
      <w:r>
        <w:t>3</w:t>
      </w:r>
      <w:r w:rsidRPr="00327008">
        <w:t>.</w:t>
      </w:r>
      <w:r w:rsidRPr="00D805CE">
        <w:t xml:space="preserve"> </w:t>
      </w:r>
      <w:r>
        <w:t>C</w:t>
      </w:r>
      <w:r w:rsidRPr="0085021D">
        <w:t>ourbes Contrainte-Déformation pour la série [0°]</w:t>
      </w:r>
      <w:r w:rsidRPr="0085021D">
        <w:rPr>
          <w:vertAlign w:val="subscript"/>
        </w:rPr>
        <w:t>1</w:t>
      </w:r>
      <w:r>
        <w:t xml:space="preserve"> (gauche)</w:t>
      </w:r>
      <w:r w:rsidRPr="0085021D">
        <w:t xml:space="preserve"> et [0°]</w:t>
      </w:r>
      <w:r w:rsidRPr="0085021D">
        <w:rPr>
          <w:vertAlign w:val="subscript"/>
        </w:rPr>
        <w:t>7</w:t>
      </w:r>
      <w:r>
        <w:t xml:space="preserve"> (droite).</w:t>
      </w:r>
    </w:p>
    <w:p w14:paraId="6A9926FA" w14:textId="4935BF2C" w:rsidR="001679DC" w:rsidRDefault="00847BB6" w:rsidP="00080EEC">
      <w:r>
        <w:t xml:space="preserve">Une </w:t>
      </w:r>
      <w:r w:rsidR="00787DFE">
        <w:t>dispersion</w:t>
      </w:r>
      <w:r>
        <w:t xml:space="preserve"> </w:t>
      </w:r>
      <w:r w:rsidR="001679DC">
        <w:t xml:space="preserve">plus importante </w:t>
      </w:r>
      <w:r>
        <w:t>est observée sur le module d’Young des éprouvettes [0°]</w:t>
      </w:r>
      <w:r w:rsidRPr="00A46A1E">
        <w:rPr>
          <w:vertAlign w:val="subscript"/>
        </w:rPr>
        <w:t>1</w:t>
      </w:r>
      <w:r>
        <w:t xml:space="preserve">. Cette dispersion s’explique simplement </w:t>
      </w:r>
      <w:r w:rsidR="00D2464C">
        <w:t xml:space="preserve">par </w:t>
      </w:r>
      <w:r>
        <w:t>la dispersion observée sur la densité des éprouvettes testée</w:t>
      </w:r>
      <w:r w:rsidR="00D2464C">
        <w:t>s</w:t>
      </w:r>
      <w:r>
        <w:t>. En effet la densité de ces éprouvettes vari</w:t>
      </w:r>
      <w:r w:rsidR="00D2464C">
        <w:t>ait</w:t>
      </w:r>
      <w:r>
        <w:t xml:space="preserve"> de 0.29 à 0.42</w:t>
      </w:r>
      <w:r w:rsidR="00080EEC">
        <w:t xml:space="preserve"> (Fig. 4)</w:t>
      </w:r>
      <w:r>
        <w:t>.</w:t>
      </w:r>
      <w:r w:rsidRPr="006A0052">
        <w:t xml:space="preserve"> </w:t>
      </w:r>
    </w:p>
    <w:p w14:paraId="22A57DDB" w14:textId="54B6F4DC" w:rsidR="00FD13F3" w:rsidRDefault="00FD13F3" w:rsidP="001679DC">
      <w:pPr>
        <w:pStyle w:val="image"/>
      </w:pPr>
      <w:r>
        <w:lastRenderedPageBreak/>
        <w:drawing>
          <wp:inline distT="0" distB="0" distL="0" distR="0" wp14:anchorId="6BBDA0C4" wp14:editId="2B103C12">
            <wp:extent cx="4579951" cy="2470785"/>
            <wp:effectExtent l="0" t="0" r="11430" b="5715"/>
            <wp:docPr id="20" name="Graphique 20">
              <a:extLst xmlns:a="http://schemas.openxmlformats.org/drawingml/2006/main">
                <a:ext uri="{FF2B5EF4-FFF2-40B4-BE49-F238E27FC236}">
                  <a16:creationId xmlns:a16="http://schemas.microsoft.com/office/drawing/2014/main" id="{3A02E63A-5AD6-47A6-9873-BCE04E705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F44519" w14:textId="33C6A96A" w:rsidR="001679DC" w:rsidRDefault="001679DC" w:rsidP="001679DC">
      <w:pPr>
        <w:pStyle w:val="LgendeFigure"/>
      </w:pPr>
      <w:r w:rsidRPr="00327008">
        <w:t xml:space="preserve">Fig. </w:t>
      </w:r>
      <w:r>
        <w:t>4</w:t>
      </w:r>
      <w:r w:rsidRPr="00327008">
        <w:t>.</w:t>
      </w:r>
      <w:r w:rsidRPr="00D805CE">
        <w:t xml:space="preserve"> </w:t>
      </w:r>
      <w:r>
        <w:t>Répartition des module d’Young de chaque spécimen en fonction de sa densité</w:t>
      </w:r>
      <w:r w:rsidRPr="0085021D">
        <w:t xml:space="preserve"> pour la série [0°]</w:t>
      </w:r>
      <w:r w:rsidRPr="0085021D">
        <w:rPr>
          <w:vertAlign w:val="subscript"/>
        </w:rPr>
        <w:t>1</w:t>
      </w:r>
      <w:r>
        <w:t>.</w:t>
      </w:r>
    </w:p>
    <w:p w14:paraId="675E2564" w14:textId="7CCE8036" w:rsidR="00080EEC" w:rsidRPr="006A4367" w:rsidRDefault="00787DFE" w:rsidP="006A4367">
      <w:pPr>
        <w:rPr>
          <w:rFonts w:eastAsia="Calibri"/>
          <w:noProof/>
          <w:color w:val="000000"/>
          <w:lang w:eastAsia="en-US"/>
        </w:rPr>
      </w:pPr>
      <w:r w:rsidRPr="006A4367">
        <w:t>En comparant les rigidités des différentes séries,</w:t>
      </w:r>
      <w:r w:rsidR="00D122FC" w:rsidRPr="006A4367">
        <w:t xml:space="preserve"> il est constaté que la rigidité moyenne des séries croit en fonction du nombre de plis, hormis pour la série </w:t>
      </w:r>
      <w:bookmarkStart w:id="0" w:name="_Hlk135130213"/>
      <w:r w:rsidR="00D122FC" w:rsidRPr="006A4367">
        <w:t>[0°]</w:t>
      </w:r>
      <w:r w:rsidR="00D122FC" w:rsidRPr="006A4367">
        <w:rPr>
          <w:rFonts w:eastAsia="Calibri"/>
          <w:noProof/>
          <w:color w:val="000000"/>
          <w:vertAlign w:val="subscript"/>
          <w:lang w:eastAsia="en-US"/>
        </w:rPr>
        <w:t>1</w:t>
      </w:r>
      <w:bookmarkEnd w:id="0"/>
      <w:r w:rsidR="004D100A">
        <w:rPr>
          <w:rFonts w:eastAsia="Calibri"/>
          <w:noProof/>
          <w:color w:val="000000"/>
          <w:vertAlign w:val="subscript"/>
          <w:lang w:eastAsia="en-US"/>
        </w:rPr>
        <w:t xml:space="preserve"> </w:t>
      </w:r>
      <w:r w:rsidR="004D100A" w:rsidRPr="004D100A">
        <w:rPr>
          <w:rFonts w:eastAsia="Calibri"/>
          <w:noProof/>
          <w:color w:val="000000"/>
          <w:lang w:eastAsia="en-US"/>
        </w:rPr>
        <w:t>(</w:t>
      </w:r>
      <w:r w:rsidR="004D100A">
        <w:rPr>
          <w:rFonts w:eastAsia="Calibri"/>
          <w:noProof/>
          <w:color w:val="000000"/>
          <w:lang w:eastAsia="en-US"/>
        </w:rPr>
        <w:t>Fig. 5</w:t>
      </w:r>
      <w:r w:rsidR="004D100A" w:rsidRPr="004D100A">
        <w:rPr>
          <w:rFonts w:eastAsia="Calibri"/>
          <w:noProof/>
          <w:color w:val="000000"/>
          <w:lang w:eastAsia="en-US"/>
        </w:rPr>
        <w:t>)</w:t>
      </w:r>
      <w:r w:rsidR="00D122FC" w:rsidRPr="006A4367">
        <w:rPr>
          <w:rFonts w:eastAsia="Calibri"/>
          <w:noProof/>
          <w:color w:val="000000"/>
          <w:lang w:eastAsia="en-US"/>
        </w:rPr>
        <w:t>.</w:t>
      </w:r>
      <w:r w:rsidR="00A92B72" w:rsidRPr="006A4367">
        <w:rPr>
          <w:rFonts w:eastAsia="Calibri"/>
          <w:noProof/>
          <w:color w:val="000000"/>
          <w:lang w:eastAsia="en-US"/>
        </w:rPr>
        <w:t xml:space="preserve"> On ne prendra cependant pas en considération la rigidité obtenue pour la série [0°]</w:t>
      </w:r>
      <w:r w:rsidR="00A92B72" w:rsidRPr="006A4367">
        <w:rPr>
          <w:rFonts w:eastAsia="Calibri"/>
          <w:noProof/>
          <w:color w:val="000000"/>
          <w:vertAlign w:val="subscript"/>
          <w:lang w:eastAsia="en-US"/>
        </w:rPr>
        <w:t>1</w:t>
      </w:r>
      <w:r w:rsidR="00A92B72" w:rsidRPr="006A4367">
        <w:rPr>
          <w:rFonts w:eastAsia="Calibri"/>
          <w:noProof/>
          <w:color w:val="000000"/>
          <w:lang w:eastAsia="en-US"/>
        </w:rPr>
        <w:t xml:space="preserve"> </w:t>
      </w:r>
      <w:r w:rsidR="00D2464C">
        <w:rPr>
          <w:rFonts w:eastAsia="Calibri"/>
          <w:noProof/>
          <w:color w:val="000000"/>
          <w:lang w:eastAsia="en-US"/>
        </w:rPr>
        <w:t xml:space="preserve">du fait de </w:t>
      </w:r>
      <w:r w:rsidR="00A92B72" w:rsidRPr="006A4367">
        <w:rPr>
          <w:rFonts w:eastAsia="Calibri"/>
          <w:noProof/>
          <w:color w:val="000000"/>
          <w:lang w:eastAsia="en-US"/>
        </w:rPr>
        <w:t>la forte dispersion de la densité observé</w:t>
      </w:r>
      <w:r w:rsidR="00D2464C">
        <w:rPr>
          <w:rFonts w:eastAsia="Calibri"/>
          <w:noProof/>
          <w:color w:val="000000"/>
          <w:lang w:eastAsia="en-US"/>
        </w:rPr>
        <w:t>e</w:t>
      </w:r>
      <w:r w:rsidR="00A92B72" w:rsidRPr="006A4367">
        <w:rPr>
          <w:rFonts w:eastAsia="Calibri"/>
          <w:noProof/>
          <w:color w:val="000000"/>
          <w:lang w:eastAsia="en-US"/>
        </w:rPr>
        <w:t xml:space="preserve"> </w:t>
      </w:r>
      <w:r w:rsidR="00F806A2" w:rsidRPr="006A4367">
        <w:rPr>
          <w:rFonts w:eastAsia="Calibri"/>
          <w:noProof/>
          <w:color w:val="000000"/>
          <w:lang w:eastAsia="en-US"/>
        </w:rPr>
        <w:t xml:space="preserve">sur ces </w:t>
      </w:r>
      <w:r w:rsidR="00D2464C">
        <w:rPr>
          <w:rFonts w:eastAsia="Calibri"/>
          <w:noProof/>
          <w:color w:val="000000"/>
          <w:lang w:eastAsia="en-US"/>
        </w:rPr>
        <w:t>éprouvette</w:t>
      </w:r>
      <w:r w:rsidR="00D2464C" w:rsidRPr="006A4367">
        <w:rPr>
          <w:rFonts w:eastAsia="Calibri"/>
          <w:noProof/>
          <w:color w:val="000000"/>
          <w:lang w:eastAsia="en-US"/>
        </w:rPr>
        <w:t>s</w:t>
      </w:r>
      <w:r w:rsidR="00D2464C">
        <w:rPr>
          <w:rFonts w:eastAsia="Calibri"/>
          <w:noProof/>
          <w:color w:val="000000"/>
          <w:lang w:eastAsia="en-US"/>
        </w:rPr>
        <w:t xml:space="preserve"> : </w:t>
      </w:r>
      <w:r w:rsidR="003B0679">
        <w:rPr>
          <w:rFonts w:eastAsia="Calibri"/>
          <w:noProof/>
          <w:color w:val="000000"/>
          <w:lang w:eastAsia="en-US"/>
        </w:rPr>
        <w:t>ce qui est fondamentalement différent des composites à fibres longues classiques (Verre, Carbone, Kevlar)</w:t>
      </w:r>
      <w:r w:rsidR="00F806A2" w:rsidRPr="006A4367">
        <w:rPr>
          <w:rFonts w:eastAsia="Calibri"/>
          <w:noProof/>
          <w:color w:val="000000"/>
          <w:lang w:eastAsia="en-US"/>
        </w:rPr>
        <w:t>.</w:t>
      </w:r>
      <w:r w:rsidR="00A92B72" w:rsidRPr="006A4367">
        <w:rPr>
          <w:rFonts w:eastAsia="Calibri"/>
          <w:noProof/>
          <w:color w:val="000000"/>
          <w:lang w:eastAsia="en-US"/>
        </w:rPr>
        <w:t xml:space="preserve"> </w:t>
      </w:r>
    </w:p>
    <w:p w14:paraId="5E9CC6D9" w14:textId="563B3DB4" w:rsidR="00080EEC" w:rsidRDefault="00080EEC" w:rsidP="00080EEC">
      <w:pPr>
        <w:pStyle w:val="image"/>
      </w:pPr>
      <w:r>
        <w:drawing>
          <wp:inline distT="0" distB="0" distL="0" distR="0" wp14:anchorId="10AD77FE" wp14:editId="04AD510D">
            <wp:extent cx="4810539" cy="2019031"/>
            <wp:effectExtent l="0" t="0" r="0" b="635"/>
            <wp:docPr id="2002853456" name="Image 200285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691" cy="2035044"/>
                    </a:xfrm>
                    <a:prstGeom prst="rect">
                      <a:avLst/>
                    </a:prstGeom>
                    <a:noFill/>
                  </pic:spPr>
                </pic:pic>
              </a:graphicData>
            </a:graphic>
          </wp:inline>
        </w:drawing>
      </w:r>
    </w:p>
    <w:p w14:paraId="7B0045CF" w14:textId="1AA54E69" w:rsidR="00080EEC" w:rsidRDefault="00080EEC" w:rsidP="00080EEC">
      <w:pPr>
        <w:pStyle w:val="LgendeFigure"/>
      </w:pPr>
      <w:r w:rsidRPr="00327008">
        <w:t xml:space="preserve">Fig. </w:t>
      </w:r>
      <w:r>
        <w:t>5</w:t>
      </w:r>
      <w:r w:rsidRPr="00327008">
        <w:t>.</w:t>
      </w:r>
      <w:r w:rsidRPr="00D805CE">
        <w:t xml:space="preserve"> </w:t>
      </w:r>
      <w:r>
        <w:t>Répartition des module d’Young par série d’éprouvette.</w:t>
      </w:r>
    </w:p>
    <w:p w14:paraId="43132AD6" w14:textId="7D6EC9F2" w:rsidR="00F806A2" w:rsidRDefault="00A92B72" w:rsidP="003051EA">
      <w:r>
        <w:t xml:space="preserve">Afin de modéliser un stratifié de bois, il est alors nécessaire de rendre compte de cette rigidification lors de l’ajout du nombre de pli dans un LVL. </w:t>
      </w:r>
      <w:r w:rsidR="00F806A2">
        <w:t xml:space="preserve"> Une première approche est d’utiliser la théorie des stratifiés en prenant en compte trois matériaux différents : les placages de peuplier, le joint de colle et une zone mixte qui correspond à une partie de l’épaisseur du placage de bois dans lequel </w:t>
      </w:r>
      <w:r w:rsidR="004D100A">
        <w:t>la</w:t>
      </w:r>
      <w:r w:rsidR="00F806A2">
        <w:t xml:space="preserve"> colle </w:t>
      </w:r>
      <w:r w:rsidR="00B1784F">
        <w:t>s’est</w:t>
      </w:r>
      <w:r w:rsidR="00F806A2">
        <w:t xml:space="preserve"> propagé</w:t>
      </w:r>
      <w:r w:rsidR="00B1784F">
        <w:t>e</w:t>
      </w:r>
      <w:r w:rsidR="00F806A2">
        <w:t>. Cette zone mixte est souvent étudié</w:t>
      </w:r>
      <w:r w:rsidR="00D2464C">
        <w:t>e</w:t>
      </w:r>
      <w:r w:rsidR="00F806A2">
        <w:t xml:space="preserve"> dans le cas d’assemblage</w:t>
      </w:r>
      <w:r w:rsidR="00D2464C">
        <w:t>s</w:t>
      </w:r>
      <w:r w:rsidR="00F806A2">
        <w:t xml:space="preserve"> collé</w:t>
      </w:r>
      <w:r w:rsidR="00D2464C">
        <w:t>s</w:t>
      </w:r>
      <w:r w:rsidR="00F806A2">
        <w:t xml:space="preserve"> en bois lors de l’étude de la propagation de la colle </w:t>
      </w:r>
      <w:r w:rsidR="00F806A2">
        <w:fldChar w:fldCharType="begin"/>
      </w:r>
      <w:r w:rsidR="001E7015">
        <w:instrText xml:space="preserve"> ADDIN ZOTERO_ITEM CSL_CITATION {"citationID":"irFLfTuE","properties":{"formattedCitation":"[25], [26]","plainCitation":"[25], [26]","dontUpdate":true,"noteIndex":0},"citationItems":[{"id":1439,"uris":["http://zotero.org/users/9031857/items/M87XWKXT"],"itemData":{"id":1439,"type":"article-journal","abstract":"This paper is the ﬁnal part of a series reporting on the penetration (P) and bonding behaviour of urea-formaldehyde (UF) resins of different viscosities based on different degrees of condensation (DCs). The various resins were applied onto radial and tangential wood surfaces, and solid wood assemblies were prepared by hot pressing. Pt and Pr were observed by evaluation of photomicrographs of the bond lines. The mean and maximum depth of penetration was inversely proportional to the DC. The average depth of Pt was found to be slightly higher than Pr because of the abundance of pits on the radial walls. However, the maximum P was higher in radial direction, due to the elliptic shape of vessels in poplar as well as due to rays improving the resin ﬂow. The lap shear strength (σm) of the same bonded assemblies was determined. Despite the fact that the wood failure always was very high, the σm increased with the better penetration of the resins with low viscosity. The higher strength values measured has been interpreted as a fortiﬁcation effect of the interphase by bulk resin penetration, as cell wall penetration cannot be expected due to the large size of such resin molecules.","container-title":"Holzforschung","DOI":"10.1515/hf-2011-0177","ISSN":"1437-434X, 0018-3830","issue":"7","language":"en","page":"849-856","source":"DOI.org (Crossref)","title":"Influence of the viscosity of UF resins on the radial and tangential penetration into poplar wood and on the shear strength of adhesive joints","volume":"66","author":[{"family":"Gavrilovic-Grmusa","given":"Ivana"},{"family":"Dunky","given":"Manfred"},{"family":"Miljkovic","given":"Jovan"},{"family":"Djiporovic-Momcilovic","given":"Milanka"}],"issued":{"date-parts":[["2012",10,1]]}}},{"id":5306,"uris":["http://zotero.org/users/9031857/items/C92XBMNA"],"itemData":{"id":5306,"type":"book","event-place":"New York","ISBN":"978-0-442-00797-3","language":"English","note":"OCLC: 924650716","publisher":"Van Nostrand Reinhold","publisher-place":"New York","source":"Open WorldCat","title":"Technology of wood bonding: principles in practice","title-short":"Technology of wood bonding","author":[{"family":"Marra","given":"Alan A"}],"issued":{"date-parts":[["1992"]]}}}],"schema":"https://github.com/citation-style-language/schema/raw/master/csl-citation.json"} </w:instrText>
      </w:r>
      <w:r w:rsidR="00F806A2">
        <w:fldChar w:fldCharType="separate"/>
      </w:r>
      <w:r w:rsidR="00F806A2" w:rsidRPr="00F806A2">
        <w:t>[2</w:t>
      </w:r>
      <w:r w:rsidR="00680D77">
        <w:t>4</w:t>
      </w:r>
      <w:r w:rsidR="00F806A2" w:rsidRPr="00F806A2">
        <w:t>, 2</w:t>
      </w:r>
      <w:r w:rsidR="00680D77">
        <w:t>5</w:t>
      </w:r>
      <w:r w:rsidR="00F806A2" w:rsidRPr="00F806A2">
        <w:t>]</w:t>
      </w:r>
      <w:r w:rsidR="00F806A2">
        <w:fldChar w:fldCharType="end"/>
      </w:r>
      <w:r w:rsidR="00F806A2">
        <w:t xml:space="preserve">. En utilisant une théorie des mélanges pour estimer la rigidité de cette zone mixte on peut alors montrer que la rigidité du LVL se calcule </w:t>
      </w:r>
      <w:r w:rsidR="00531B6A">
        <w:t>comme suit (Eq. 1) :</w:t>
      </w:r>
    </w:p>
    <w:p w14:paraId="39787E4C" w14:textId="46B4C2B0" w:rsidR="00531B6A" w:rsidRPr="00A378B0" w:rsidRDefault="006A4367" w:rsidP="006A4367">
      <w:pPr>
        <w:jc w:val="right"/>
        <w:rPr>
          <w:lang w:val="en-US"/>
        </w:rPr>
      </w:pPr>
      <m:oMath>
        <m:r>
          <w:rPr>
            <w:rFonts w:ascii="Cambria Math" w:hAnsi="Cambria Math"/>
            <w:sz w:val="28"/>
          </w:rPr>
          <m:t>E</m:t>
        </m:r>
        <m:r>
          <w:rPr>
            <w:rFonts w:ascii="Cambria Math" w:hAnsi="Cambria Math"/>
            <w:sz w:val="28"/>
            <w:lang w:val="en-US"/>
          </w:rPr>
          <m:t>=</m:t>
        </m:r>
        <m:f>
          <m:fPr>
            <m:ctrlPr>
              <w:rPr>
                <w:rFonts w:ascii="Cambria Math" w:hAnsi="Cambria Math"/>
                <w:i/>
                <w:sz w:val="28"/>
              </w:rPr>
            </m:ctrlPr>
          </m:fPr>
          <m:num>
            <m:r>
              <w:rPr>
                <w:rFonts w:ascii="Cambria Math" w:hAnsi="Cambria Math"/>
                <w:sz w:val="28"/>
                <w:lang w:val="en-US"/>
              </w:rPr>
              <m:t>(</m:t>
            </m:r>
            <m:r>
              <w:rPr>
                <w:rFonts w:ascii="Cambria Math" w:hAnsi="Cambria Math"/>
                <w:sz w:val="28"/>
              </w:rPr>
              <m:t>n</m:t>
            </m:r>
            <m:r>
              <w:rPr>
                <w:rFonts w:ascii="Cambria Math" w:hAnsi="Cambria Math"/>
                <w:sz w:val="28"/>
                <w:lang w:val="en-US"/>
              </w:rPr>
              <m:t>-1)</m:t>
            </m:r>
            <m:r>
              <w:rPr>
                <w:rFonts w:ascii="Cambria Math" w:hAnsi="Cambria Math"/>
                <w:sz w:val="28"/>
              </w:rPr>
              <m:t>GS</m:t>
            </m:r>
            <m:r>
              <w:rPr>
                <w:rFonts w:ascii="Cambria Math" w:hAnsi="Cambria Math"/>
                <w:sz w:val="28"/>
                <w:lang w:val="en-US"/>
              </w:rPr>
              <m:t>×</m:t>
            </m:r>
            <m:sSub>
              <m:sSubPr>
                <m:ctrlPr>
                  <w:rPr>
                    <w:rFonts w:ascii="Cambria Math" w:hAnsi="Cambria Math"/>
                    <w:i/>
                    <w:sz w:val="28"/>
                  </w:rPr>
                </m:ctrlPr>
              </m:sSubPr>
              <m:e>
                <m:r>
                  <w:rPr>
                    <w:rFonts w:ascii="Cambria Math" w:hAnsi="Cambria Math"/>
                    <w:sz w:val="28"/>
                  </w:rPr>
                  <m:t>E</m:t>
                </m:r>
              </m:e>
              <m:sub>
                <m:r>
                  <w:rPr>
                    <w:rFonts w:ascii="Cambria Math" w:hAnsi="Cambria Math"/>
                    <w:sz w:val="28"/>
                  </w:rPr>
                  <m:t>g</m:t>
                </m:r>
              </m:sub>
            </m:sSub>
            <m:r>
              <w:rPr>
                <w:rFonts w:ascii="Cambria Math" w:hAnsi="Cambria Math"/>
                <w:sz w:val="28"/>
                <w:lang w:val="en-US"/>
              </w:rPr>
              <m:t>+</m:t>
            </m:r>
            <m:sSub>
              <m:sSubPr>
                <m:ctrlPr>
                  <w:rPr>
                    <w:rFonts w:ascii="Cambria Math" w:hAnsi="Cambria Math"/>
                    <w:i/>
                    <w:sz w:val="28"/>
                  </w:rPr>
                </m:ctrlPr>
              </m:sSubPr>
              <m:e>
                <m:r>
                  <w:rPr>
                    <w:rFonts w:ascii="Cambria Math" w:hAnsi="Cambria Math"/>
                    <w:sz w:val="28"/>
                  </w:rPr>
                  <m:t>t</m:t>
                </m:r>
              </m:e>
              <m:sub>
                <m:r>
                  <w:rPr>
                    <w:rFonts w:ascii="Cambria Math" w:hAnsi="Cambria Math"/>
                    <w:sz w:val="28"/>
                    <w:lang w:val="en-US"/>
                  </w:rPr>
                  <m:t>0</m:t>
                </m:r>
              </m:sub>
            </m:sSub>
            <m:r>
              <w:rPr>
                <w:rFonts w:ascii="Cambria Math" w:hAnsi="Cambria Math"/>
                <w:sz w:val="28"/>
                <w:lang w:val="en-US"/>
              </w:rPr>
              <m:t>×</m:t>
            </m:r>
            <m:sSub>
              <m:sSubPr>
                <m:ctrlPr>
                  <w:rPr>
                    <w:rFonts w:ascii="Cambria Math" w:hAnsi="Cambria Math"/>
                    <w:i/>
                    <w:sz w:val="28"/>
                  </w:rPr>
                </m:ctrlPr>
              </m:sSubPr>
              <m:e>
                <m:r>
                  <w:rPr>
                    <w:rFonts w:ascii="Cambria Math" w:hAnsi="Cambria Math"/>
                    <w:sz w:val="28"/>
                  </w:rPr>
                  <m:t>E</m:t>
                </m:r>
              </m:e>
              <m:sub>
                <m:r>
                  <w:rPr>
                    <w:rFonts w:ascii="Cambria Math" w:hAnsi="Cambria Math"/>
                    <w:sz w:val="28"/>
                  </w:rPr>
                  <m:t>w</m:t>
                </m:r>
              </m:sub>
            </m:sSub>
            <m:r>
              <w:rPr>
                <w:rFonts w:ascii="Cambria Math" w:hAnsi="Cambria Math"/>
                <w:sz w:val="28"/>
                <w:lang w:val="en-US"/>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g</m:t>
                </m:r>
              </m:sub>
            </m:sSub>
          </m:num>
          <m:den>
            <m:r>
              <w:rPr>
                <w:rFonts w:ascii="Cambria Math" w:hAnsi="Cambria Math"/>
                <w:sz w:val="28"/>
              </w:rPr>
              <m:t>t</m:t>
            </m:r>
            <m:r>
              <w:rPr>
                <w:rFonts w:ascii="Cambria Math" w:hAnsi="Cambria Math"/>
                <w:sz w:val="28"/>
                <w:lang w:val="en-US"/>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g</m:t>
                </m:r>
              </m:sub>
            </m:sSub>
          </m:den>
        </m:f>
      </m:oMath>
      <w:r w:rsidR="00531B6A" w:rsidRPr="00A378B0">
        <w:rPr>
          <w:lang w:val="en-US"/>
        </w:rPr>
        <w:tab/>
      </w:r>
      <w:r w:rsidR="00531B6A" w:rsidRPr="00A378B0">
        <w:rPr>
          <w:lang w:val="en-US"/>
        </w:rPr>
        <w:tab/>
      </w:r>
      <w:r w:rsidR="00531B6A" w:rsidRPr="00A378B0">
        <w:rPr>
          <w:lang w:val="en-US"/>
        </w:rPr>
        <w:tab/>
      </w:r>
      <w:r w:rsidR="00F806A2" w:rsidRPr="00A378B0">
        <w:rPr>
          <w:lang w:val="en-US"/>
        </w:rPr>
        <w:tab/>
        <w:t xml:space="preserve">   (Eq. 1)</w:t>
      </w:r>
    </w:p>
    <w:p w14:paraId="32AAD0BF" w14:textId="0B42C297" w:rsidR="00D2464C" w:rsidRDefault="00531B6A" w:rsidP="00531B6A">
      <w:r>
        <w:t>Où n est le nombre de pli, GS est la quantité de colle par m², E</w:t>
      </w:r>
      <w:r w:rsidRPr="00531B6A">
        <w:rPr>
          <w:vertAlign w:val="subscript"/>
        </w:rPr>
        <w:t>g</w:t>
      </w:r>
      <w:r w:rsidRPr="00531B6A">
        <w:t xml:space="preserve"> est</w:t>
      </w:r>
      <w:r>
        <w:t xml:space="preserve"> le module élastique de la colle, t</w:t>
      </w:r>
      <w:r w:rsidRPr="00531B6A">
        <w:rPr>
          <w:vertAlign w:val="subscript"/>
        </w:rPr>
        <w:t>0</w:t>
      </w:r>
      <w:r w:rsidRPr="00531B6A">
        <w:t xml:space="preserve"> est</w:t>
      </w:r>
      <w:r>
        <w:t xml:space="preserve"> l’épaisseur de l’ensemble des placages, E</w:t>
      </w:r>
      <w:r>
        <w:rPr>
          <w:vertAlign w:val="subscript"/>
        </w:rPr>
        <w:t>w</w:t>
      </w:r>
      <w:r w:rsidRPr="00531B6A">
        <w:t xml:space="preserve"> est</w:t>
      </w:r>
      <w:r>
        <w:t xml:space="preserve"> le module élastique des placages, ρ</w:t>
      </w:r>
      <w:r w:rsidRPr="00531B6A">
        <w:rPr>
          <w:vertAlign w:val="subscript"/>
        </w:rPr>
        <w:t>g</w:t>
      </w:r>
      <w:r>
        <w:t xml:space="preserve"> est la masse volumique de la colle et t est l’épaisseur du LVL. </w:t>
      </w:r>
    </w:p>
    <w:p w14:paraId="5E920F5C" w14:textId="5807EB99" w:rsidR="00531B6A" w:rsidRDefault="00531B6A" w:rsidP="00531B6A">
      <w:r>
        <w:lastRenderedPageBreak/>
        <w:t>En utilisant les séries [0°]</w:t>
      </w:r>
      <w:r w:rsidRPr="00531B6A">
        <w:rPr>
          <w:vertAlign w:val="subscript"/>
        </w:rPr>
        <w:t>2</w:t>
      </w:r>
      <w:r>
        <w:rPr>
          <w:vertAlign w:val="subscript"/>
        </w:rPr>
        <w:t xml:space="preserve"> </w:t>
      </w:r>
      <w:r w:rsidRPr="00531B6A">
        <w:t>et</w:t>
      </w:r>
      <w:r>
        <w:t xml:space="preserve"> [0°]</w:t>
      </w:r>
      <w:r>
        <w:rPr>
          <w:vertAlign w:val="subscript"/>
        </w:rPr>
        <w:t xml:space="preserve">3 </w:t>
      </w:r>
      <w:r w:rsidRPr="00531B6A">
        <w:t xml:space="preserve">pour </w:t>
      </w:r>
      <w:r>
        <w:t>identifier E</w:t>
      </w:r>
      <w:r w:rsidRPr="00531B6A">
        <w:rPr>
          <w:vertAlign w:val="subscript"/>
        </w:rPr>
        <w:t>g</w:t>
      </w:r>
      <w:r>
        <w:rPr>
          <w:vertAlign w:val="subscript"/>
        </w:rPr>
        <w:t xml:space="preserve"> </w:t>
      </w:r>
      <w:r w:rsidRPr="00531B6A">
        <w:t>et E</w:t>
      </w:r>
      <w:r>
        <w:rPr>
          <w:vertAlign w:val="subscript"/>
        </w:rPr>
        <w:t>w</w:t>
      </w:r>
      <w:r w:rsidRPr="00531B6A">
        <w:t xml:space="preserve"> </w:t>
      </w:r>
      <w:r>
        <w:t xml:space="preserve">on obtient </w:t>
      </w:r>
      <w:r w:rsidR="000A625A" w:rsidRPr="00531B6A">
        <w:t>E</w:t>
      </w:r>
      <w:r w:rsidR="000A625A">
        <w:rPr>
          <w:vertAlign w:val="subscript"/>
        </w:rPr>
        <w:t>w</w:t>
      </w:r>
      <w:r w:rsidR="000A625A">
        <w:t xml:space="preserve"> valant 8300 MPa et </w:t>
      </w:r>
      <w:r w:rsidR="000A625A" w:rsidRPr="00531B6A">
        <w:t>E</w:t>
      </w:r>
      <w:r w:rsidR="000A625A">
        <w:rPr>
          <w:vertAlign w:val="subscript"/>
        </w:rPr>
        <w:t>g</w:t>
      </w:r>
      <w:r w:rsidR="000A625A">
        <w:t xml:space="preserve"> valant 8000 MPa.</w:t>
      </w:r>
      <w:r w:rsidR="003543CE">
        <w:t xml:space="preserve"> Les autres valeurs sont obtenues par mesures sur les éprouvettes.</w:t>
      </w:r>
      <w:r w:rsidR="000A625A">
        <w:t xml:space="preserve"> Toutefois la valeur de </w:t>
      </w:r>
      <w:r w:rsidR="000A625A" w:rsidRPr="00531B6A">
        <w:t>E</w:t>
      </w:r>
      <w:r w:rsidR="000A625A">
        <w:rPr>
          <w:vertAlign w:val="subscript"/>
        </w:rPr>
        <w:t xml:space="preserve">g </w:t>
      </w:r>
      <w:r w:rsidR="000A625A" w:rsidRPr="000A625A">
        <w:t>obtenue</w:t>
      </w:r>
      <w:r w:rsidR="000A625A">
        <w:t xml:space="preserve"> est bien trop élevée par rapport aux valeurs de rigidité des colles PUR que l’on retrouve dans la littérature </w:t>
      </w:r>
      <w:r w:rsidR="000A625A">
        <w:fldChar w:fldCharType="begin"/>
      </w:r>
      <w:r w:rsidR="00680D77">
        <w:instrText xml:space="preserve"> ADDIN ZOTERO_ITEM CSL_CITATION {"citationID":"Kk5wLEUz","properties":{"formattedCitation":"[26]","plainCitation":"[26]","noteIndex":0},"citationItems":[{"id":263,"uris":["http://zotero.org/users/9031857/items/54ES2BNB"],"itemData":{"id":263,"type":"article-journal","container-title":"International Journal of Adhesion and Adhesives","DOI":"10.1016/j.ijadhadh.2013.03.013","page":"32–41","title":"Mechanical properties of adhesives for bonding wood—A review","volume":"45","author":[{"family":"Stoeckel","given":"Frank"},{"family":"Konnerth","given":"Johannes"},{"family":"Gindl-Altmutter","given":"Wolfgang"}],"issued":{"date-parts":[["2013",9]]}}}],"schema":"https://github.com/citation-style-language/schema/raw/master/csl-citation.json"} </w:instrText>
      </w:r>
      <w:r w:rsidR="000A625A">
        <w:fldChar w:fldCharType="separate"/>
      </w:r>
      <w:r w:rsidR="00680D77" w:rsidRPr="00680D77">
        <w:t>[26]</w:t>
      </w:r>
      <w:r w:rsidR="000A625A">
        <w:fldChar w:fldCharType="end"/>
      </w:r>
      <w:r w:rsidR="000A625A">
        <w:t>. De plus, les résultats obtenus ne sont pas exactement en adéquation avec l’augmentation de la rigidité observé</w:t>
      </w:r>
      <w:r w:rsidR="00D2464C">
        <w:t>e</w:t>
      </w:r>
      <w:r w:rsidR="000A625A">
        <w:t xml:space="preserve"> lors de nos essais (Fig. 6).  </w:t>
      </w:r>
    </w:p>
    <w:p w14:paraId="53BA9F27" w14:textId="47A6A4F4" w:rsidR="00531B6A" w:rsidRDefault="00531B6A" w:rsidP="000A625A">
      <w:pPr>
        <w:pStyle w:val="image"/>
      </w:pPr>
      <w:r>
        <w:drawing>
          <wp:inline distT="0" distB="0" distL="0" distR="0" wp14:anchorId="72CC155A" wp14:editId="4D56CF5B">
            <wp:extent cx="4905955" cy="2741563"/>
            <wp:effectExtent l="0" t="0" r="9525" b="1905"/>
            <wp:docPr id="2002853460" name="Image 2002853460" descr="C:\Users\APEIGNON\AppData\Local\Microsoft\Windows\INetCache\Content.MSO\145455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EIGNON\AppData\Local\Microsoft\Windows\INetCache\Content.MSO\1454552E.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5492" cy="2752481"/>
                    </a:xfrm>
                    <a:prstGeom prst="rect">
                      <a:avLst/>
                    </a:prstGeom>
                    <a:noFill/>
                    <a:ln>
                      <a:noFill/>
                    </a:ln>
                  </pic:spPr>
                </pic:pic>
              </a:graphicData>
            </a:graphic>
          </wp:inline>
        </w:drawing>
      </w:r>
    </w:p>
    <w:p w14:paraId="4AF183F9" w14:textId="0B53B5DB" w:rsidR="00F806A2" w:rsidRDefault="000A625A" w:rsidP="000A625A">
      <w:pPr>
        <w:pStyle w:val="LgendeFigure"/>
      </w:pPr>
      <w:r w:rsidRPr="00327008">
        <w:t xml:space="preserve">Fig. </w:t>
      </w:r>
      <w:r w:rsidR="00D2464C">
        <w:t>6</w:t>
      </w:r>
      <w:r w:rsidRPr="00327008">
        <w:t>.</w:t>
      </w:r>
      <w:r w:rsidRPr="00D805CE">
        <w:t xml:space="preserve"> </w:t>
      </w:r>
      <w:r>
        <w:t>Répartition des module d’Young par série d’éprouvette et comparaison avec la théorie des stratifiées utilisée.</w:t>
      </w:r>
    </w:p>
    <w:p w14:paraId="1AB82348" w14:textId="316B6988" w:rsidR="003543CE" w:rsidRDefault="003543CE" w:rsidP="003543CE">
      <w:r>
        <w:t>Une théorie se basant sur la théorie des stratifiées et prenant en compte l’effet de densification des placages lors de la misse sous presse du LVL est proposé</w:t>
      </w:r>
      <w:r w:rsidR="00D2464C">
        <w:t>e</w:t>
      </w:r>
      <w:r>
        <w:t xml:space="preserve"> par Wei et al. </w:t>
      </w:r>
      <w:r>
        <w:fldChar w:fldCharType="begin"/>
      </w:r>
      <w:r w:rsidR="00680D77">
        <w:instrText xml:space="preserve"> ADDIN ZOTERO_ITEM CSL_CITATION {"citationID":"jt49t2A0","properties":{"formattedCitation":"[27]","plainCitation":"[27]","noteIndex":0},"citationItems":[{"id":1380,"uris":["http://zotero.org/users/9031857/items/C3XLW2UJ"],"itemData":{"id":1380,"type":"article-journal","abstract":"In this work, a modified theory (model) of composite mechanics was developed to predict the tensile modulus of elasticity (MOE) of resinated wood with the consideration of glue penetration. Variables built into the model included species, glue solids spread (GS), wood thickness and compression ratio (CR). The results showed that the effect of glue on the wood tensile MOE differed from species to species. With the increase of glue dosage, thOE first increased linearly and then leveled off at a threshold level of GS. Further increase of glue dosage made the MOE exhibit either a small increase or a decrease depending on the wood and glue properties. With a normal range of GS (50 to 90 g.m-2), the effect of glue on the wood tensile MOE became negligible if wood thickness was larger than 1.4 mm. Also, an increase in CR resulted in a predictable increase of the wood MOE. The model prediction showed a good agreement with the published experimental results. Further validation of the model is underway.","container-title":"WOOD RESEARCH","language":"en","page":"16","source":"Zotero","title":"A modified theory of composite mechanics to predict tensile modulus of resinated wood","volume":"60","author":[{"family":"Wei","given":"Peixing"},{"family":"Rao","given":"Xin"},{"family":"Wang","given":"Brad Jianhe"},{"family":"Dai","given":"Chunping"}],"issued":{"date-parts":[["2015"]]}}}],"schema":"https://github.com/citation-style-language/schema/raw/master/csl-citation.json"} </w:instrText>
      </w:r>
      <w:r>
        <w:fldChar w:fldCharType="separate"/>
      </w:r>
      <w:r w:rsidR="00680D77" w:rsidRPr="00680D77">
        <w:t>[27]</w:t>
      </w:r>
      <w:r>
        <w:fldChar w:fldCharType="end"/>
      </w:r>
      <w:r>
        <w:t xml:space="preserve">. Cependant ce modèle </w:t>
      </w:r>
      <w:r w:rsidR="003B0679">
        <w:t xml:space="preserve">requiert </w:t>
      </w:r>
      <w:r>
        <w:t>la connaissance du taux de compression des placages, paramètre complexe à identifier.</w:t>
      </w:r>
    </w:p>
    <w:p w14:paraId="2279AB57" w14:textId="4D3FE233" w:rsidR="003051EA" w:rsidRDefault="009048D0" w:rsidP="003051EA">
      <w:pPr>
        <w:pStyle w:val="Titredeniveau1"/>
      </w:pPr>
      <w:r>
        <w:t>Conclusion et perspectives</w:t>
      </w:r>
    </w:p>
    <w:p w14:paraId="31CA64D7" w14:textId="14983E37" w:rsidR="00A92B72" w:rsidRDefault="00A92B72" w:rsidP="009048D0">
      <w:r>
        <w:t xml:space="preserve">Des essais de traction sur des LVL de 1, 2, 3, 5, 7 et 9 </w:t>
      </w:r>
      <w:r w:rsidR="002C0725">
        <w:t xml:space="preserve">plis de peuplier </w:t>
      </w:r>
      <w:r>
        <w:t>ont été effectué</w:t>
      </w:r>
      <w:r w:rsidR="002C0725">
        <w:t>s</w:t>
      </w:r>
      <w:r>
        <w:t xml:space="preserve"> pour caractériser la rigidité </w:t>
      </w:r>
      <w:r w:rsidR="00B1784F">
        <w:t>de</w:t>
      </w:r>
      <w:r>
        <w:t xml:space="preserve"> ces stratifiés et l’influence du nombre de pli sur cette dernière. </w:t>
      </w:r>
      <w:r w:rsidR="009048D0">
        <w:t>Les résultats montrent qu</w:t>
      </w:r>
      <w:r>
        <w:t xml:space="preserve">e la rigidité tend à croitre lorsque le stratifié est composé d’un nombre de plis plus important. </w:t>
      </w:r>
    </w:p>
    <w:p w14:paraId="0805077A" w14:textId="718B0EEF" w:rsidR="00B16C99" w:rsidRDefault="00A92B72" w:rsidP="000728E0">
      <w:r>
        <w:t xml:space="preserve">Cependant un modèle se basant uniquement sur la théorie des stratifiées et prenant en compte la colle ajoutée lors de la conception de ces éprouvettes ne permet pas d’expliquer cette rigidification. </w:t>
      </w:r>
      <w:r w:rsidR="002C0725">
        <w:t xml:space="preserve">Il est </w:t>
      </w:r>
      <w:r w:rsidR="00D2464C">
        <w:t xml:space="preserve">donc </w:t>
      </w:r>
      <w:r w:rsidR="002C0725">
        <w:t>nécessaire de comprendre les phénomènes mis en jeux lors de la fabrication de ces composites bois afin de rendre compte de cette rigidification dans le but de modéliser</w:t>
      </w:r>
      <w:r w:rsidR="006B399D">
        <w:t xml:space="preserve"> plus finement</w:t>
      </w:r>
      <w:r w:rsidR="002C0725">
        <w:t xml:space="preserve"> par la suite ces matériaux</w:t>
      </w:r>
      <w:r w:rsidR="00720831">
        <w:t xml:space="preserve"> composites</w:t>
      </w:r>
      <w:r w:rsidR="002C0725">
        <w:t xml:space="preserve">. </w:t>
      </w:r>
    </w:p>
    <w:p w14:paraId="0F179503" w14:textId="77777777" w:rsidR="000728E0" w:rsidRPr="00DB2731" w:rsidRDefault="000728E0" w:rsidP="00A75B98">
      <w:pPr>
        <w:pStyle w:val="Titreremerciementsetrfrences"/>
      </w:pPr>
      <w:r w:rsidRPr="00DB2731">
        <w:t xml:space="preserve">Remerciements </w:t>
      </w:r>
    </w:p>
    <w:p w14:paraId="16BC4ADE" w14:textId="39218750" w:rsidR="000728E0" w:rsidRPr="00A75B98" w:rsidRDefault="007F4819" w:rsidP="007F4819">
      <w:r>
        <w:t>La recherche qui a conduit aux résultats présentés ci-dessus a reçu des fonds de l'Agence Nationale de la Recherche française dans le cadre du projet BOOST (ANR  21-CE43-0008-01). Les auteurs remercient le Laboratoire LaBoMaP, Cluny, France pour nous avoir fourni les placages de peuplier utilisés dans cette étude à travers le projet de recherche ANR BOOST.</w:t>
      </w:r>
    </w:p>
    <w:p w14:paraId="50DF0649" w14:textId="6FB2E572" w:rsidR="003051EA" w:rsidRPr="00787DFE" w:rsidRDefault="000728E0" w:rsidP="00A75B98">
      <w:pPr>
        <w:pStyle w:val="Titreremerciementsetrfrences"/>
      </w:pPr>
      <w:r w:rsidRPr="00A75B98">
        <w:t>Références</w:t>
      </w:r>
    </w:p>
    <w:p w14:paraId="10EB26B7" w14:textId="77777777" w:rsidR="00B1784F" w:rsidRPr="005A792C" w:rsidRDefault="003051EA" w:rsidP="00B1784F">
      <w:pPr>
        <w:pStyle w:val="Bibliographie"/>
        <w:rPr>
          <w:rFonts w:ascii="Times" w:hAnsi="Times" w:cs="Times"/>
          <w:sz w:val="20"/>
        </w:rPr>
      </w:pPr>
      <w:r w:rsidRPr="0085367C">
        <w:fldChar w:fldCharType="begin"/>
      </w:r>
      <w:r w:rsidR="00B1784F" w:rsidRPr="005A792C">
        <w:instrText xml:space="preserve"> ADDIN ZOTERO_BIBL {"uncited":[],"omitted":[],"custom":[]} CSL_BIBLIOGRAPHY </w:instrText>
      </w:r>
      <w:r w:rsidRPr="0085367C">
        <w:fldChar w:fldCharType="separate"/>
      </w:r>
      <w:r w:rsidR="00B1784F" w:rsidRPr="005A792C">
        <w:rPr>
          <w:rFonts w:ascii="Times" w:hAnsi="Times" w:cs="Times"/>
          <w:sz w:val="20"/>
        </w:rPr>
        <w:t>[1]</w:t>
      </w:r>
      <w:r w:rsidR="00B1784F" w:rsidRPr="005A792C">
        <w:rPr>
          <w:rFonts w:ascii="Times" w:hAnsi="Times" w:cs="Times"/>
          <w:sz w:val="20"/>
        </w:rPr>
        <w:tab/>
        <w:t xml:space="preserve">B. </w:t>
      </w:r>
      <w:proofErr w:type="spellStart"/>
      <w:r w:rsidR="00B1784F" w:rsidRPr="005A792C">
        <w:rPr>
          <w:rFonts w:ascii="Times" w:hAnsi="Times" w:cs="Times"/>
          <w:sz w:val="20"/>
        </w:rPr>
        <w:t>Castanie</w:t>
      </w:r>
      <w:proofErr w:type="spellEnd"/>
      <w:r w:rsidR="00B1784F" w:rsidRPr="005A792C">
        <w:rPr>
          <w:rFonts w:ascii="Times" w:hAnsi="Times" w:cs="Times"/>
          <w:sz w:val="20"/>
        </w:rPr>
        <w:t>, C. Bouvet, et M. Ginot, « </w:t>
      </w:r>
      <w:proofErr w:type="spellStart"/>
      <w:r w:rsidR="00B1784F" w:rsidRPr="005A792C">
        <w:rPr>
          <w:rFonts w:ascii="Times" w:hAnsi="Times" w:cs="Times"/>
          <w:sz w:val="20"/>
        </w:rPr>
        <w:t>Review</w:t>
      </w:r>
      <w:proofErr w:type="spellEnd"/>
      <w:r w:rsidR="00B1784F" w:rsidRPr="005A792C">
        <w:rPr>
          <w:rFonts w:ascii="Times" w:hAnsi="Times" w:cs="Times"/>
          <w:sz w:val="20"/>
        </w:rPr>
        <w:t xml:space="preserve"> of composite sandwich structure in </w:t>
      </w:r>
      <w:proofErr w:type="spellStart"/>
      <w:r w:rsidR="00B1784F" w:rsidRPr="005A792C">
        <w:rPr>
          <w:rFonts w:ascii="Times" w:hAnsi="Times" w:cs="Times"/>
          <w:sz w:val="20"/>
        </w:rPr>
        <w:t>aeronautic</w:t>
      </w:r>
      <w:proofErr w:type="spellEnd"/>
      <w:r w:rsidR="00B1784F" w:rsidRPr="005A792C">
        <w:rPr>
          <w:rFonts w:ascii="Times" w:hAnsi="Times" w:cs="Times"/>
          <w:sz w:val="20"/>
        </w:rPr>
        <w:t xml:space="preserve"> applications », </w:t>
      </w:r>
      <w:r w:rsidR="00B1784F" w:rsidRPr="005A792C">
        <w:rPr>
          <w:rFonts w:ascii="Times" w:hAnsi="Times" w:cs="Times"/>
          <w:i/>
          <w:iCs/>
          <w:sz w:val="20"/>
        </w:rPr>
        <w:t xml:space="preserve">Composites Part </w:t>
      </w:r>
      <w:proofErr w:type="gramStart"/>
      <w:r w:rsidR="00B1784F" w:rsidRPr="005A792C">
        <w:rPr>
          <w:rFonts w:ascii="Times" w:hAnsi="Times" w:cs="Times"/>
          <w:i/>
          <w:iCs/>
          <w:sz w:val="20"/>
        </w:rPr>
        <w:t>C:</w:t>
      </w:r>
      <w:proofErr w:type="gramEnd"/>
      <w:r w:rsidR="00B1784F" w:rsidRPr="005A792C">
        <w:rPr>
          <w:rFonts w:ascii="Times" w:hAnsi="Times" w:cs="Times"/>
          <w:i/>
          <w:iCs/>
          <w:sz w:val="20"/>
        </w:rPr>
        <w:t xml:space="preserve"> Open Access</w:t>
      </w:r>
      <w:r w:rsidR="00B1784F" w:rsidRPr="005A792C">
        <w:rPr>
          <w:rFonts w:ascii="Times" w:hAnsi="Times" w:cs="Times"/>
          <w:sz w:val="20"/>
        </w:rPr>
        <w:t xml:space="preserve">, vol. 1, p. 100004, août 2020, </w:t>
      </w:r>
      <w:proofErr w:type="spellStart"/>
      <w:r w:rsidR="00B1784F" w:rsidRPr="005A792C">
        <w:rPr>
          <w:rFonts w:ascii="Times" w:hAnsi="Times" w:cs="Times"/>
          <w:sz w:val="20"/>
        </w:rPr>
        <w:t>doi</w:t>
      </w:r>
      <w:proofErr w:type="spellEnd"/>
      <w:r w:rsidR="00B1784F" w:rsidRPr="005A792C">
        <w:rPr>
          <w:rFonts w:ascii="Times" w:hAnsi="Times" w:cs="Times"/>
          <w:sz w:val="20"/>
        </w:rPr>
        <w:t>: 10.1016/j.jcomc.2020.100004.</w:t>
      </w:r>
    </w:p>
    <w:p w14:paraId="2838FAD8"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lastRenderedPageBreak/>
        <w:t>[2]</w:t>
      </w:r>
      <w:r w:rsidRPr="00B1784F">
        <w:rPr>
          <w:rFonts w:ascii="Times" w:hAnsi="Times" w:cs="Times"/>
          <w:sz w:val="20"/>
          <w:lang w:val="en-US"/>
        </w:rPr>
        <w:tab/>
        <w:t xml:space="preserve">C. Mair-Bauernfeind, M. Zimek, R. Asada, D. Bauernfeind, R. Baumgartner, et T. Stern, « Prospective sustainability assessment: the case of wood in automotive applications », </w:t>
      </w:r>
      <w:r w:rsidRPr="00B1784F">
        <w:rPr>
          <w:rFonts w:ascii="Times" w:hAnsi="Times" w:cs="Times"/>
          <w:i/>
          <w:iCs/>
          <w:sz w:val="20"/>
          <w:lang w:val="en-US"/>
        </w:rPr>
        <w:t>The International Journal of Life Cycle Assessment</w:t>
      </w:r>
      <w:r w:rsidRPr="00B1784F">
        <w:rPr>
          <w:rFonts w:ascii="Times" w:hAnsi="Times" w:cs="Times"/>
          <w:sz w:val="20"/>
          <w:lang w:val="en-US"/>
        </w:rPr>
        <w:t>, vol. 25, p. 2027‑2049, oct. 2020, doi: 10.1007/s11367-020-01803-y.</w:t>
      </w:r>
    </w:p>
    <w:p w14:paraId="2CFC0B6F"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[3]</w:t>
      </w:r>
      <w:r w:rsidRPr="00B1784F">
        <w:rPr>
          <w:rFonts w:ascii="Times" w:hAnsi="Times" w:cs="Times"/>
          <w:sz w:val="20"/>
          <w:lang w:val="en-US"/>
        </w:rPr>
        <w:tab/>
        <w:t xml:space="preserve">R. Guélou, F. Eyma, A. Cantarel, S. Rivallant, et B. Castanié, « Crashworthiness of poplar wood veneer tubes », </w:t>
      </w:r>
      <w:r w:rsidRPr="00B1784F">
        <w:rPr>
          <w:rFonts w:ascii="Times" w:hAnsi="Times" w:cs="Times"/>
          <w:i/>
          <w:iCs/>
          <w:sz w:val="20"/>
          <w:lang w:val="en-US"/>
        </w:rPr>
        <w:t>International Journal of Impact Engineering</w:t>
      </w:r>
      <w:r w:rsidRPr="00B1784F">
        <w:rPr>
          <w:rFonts w:ascii="Times" w:hAnsi="Times" w:cs="Times"/>
          <w:sz w:val="20"/>
          <w:lang w:val="en-US"/>
        </w:rPr>
        <w:t>, vol. 147, p. 103738, janv. 2021, doi: 10.1016/j.ijimpeng.2020.103738.</w:t>
      </w:r>
    </w:p>
    <w:p w14:paraId="5C4F686E" w14:textId="77777777" w:rsidR="00B1784F" w:rsidRPr="00B1784F" w:rsidRDefault="00B1784F" w:rsidP="00B1784F">
      <w:pPr>
        <w:pStyle w:val="Bibliographie"/>
        <w:rPr>
          <w:rFonts w:ascii="Times" w:hAnsi="Times" w:cs="Times"/>
          <w:sz w:val="20"/>
        </w:rPr>
      </w:pPr>
      <w:r w:rsidRPr="00B1784F">
        <w:rPr>
          <w:rFonts w:ascii="Times" w:hAnsi="Times" w:cs="Times"/>
          <w:sz w:val="20"/>
        </w:rPr>
        <w:t>[4]</w:t>
      </w:r>
      <w:r w:rsidRPr="00B1784F">
        <w:rPr>
          <w:rFonts w:ascii="Times" w:hAnsi="Times" w:cs="Times"/>
          <w:sz w:val="20"/>
        </w:rPr>
        <w:tab/>
        <w:t>« WoodC.A.R. » https://woodcar.eu/ (consulté le 16 mai 2023).</w:t>
      </w:r>
    </w:p>
    <w:p w14:paraId="6D662C42" w14:textId="77777777" w:rsidR="00B1784F" w:rsidRPr="00B1784F" w:rsidRDefault="00B1784F" w:rsidP="00B1784F">
      <w:pPr>
        <w:pStyle w:val="Bibliographie"/>
        <w:rPr>
          <w:rFonts w:ascii="Times" w:hAnsi="Times" w:cs="Times"/>
          <w:sz w:val="20"/>
        </w:rPr>
      </w:pPr>
      <w:r w:rsidRPr="00B1784F">
        <w:rPr>
          <w:rFonts w:ascii="Times" w:hAnsi="Times" w:cs="Times"/>
          <w:sz w:val="20"/>
        </w:rPr>
        <w:t>[5]</w:t>
      </w:r>
      <w:r w:rsidRPr="00B1784F">
        <w:rPr>
          <w:rFonts w:ascii="Times" w:hAnsi="Times" w:cs="Times"/>
          <w:sz w:val="20"/>
        </w:rPr>
        <w:tab/>
        <w:t xml:space="preserve">« AURA AERO », </w:t>
      </w:r>
      <w:r w:rsidRPr="00B1784F">
        <w:rPr>
          <w:rFonts w:ascii="Times" w:hAnsi="Times" w:cs="Times"/>
          <w:i/>
          <w:iCs/>
          <w:sz w:val="20"/>
        </w:rPr>
        <w:t>Aura Aero</w:t>
      </w:r>
      <w:r w:rsidRPr="00B1784F">
        <w:rPr>
          <w:rFonts w:ascii="Times" w:hAnsi="Times" w:cs="Times"/>
          <w:sz w:val="20"/>
        </w:rPr>
        <w:t>. https://aura-aero.com/ (consulté le 16 mai 2023).</w:t>
      </w:r>
    </w:p>
    <w:p w14:paraId="03BCDA30"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[6]</w:t>
      </w:r>
      <w:r w:rsidRPr="00B1784F">
        <w:rPr>
          <w:rFonts w:ascii="Times" w:hAnsi="Times" w:cs="Times"/>
          <w:sz w:val="20"/>
          <w:lang w:val="en-US"/>
        </w:rPr>
        <w:tab/>
        <w:t xml:space="preserve">Y. Kiliç, M. Colak, E. Baysal, et E. Burdurlu, « An investigation of some physical and mechanical properties of laminated veneer lumber manufactured from black alder (AInus glutinosa) glued with polyvinyl acetate and polyurethane adhesives », </w:t>
      </w:r>
      <w:r w:rsidRPr="00B1784F">
        <w:rPr>
          <w:rFonts w:ascii="Times" w:hAnsi="Times" w:cs="Times"/>
          <w:i/>
          <w:iCs/>
          <w:sz w:val="20"/>
          <w:lang w:val="en-US"/>
        </w:rPr>
        <w:t>Forest Products Society</w:t>
      </w:r>
      <w:r w:rsidRPr="00B1784F">
        <w:rPr>
          <w:rFonts w:ascii="Times" w:hAnsi="Times" w:cs="Times"/>
          <w:sz w:val="20"/>
          <w:lang w:val="en-US"/>
        </w:rPr>
        <w:t>, vol. 56, n</w:t>
      </w:r>
      <w:r w:rsidRPr="00B1784F">
        <w:rPr>
          <w:rFonts w:ascii="Times" w:hAnsi="Times" w:cs="Times"/>
          <w:sz w:val="20"/>
          <w:vertAlign w:val="superscript"/>
          <w:lang w:val="en-US"/>
        </w:rPr>
        <w:t>o</w:t>
      </w:r>
      <w:r w:rsidRPr="00B1784F">
        <w:rPr>
          <w:rFonts w:ascii="Times" w:hAnsi="Times" w:cs="Times"/>
          <w:sz w:val="20"/>
          <w:lang w:val="en-US"/>
        </w:rPr>
        <w:t xml:space="preserve"> 9, p. 5, 2006.</w:t>
      </w:r>
    </w:p>
    <w:p w14:paraId="7F0B20CD" w14:textId="5296E3D4"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[7]</w:t>
      </w:r>
      <w:r w:rsidRPr="00B1784F">
        <w:rPr>
          <w:rFonts w:ascii="Times" w:hAnsi="Times" w:cs="Times"/>
          <w:sz w:val="20"/>
          <w:lang w:val="en-US"/>
        </w:rPr>
        <w:tab/>
        <w:t>E. L. Schaffer, R. W. Jokerst, R. C. Moody, C. C. Peters, J. L. Tschernitz, et J. J. Zahn, « </w:t>
      </w:r>
      <w:r w:rsidR="005A792C" w:rsidRPr="00B1784F">
        <w:rPr>
          <w:rFonts w:ascii="Times" w:hAnsi="Times" w:cs="Times"/>
          <w:sz w:val="20"/>
          <w:lang w:val="en-US"/>
        </w:rPr>
        <w:t xml:space="preserve">Feasibility </w:t>
      </w:r>
      <w:r w:rsidR="005A792C">
        <w:rPr>
          <w:rFonts w:ascii="Times" w:hAnsi="Times" w:cs="Times"/>
          <w:sz w:val="20"/>
          <w:lang w:val="en-US"/>
        </w:rPr>
        <w:t>o</w:t>
      </w:r>
      <w:r w:rsidR="005A792C" w:rsidRPr="00B1784F">
        <w:rPr>
          <w:rFonts w:ascii="Times" w:hAnsi="Times" w:cs="Times"/>
          <w:sz w:val="20"/>
          <w:lang w:val="en-US"/>
        </w:rPr>
        <w:t xml:space="preserve">f Producing </w:t>
      </w:r>
      <w:r w:rsidR="005A792C">
        <w:rPr>
          <w:rFonts w:ascii="Times" w:hAnsi="Times" w:cs="Times"/>
          <w:sz w:val="20"/>
          <w:lang w:val="en-US"/>
        </w:rPr>
        <w:t>a</w:t>
      </w:r>
      <w:r w:rsidR="005A792C" w:rsidRPr="00B1784F">
        <w:rPr>
          <w:rFonts w:ascii="Times" w:hAnsi="Times" w:cs="Times"/>
          <w:sz w:val="20"/>
          <w:lang w:val="en-US"/>
        </w:rPr>
        <w:t xml:space="preserve"> High-Yield Laminated Structural Product </w:t>
      </w:r>
      <w:r w:rsidRPr="00B1784F">
        <w:rPr>
          <w:rFonts w:ascii="Times" w:hAnsi="Times" w:cs="Times"/>
          <w:sz w:val="20"/>
          <w:lang w:val="en-US"/>
        </w:rPr>
        <w:t>General Summary », p. 23, 1972.</w:t>
      </w:r>
    </w:p>
    <w:p w14:paraId="68F64F9B" w14:textId="333CD75F"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[8]</w:t>
      </w:r>
      <w:r w:rsidRPr="00B1784F">
        <w:rPr>
          <w:rFonts w:ascii="Times" w:hAnsi="Times" w:cs="Times"/>
          <w:sz w:val="20"/>
          <w:lang w:val="en-US"/>
        </w:rPr>
        <w:tab/>
        <w:t xml:space="preserve">W. L. Hoover, J. M. Ringe, C. A. Eckelman, et J. A. Youngquist, « Material design faetors for hardwood laminated-veneer-lumber », </w:t>
      </w:r>
      <w:r w:rsidR="005A792C" w:rsidRPr="00B1784F">
        <w:rPr>
          <w:rFonts w:ascii="Times" w:hAnsi="Times" w:cs="Times"/>
          <w:i/>
          <w:iCs/>
          <w:sz w:val="20"/>
          <w:lang w:val="en-US"/>
        </w:rPr>
        <w:t>Forest Products Journal</w:t>
      </w:r>
      <w:r w:rsidRPr="00B1784F">
        <w:rPr>
          <w:rFonts w:ascii="Times" w:hAnsi="Times" w:cs="Times"/>
          <w:sz w:val="20"/>
          <w:lang w:val="en-US"/>
        </w:rPr>
        <w:t>, vol. 37, n</w:t>
      </w:r>
      <w:r w:rsidRPr="00B1784F">
        <w:rPr>
          <w:rFonts w:ascii="Times" w:hAnsi="Times" w:cs="Times"/>
          <w:sz w:val="20"/>
          <w:vertAlign w:val="superscript"/>
          <w:lang w:val="en-US"/>
        </w:rPr>
        <w:t>o</w:t>
      </w:r>
      <w:r w:rsidRPr="00B1784F">
        <w:rPr>
          <w:rFonts w:ascii="Times" w:hAnsi="Times" w:cs="Times"/>
          <w:sz w:val="20"/>
          <w:lang w:val="en-US"/>
        </w:rPr>
        <w:t xml:space="preserve"> 9, p. 5, 1987.</w:t>
      </w:r>
    </w:p>
    <w:p w14:paraId="4C58E651"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[9]</w:t>
      </w:r>
      <w:r w:rsidRPr="00B1784F">
        <w:rPr>
          <w:rFonts w:ascii="Times" w:hAnsi="Times" w:cs="Times"/>
          <w:sz w:val="20"/>
          <w:lang w:val="en-US"/>
        </w:rPr>
        <w:tab/>
        <w:t xml:space="preserve">P. S. H’ng, M. T. Paridah, et K. L. Chin, « Bending Properties of Laminated Veneer Lumber Produced from Keruing (Dipterocarpus sp.) Reinforced with Low Density Wood Species », </w:t>
      </w:r>
      <w:r w:rsidRPr="00B1784F">
        <w:rPr>
          <w:rFonts w:ascii="Times" w:hAnsi="Times" w:cs="Times"/>
          <w:i/>
          <w:iCs/>
          <w:sz w:val="20"/>
          <w:lang w:val="en-US"/>
        </w:rPr>
        <w:t>Asian Journal of Scientific Research</w:t>
      </w:r>
      <w:r w:rsidRPr="00B1784F">
        <w:rPr>
          <w:rFonts w:ascii="Times" w:hAnsi="Times" w:cs="Times"/>
          <w:sz w:val="20"/>
          <w:lang w:val="en-US"/>
        </w:rPr>
        <w:t>, 2010, doi: 10.3923/ajsr.2010.118.125.</w:t>
      </w:r>
    </w:p>
    <w:p w14:paraId="098898AE"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[10]</w:t>
      </w:r>
      <w:r w:rsidRPr="00B1784F">
        <w:rPr>
          <w:rFonts w:ascii="Times" w:hAnsi="Times" w:cs="Times"/>
          <w:sz w:val="20"/>
          <w:lang w:val="en-US"/>
        </w:rPr>
        <w:tab/>
        <w:t xml:space="preserve">A. Daoui, C. Descamps, R. Marchal, et A. Zerizer, « Influence of veneer quality on beech LVL mechanical properties », </w:t>
      </w:r>
      <w:r w:rsidRPr="00B1784F">
        <w:rPr>
          <w:rFonts w:ascii="Times" w:hAnsi="Times" w:cs="Times"/>
          <w:i/>
          <w:iCs/>
          <w:sz w:val="20"/>
          <w:lang w:val="en-US"/>
        </w:rPr>
        <w:t>Maderas, Cienc. tecnol.</w:t>
      </w:r>
      <w:r w:rsidRPr="00B1784F">
        <w:rPr>
          <w:rFonts w:ascii="Times" w:hAnsi="Times" w:cs="Times"/>
          <w:sz w:val="20"/>
          <w:lang w:val="en-US"/>
        </w:rPr>
        <w:t>, vol. 13, n</w:t>
      </w:r>
      <w:r w:rsidRPr="00B1784F">
        <w:rPr>
          <w:rFonts w:ascii="Times" w:hAnsi="Times" w:cs="Times"/>
          <w:sz w:val="20"/>
          <w:vertAlign w:val="superscript"/>
          <w:lang w:val="en-US"/>
        </w:rPr>
        <w:t>o</w:t>
      </w:r>
      <w:r w:rsidRPr="00B1784F">
        <w:rPr>
          <w:rFonts w:ascii="Times" w:hAnsi="Times" w:cs="Times"/>
          <w:sz w:val="20"/>
          <w:lang w:val="en-US"/>
        </w:rPr>
        <w:t xml:space="preserve"> 1, p. 69‑83, 2011, doi: 10.4067/S0718-221X2011000100007.</w:t>
      </w:r>
    </w:p>
    <w:p w14:paraId="58560A39" w14:textId="070E79E0"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[11]</w:t>
      </w:r>
      <w:r w:rsidRPr="00B1784F">
        <w:rPr>
          <w:rFonts w:ascii="Times" w:hAnsi="Times" w:cs="Times"/>
          <w:sz w:val="20"/>
          <w:lang w:val="en-US"/>
        </w:rPr>
        <w:tab/>
        <w:t xml:space="preserve">J. A. Youngquist, T. L. Laufenberg, et B. S. Bryant, « End jointing of laminated veneer lumber for structural use », </w:t>
      </w:r>
      <w:r w:rsidR="005A792C" w:rsidRPr="00B1784F">
        <w:rPr>
          <w:rFonts w:ascii="Times" w:hAnsi="Times" w:cs="Times"/>
          <w:i/>
          <w:iCs/>
          <w:sz w:val="20"/>
          <w:lang w:val="en-US"/>
        </w:rPr>
        <w:t>Forest Products Journal</w:t>
      </w:r>
      <w:r w:rsidRPr="00B1784F">
        <w:rPr>
          <w:rFonts w:ascii="Times" w:hAnsi="Times" w:cs="Times"/>
          <w:sz w:val="20"/>
          <w:lang w:val="en-US"/>
        </w:rPr>
        <w:t>, p. 8, 1984.</w:t>
      </w:r>
    </w:p>
    <w:p w14:paraId="77D323B1"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[12]</w:t>
      </w:r>
      <w:r w:rsidRPr="00B1784F">
        <w:rPr>
          <w:rFonts w:ascii="Times" w:hAnsi="Times" w:cs="Times"/>
          <w:sz w:val="20"/>
          <w:lang w:val="en-US"/>
        </w:rPr>
        <w:tab/>
        <w:t xml:space="preserve">M. Lechner, P. Dietsch, et S. Winter, « Veneer-reinforced timber – Numerical and experimental studies on a novel hybrid timber product », </w:t>
      </w:r>
      <w:r w:rsidRPr="00B1784F">
        <w:rPr>
          <w:rFonts w:ascii="Times" w:hAnsi="Times" w:cs="Times"/>
          <w:i/>
          <w:iCs/>
          <w:sz w:val="20"/>
          <w:lang w:val="en-US"/>
        </w:rPr>
        <w:t>Construction and Building Materials</w:t>
      </w:r>
      <w:r w:rsidRPr="00B1784F">
        <w:rPr>
          <w:rFonts w:ascii="Times" w:hAnsi="Times" w:cs="Times"/>
          <w:sz w:val="20"/>
          <w:lang w:val="en-US"/>
        </w:rPr>
        <w:t>, vol. 298, p. 123880, sept. 2021, doi: 10.1016/j.conbuildmat.2021.123880.</w:t>
      </w:r>
    </w:p>
    <w:p w14:paraId="7A0D2838"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[13]</w:t>
      </w:r>
      <w:r w:rsidRPr="00B1784F">
        <w:rPr>
          <w:rFonts w:ascii="Times" w:hAnsi="Times" w:cs="Times"/>
          <w:sz w:val="20"/>
          <w:lang w:val="en-US"/>
        </w:rPr>
        <w:tab/>
        <w:t xml:space="preserve">J. Susainathan, F. Eyma, E. De Luycker, A. Cantarel, et B. Castanie, « Numerical modeling of impact on wood-based sandwich structures », </w:t>
      </w:r>
      <w:r w:rsidRPr="00B1784F">
        <w:rPr>
          <w:rFonts w:ascii="Times" w:hAnsi="Times" w:cs="Times"/>
          <w:i/>
          <w:iCs/>
          <w:sz w:val="20"/>
          <w:lang w:val="en-US"/>
        </w:rPr>
        <w:t>Mechanics of Advanced Materials and Structures</w:t>
      </w:r>
      <w:r w:rsidRPr="00B1784F">
        <w:rPr>
          <w:rFonts w:ascii="Times" w:hAnsi="Times" w:cs="Times"/>
          <w:sz w:val="20"/>
          <w:lang w:val="en-US"/>
        </w:rPr>
        <w:t>, vol. 27, n</w:t>
      </w:r>
      <w:r w:rsidRPr="00B1784F">
        <w:rPr>
          <w:rFonts w:ascii="Times" w:hAnsi="Times" w:cs="Times"/>
          <w:sz w:val="20"/>
          <w:vertAlign w:val="superscript"/>
          <w:lang w:val="en-US"/>
        </w:rPr>
        <w:t>o</w:t>
      </w:r>
      <w:r w:rsidRPr="00B1784F">
        <w:rPr>
          <w:rFonts w:ascii="Times" w:hAnsi="Times" w:cs="Times"/>
          <w:sz w:val="20"/>
          <w:lang w:val="en-US"/>
        </w:rPr>
        <w:t xml:space="preserve"> 18, Art. n</w:t>
      </w:r>
      <w:r w:rsidRPr="00B1784F">
        <w:rPr>
          <w:rFonts w:ascii="Times" w:hAnsi="Times" w:cs="Times"/>
          <w:sz w:val="20"/>
          <w:vertAlign w:val="superscript"/>
          <w:lang w:val="en-US"/>
        </w:rPr>
        <w:t>o</w:t>
      </w:r>
      <w:r w:rsidRPr="00B1784F">
        <w:rPr>
          <w:rFonts w:ascii="Times" w:hAnsi="Times" w:cs="Times"/>
          <w:sz w:val="20"/>
          <w:lang w:val="en-US"/>
        </w:rPr>
        <w:t xml:space="preserve"> 18, sept. 2020, doi: 10.1080/15376494.2018.1519619.</w:t>
      </w:r>
    </w:p>
    <w:p w14:paraId="65CCF456"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[14]</w:t>
      </w:r>
      <w:r w:rsidRPr="00B1784F">
        <w:rPr>
          <w:rFonts w:ascii="Times" w:hAnsi="Times" w:cs="Times"/>
          <w:sz w:val="20"/>
          <w:lang w:val="en-US"/>
        </w:rPr>
        <w:tab/>
        <w:t xml:space="preserve">M. Pramreiter </w:t>
      </w:r>
      <w:r w:rsidRPr="00B1784F">
        <w:rPr>
          <w:rFonts w:ascii="Times" w:hAnsi="Times" w:cs="Times"/>
          <w:i/>
          <w:iCs/>
          <w:sz w:val="20"/>
          <w:lang w:val="en-US"/>
        </w:rPr>
        <w:t>et al.</w:t>
      </w:r>
      <w:r w:rsidRPr="00B1784F">
        <w:rPr>
          <w:rFonts w:ascii="Times" w:hAnsi="Times" w:cs="Times"/>
          <w:sz w:val="20"/>
          <w:lang w:val="en-US"/>
        </w:rPr>
        <w:t xml:space="preserve">, « The Influence of Thickness on the Tensile Strength of Finnish Birch Veneers under Varying Load Angles », </w:t>
      </w:r>
      <w:r w:rsidRPr="00B1784F">
        <w:rPr>
          <w:rFonts w:ascii="Times" w:hAnsi="Times" w:cs="Times"/>
          <w:i/>
          <w:iCs/>
          <w:sz w:val="20"/>
          <w:lang w:val="en-US"/>
        </w:rPr>
        <w:t>Forests</w:t>
      </w:r>
      <w:r w:rsidRPr="00B1784F">
        <w:rPr>
          <w:rFonts w:ascii="Times" w:hAnsi="Times" w:cs="Times"/>
          <w:sz w:val="20"/>
          <w:lang w:val="en-US"/>
        </w:rPr>
        <w:t>, vol. 12, n</w:t>
      </w:r>
      <w:r w:rsidRPr="00B1784F">
        <w:rPr>
          <w:rFonts w:ascii="Times" w:hAnsi="Times" w:cs="Times"/>
          <w:sz w:val="20"/>
          <w:vertAlign w:val="superscript"/>
          <w:lang w:val="en-US"/>
        </w:rPr>
        <w:t>o</w:t>
      </w:r>
      <w:r w:rsidRPr="00B1784F">
        <w:rPr>
          <w:rFonts w:ascii="Times" w:hAnsi="Times" w:cs="Times"/>
          <w:sz w:val="20"/>
          <w:lang w:val="en-US"/>
        </w:rPr>
        <w:t xml:space="preserve"> 1, Art. n</w:t>
      </w:r>
      <w:r w:rsidRPr="00B1784F">
        <w:rPr>
          <w:rFonts w:ascii="Times" w:hAnsi="Times" w:cs="Times"/>
          <w:sz w:val="20"/>
          <w:vertAlign w:val="superscript"/>
          <w:lang w:val="en-US"/>
        </w:rPr>
        <w:t>o</w:t>
      </w:r>
      <w:r w:rsidRPr="00B1784F">
        <w:rPr>
          <w:rFonts w:ascii="Times" w:hAnsi="Times" w:cs="Times"/>
          <w:sz w:val="20"/>
          <w:lang w:val="en-US"/>
        </w:rPr>
        <w:t xml:space="preserve"> 1, janv. 2021, doi: 10.3390/f12010087.</w:t>
      </w:r>
    </w:p>
    <w:p w14:paraId="02C67B29" w14:textId="77777777" w:rsidR="00B1784F" w:rsidRPr="00B1784F" w:rsidRDefault="00B1784F" w:rsidP="00B1784F">
      <w:pPr>
        <w:pStyle w:val="Bibliographie"/>
        <w:rPr>
          <w:rFonts w:ascii="Times" w:hAnsi="Times" w:cs="Times"/>
          <w:sz w:val="20"/>
        </w:rPr>
      </w:pPr>
      <w:r w:rsidRPr="00B1784F">
        <w:rPr>
          <w:rFonts w:ascii="Times" w:hAnsi="Times" w:cs="Times"/>
          <w:sz w:val="20"/>
          <w:lang w:val="en-US"/>
        </w:rPr>
        <w:t>[15]</w:t>
      </w:r>
      <w:r w:rsidRPr="00B1784F">
        <w:rPr>
          <w:rFonts w:ascii="Times" w:hAnsi="Times" w:cs="Times"/>
          <w:sz w:val="20"/>
          <w:lang w:val="en-US"/>
        </w:rPr>
        <w:tab/>
        <w:t xml:space="preserve">T. F. Shupe, C.-Y. Hse, E. T. Choong, et L. H. Groom, « Effects of silvicultural practice and moisture content level on lobolly pine veneer mechanical properties », </w:t>
      </w:r>
      <w:r w:rsidRPr="00B1784F">
        <w:rPr>
          <w:rFonts w:ascii="Times" w:hAnsi="Times" w:cs="Times"/>
          <w:i/>
          <w:iCs/>
          <w:sz w:val="20"/>
          <w:lang w:val="en-US"/>
        </w:rPr>
        <w:t>Forest Products Journal 47(11/12):92-96</w:t>
      </w:r>
      <w:r w:rsidRPr="00B1784F">
        <w:rPr>
          <w:rFonts w:ascii="Times" w:hAnsi="Times" w:cs="Times"/>
          <w:sz w:val="20"/>
          <w:lang w:val="en-US"/>
        </w:rPr>
        <w:t xml:space="preserve">, 1998, Consulté le: 14 juin 2022. </w:t>
      </w:r>
      <w:r w:rsidRPr="00B1784F">
        <w:rPr>
          <w:rFonts w:ascii="Times" w:hAnsi="Times" w:cs="Times"/>
          <w:sz w:val="20"/>
        </w:rPr>
        <w:t>[En ligne]. Disponible sur: http://www.fs.usda.gov/treesearch/pubs/8287</w:t>
      </w:r>
    </w:p>
    <w:p w14:paraId="136F874C"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[16]</w:t>
      </w:r>
      <w:r w:rsidRPr="00B1784F">
        <w:rPr>
          <w:rFonts w:ascii="Times" w:hAnsi="Times" w:cs="Times"/>
          <w:sz w:val="20"/>
          <w:lang w:val="en-US"/>
        </w:rPr>
        <w:tab/>
        <w:t xml:space="preserve">Q. Wu, Z. Cai, et J. N. Lee, « Tensile and dimensional properties of wood strands made from plantation southern pine lumber », </w:t>
      </w:r>
      <w:r w:rsidRPr="00B1784F">
        <w:rPr>
          <w:rFonts w:ascii="Times" w:hAnsi="Times" w:cs="Times"/>
          <w:i/>
          <w:iCs/>
          <w:sz w:val="20"/>
          <w:lang w:val="en-US"/>
        </w:rPr>
        <w:t>Forest Products Journal</w:t>
      </w:r>
      <w:r w:rsidRPr="00B1784F">
        <w:rPr>
          <w:rFonts w:ascii="Times" w:hAnsi="Times" w:cs="Times"/>
          <w:sz w:val="20"/>
          <w:lang w:val="en-US"/>
        </w:rPr>
        <w:t>, p. 7, 2005.</w:t>
      </w:r>
    </w:p>
    <w:p w14:paraId="38A63951"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[17]</w:t>
      </w:r>
      <w:r w:rsidRPr="00B1784F">
        <w:rPr>
          <w:rFonts w:ascii="Times" w:hAnsi="Times" w:cs="Times"/>
          <w:sz w:val="20"/>
          <w:lang w:val="en-US"/>
        </w:rPr>
        <w:tab/>
        <w:t xml:space="preserve">G. Y. Jeong, A. Zink-Sharp, et D. P. Hindman, « Applying digital image correlation to wood strands: Influence of loading rate and specimen thickness », </w:t>
      </w:r>
      <w:r w:rsidRPr="00B1784F">
        <w:rPr>
          <w:rFonts w:ascii="Times" w:hAnsi="Times" w:cs="Times"/>
          <w:i/>
          <w:iCs/>
          <w:sz w:val="20"/>
          <w:lang w:val="en-US"/>
        </w:rPr>
        <w:t>Holzforschung</w:t>
      </w:r>
      <w:r w:rsidRPr="00B1784F">
        <w:rPr>
          <w:rFonts w:ascii="Times" w:hAnsi="Times" w:cs="Times"/>
          <w:sz w:val="20"/>
          <w:lang w:val="en-US"/>
        </w:rPr>
        <w:t>, vol. 64, n</w:t>
      </w:r>
      <w:r w:rsidRPr="00B1784F">
        <w:rPr>
          <w:rFonts w:ascii="Times" w:hAnsi="Times" w:cs="Times"/>
          <w:sz w:val="20"/>
          <w:vertAlign w:val="superscript"/>
          <w:lang w:val="en-US"/>
        </w:rPr>
        <w:t>o</w:t>
      </w:r>
      <w:r w:rsidRPr="00B1784F">
        <w:rPr>
          <w:rFonts w:ascii="Times" w:hAnsi="Times" w:cs="Times"/>
          <w:sz w:val="20"/>
          <w:lang w:val="en-US"/>
        </w:rPr>
        <w:t xml:space="preserve"> 6, p. 729‑734, oct. 2010, doi: 10.1515/hf.2010.110.</w:t>
      </w:r>
    </w:p>
    <w:p w14:paraId="5BF1A693"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[18]</w:t>
      </w:r>
      <w:r w:rsidRPr="00B1784F">
        <w:rPr>
          <w:rFonts w:ascii="Times" w:hAnsi="Times" w:cs="Times"/>
          <w:sz w:val="20"/>
          <w:lang w:val="en-US"/>
        </w:rPr>
        <w:tab/>
        <w:t xml:space="preserve">G. Balduzzi, L. Zelaya-Lainez, G. Hochreiner, et C. Hellmich, « Dog-bone Samples may not Provide Direct Access to the Longitudinal Tensile Strength of Clear-wood », </w:t>
      </w:r>
      <w:r w:rsidRPr="00B1784F">
        <w:rPr>
          <w:rFonts w:ascii="Times" w:hAnsi="Times" w:cs="Times"/>
          <w:i/>
          <w:iCs/>
          <w:sz w:val="20"/>
          <w:lang w:val="en-US"/>
        </w:rPr>
        <w:t>TOCIEJ</w:t>
      </w:r>
      <w:r w:rsidRPr="00B1784F">
        <w:rPr>
          <w:rFonts w:ascii="Times" w:hAnsi="Times" w:cs="Times"/>
          <w:sz w:val="20"/>
          <w:lang w:val="en-US"/>
        </w:rPr>
        <w:t>, vol. 15, n</w:t>
      </w:r>
      <w:r w:rsidRPr="00B1784F">
        <w:rPr>
          <w:rFonts w:ascii="Times" w:hAnsi="Times" w:cs="Times"/>
          <w:sz w:val="20"/>
          <w:vertAlign w:val="superscript"/>
          <w:lang w:val="en-US"/>
        </w:rPr>
        <w:t>o</w:t>
      </w:r>
      <w:r w:rsidRPr="00B1784F">
        <w:rPr>
          <w:rFonts w:ascii="Times" w:hAnsi="Times" w:cs="Times"/>
          <w:sz w:val="20"/>
          <w:lang w:val="en-US"/>
        </w:rPr>
        <w:t xml:space="preserve"> 1, p. 1‑12, févr. 2021, doi: 10.2174/1874149502115010001.</w:t>
      </w:r>
    </w:p>
    <w:p w14:paraId="6090408C"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[19]</w:t>
      </w:r>
      <w:r w:rsidRPr="00B1784F">
        <w:rPr>
          <w:rFonts w:ascii="Times" w:hAnsi="Times" w:cs="Times"/>
          <w:sz w:val="20"/>
          <w:lang w:val="en-US"/>
        </w:rPr>
        <w:tab/>
        <w:t xml:space="preserve">R. Acosta, J. A. Montoya, et J. Welling, « Determination of the suitable shape for tensile tests parallel to the fibers in Guadua angustifolia Kunth specimens », </w:t>
      </w:r>
      <w:r w:rsidRPr="00B1784F">
        <w:rPr>
          <w:rFonts w:ascii="Times" w:hAnsi="Times" w:cs="Times"/>
          <w:i/>
          <w:iCs/>
          <w:sz w:val="20"/>
          <w:lang w:val="en-US"/>
        </w:rPr>
        <w:t>BioRes</w:t>
      </w:r>
      <w:r w:rsidRPr="00B1784F">
        <w:rPr>
          <w:rFonts w:ascii="Times" w:hAnsi="Times" w:cs="Times"/>
          <w:sz w:val="20"/>
          <w:lang w:val="en-US"/>
        </w:rPr>
        <w:t>, vol. 16, n</w:t>
      </w:r>
      <w:r w:rsidRPr="00B1784F">
        <w:rPr>
          <w:rFonts w:ascii="Times" w:hAnsi="Times" w:cs="Times"/>
          <w:sz w:val="20"/>
          <w:vertAlign w:val="superscript"/>
          <w:lang w:val="en-US"/>
        </w:rPr>
        <w:t>o</w:t>
      </w:r>
      <w:r w:rsidRPr="00B1784F">
        <w:rPr>
          <w:rFonts w:ascii="Times" w:hAnsi="Times" w:cs="Times"/>
          <w:sz w:val="20"/>
          <w:lang w:val="en-US"/>
        </w:rPr>
        <w:t xml:space="preserve"> 2, p. 3214‑3223, mars 2021, doi: 10.15376/biores.16.2.3214-3223.</w:t>
      </w:r>
    </w:p>
    <w:p w14:paraId="19093153"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[20]</w:t>
      </w:r>
      <w:r w:rsidRPr="00B1784F">
        <w:rPr>
          <w:rFonts w:ascii="Times" w:hAnsi="Times" w:cs="Times"/>
          <w:sz w:val="20"/>
          <w:lang w:val="en-US"/>
        </w:rPr>
        <w:tab/>
        <w:t xml:space="preserve">L. Denaud </w:t>
      </w:r>
      <w:r w:rsidRPr="00B1784F">
        <w:rPr>
          <w:rFonts w:ascii="Times" w:hAnsi="Times" w:cs="Times"/>
          <w:i/>
          <w:iCs/>
          <w:sz w:val="20"/>
          <w:lang w:val="en-US"/>
        </w:rPr>
        <w:t>et al.</w:t>
      </w:r>
      <w:r w:rsidRPr="00B1784F">
        <w:rPr>
          <w:rFonts w:ascii="Times" w:hAnsi="Times" w:cs="Times"/>
          <w:sz w:val="20"/>
          <w:lang w:val="en-US"/>
        </w:rPr>
        <w:t>, « Influence of Peeling Process Parameters on Veneer Lathe Check Properties », p. 11, août 2019.</w:t>
      </w:r>
    </w:p>
    <w:p w14:paraId="10B5F74D"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[21]</w:t>
      </w:r>
      <w:r w:rsidRPr="00B1784F">
        <w:rPr>
          <w:rFonts w:ascii="Times" w:hAnsi="Times" w:cs="Times"/>
          <w:sz w:val="20"/>
          <w:lang w:val="en-US"/>
        </w:rPr>
        <w:tab/>
        <w:t>G. Pot, L. Denaud, J.-C. Butaud, S. Girardon, R. Collet, et F. Cottin, « Experimental study of the influence of veneer lathe checks on LVL elastic mechanical properties », août 2016.</w:t>
      </w:r>
    </w:p>
    <w:p w14:paraId="2FDCF6A7"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[22]</w:t>
      </w:r>
      <w:r w:rsidRPr="00B1784F">
        <w:rPr>
          <w:rFonts w:ascii="Times" w:hAnsi="Times" w:cs="Times"/>
          <w:sz w:val="20"/>
          <w:lang w:val="en-US"/>
        </w:rPr>
        <w:tab/>
        <w:t xml:space="preserve">W. Leggate, R. McGavin, et H. Bailleres, </w:t>
      </w:r>
      <w:r w:rsidRPr="00B1784F">
        <w:rPr>
          <w:rFonts w:ascii="Times" w:hAnsi="Times" w:cs="Times"/>
          <w:i/>
          <w:iCs/>
          <w:sz w:val="20"/>
          <w:lang w:val="en-US"/>
        </w:rPr>
        <w:t>A guide to manufacturing rotary veneer and products from small logs</w:t>
      </w:r>
      <w:r w:rsidRPr="00B1784F">
        <w:rPr>
          <w:rFonts w:ascii="Times" w:hAnsi="Times" w:cs="Times"/>
          <w:sz w:val="20"/>
          <w:lang w:val="en-US"/>
        </w:rPr>
        <w:t>, ACIAR Monograph. 2017.</w:t>
      </w:r>
    </w:p>
    <w:p w14:paraId="4AEF288D"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[23]</w:t>
      </w:r>
      <w:r w:rsidRPr="00B1784F">
        <w:rPr>
          <w:rFonts w:ascii="Times" w:hAnsi="Times" w:cs="Times"/>
          <w:sz w:val="20"/>
          <w:lang w:val="en-US"/>
        </w:rPr>
        <w:tab/>
        <w:t xml:space="preserve">P. Reu, « All about speckles: Speckle Size Measurement », </w:t>
      </w:r>
      <w:r w:rsidRPr="00B1784F">
        <w:rPr>
          <w:rFonts w:ascii="Times" w:hAnsi="Times" w:cs="Times"/>
          <w:i/>
          <w:iCs/>
          <w:sz w:val="20"/>
          <w:lang w:val="en-US"/>
        </w:rPr>
        <w:t>Exp Techniques</w:t>
      </w:r>
      <w:r w:rsidRPr="00B1784F">
        <w:rPr>
          <w:rFonts w:ascii="Times" w:hAnsi="Times" w:cs="Times"/>
          <w:sz w:val="20"/>
          <w:lang w:val="en-US"/>
        </w:rPr>
        <w:t>, vol. 38, n</w:t>
      </w:r>
      <w:r w:rsidRPr="00B1784F">
        <w:rPr>
          <w:rFonts w:ascii="Times" w:hAnsi="Times" w:cs="Times"/>
          <w:sz w:val="20"/>
          <w:vertAlign w:val="superscript"/>
          <w:lang w:val="en-US"/>
        </w:rPr>
        <w:t>o</w:t>
      </w:r>
      <w:r w:rsidRPr="00B1784F">
        <w:rPr>
          <w:rFonts w:ascii="Times" w:hAnsi="Times" w:cs="Times"/>
          <w:sz w:val="20"/>
          <w:lang w:val="en-US"/>
        </w:rPr>
        <w:t xml:space="preserve"> 6, p. 1‑2, nov. 2014, doi: 10.1111/ext.12110.</w:t>
      </w:r>
    </w:p>
    <w:p w14:paraId="53F398CA"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[24]</w:t>
      </w:r>
      <w:r w:rsidRPr="00B1784F">
        <w:rPr>
          <w:rFonts w:ascii="Times" w:hAnsi="Times" w:cs="Times"/>
          <w:sz w:val="20"/>
          <w:lang w:val="en-US"/>
        </w:rPr>
        <w:tab/>
        <w:t xml:space="preserve">I. Gavrilovic-Grmusa, M. Dunky, J. Miljkovic, et M. Djiporovic-Momcilovic, « Influence of the viscosity of UF resins on the radial and tangential penetration into poplar wood and on the shear strength of adhesive joints », </w:t>
      </w:r>
      <w:r w:rsidRPr="00B1784F">
        <w:rPr>
          <w:rFonts w:ascii="Times" w:hAnsi="Times" w:cs="Times"/>
          <w:i/>
          <w:iCs/>
          <w:sz w:val="20"/>
          <w:lang w:val="en-US"/>
        </w:rPr>
        <w:t>Holzforschung</w:t>
      </w:r>
      <w:r w:rsidRPr="00B1784F">
        <w:rPr>
          <w:rFonts w:ascii="Times" w:hAnsi="Times" w:cs="Times"/>
          <w:sz w:val="20"/>
          <w:lang w:val="en-US"/>
        </w:rPr>
        <w:t>, vol. 66, n</w:t>
      </w:r>
      <w:r w:rsidRPr="00B1784F">
        <w:rPr>
          <w:rFonts w:ascii="Times" w:hAnsi="Times" w:cs="Times"/>
          <w:sz w:val="20"/>
          <w:vertAlign w:val="superscript"/>
          <w:lang w:val="en-US"/>
        </w:rPr>
        <w:t>o</w:t>
      </w:r>
      <w:r w:rsidRPr="00B1784F">
        <w:rPr>
          <w:rFonts w:ascii="Times" w:hAnsi="Times" w:cs="Times"/>
          <w:sz w:val="20"/>
          <w:lang w:val="en-US"/>
        </w:rPr>
        <w:t xml:space="preserve"> 7, p. 849‑856, oct. 2012, doi: 10.1515/hf-2011-0177.</w:t>
      </w:r>
    </w:p>
    <w:p w14:paraId="433968FB"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[25]</w:t>
      </w:r>
      <w:r w:rsidRPr="00B1784F">
        <w:rPr>
          <w:rFonts w:ascii="Times" w:hAnsi="Times" w:cs="Times"/>
          <w:sz w:val="20"/>
          <w:lang w:val="en-US"/>
        </w:rPr>
        <w:tab/>
        <w:t xml:space="preserve">A. A. Marra, </w:t>
      </w:r>
      <w:r w:rsidRPr="00B1784F">
        <w:rPr>
          <w:rFonts w:ascii="Times" w:hAnsi="Times" w:cs="Times"/>
          <w:i/>
          <w:iCs/>
          <w:sz w:val="20"/>
          <w:lang w:val="en-US"/>
        </w:rPr>
        <w:t>Technology of wood bonding: principles in practice</w:t>
      </w:r>
      <w:r w:rsidRPr="00B1784F">
        <w:rPr>
          <w:rFonts w:ascii="Times" w:hAnsi="Times" w:cs="Times"/>
          <w:sz w:val="20"/>
          <w:lang w:val="en-US"/>
        </w:rPr>
        <w:t>. New York: Van Nostrand Reinhold, 1992.</w:t>
      </w:r>
    </w:p>
    <w:p w14:paraId="0C7D38BB" w14:textId="77777777" w:rsidR="00B1784F" w:rsidRPr="00B1784F" w:rsidRDefault="00B1784F" w:rsidP="00B1784F">
      <w:pPr>
        <w:pStyle w:val="Bibliographie"/>
        <w:rPr>
          <w:rFonts w:ascii="Times" w:hAnsi="Times" w:cs="Times"/>
          <w:sz w:val="20"/>
          <w:lang w:val="en-US"/>
        </w:rPr>
      </w:pPr>
      <w:r w:rsidRPr="00B1784F">
        <w:rPr>
          <w:rFonts w:ascii="Times" w:hAnsi="Times" w:cs="Times"/>
          <w:sz w:val="20"/>
          <w:lang w:val="en-US"/>
        </w:rPr>
        <w:t>[26]</w:t>
      </w:r>
      <w:r w:rsidRPr="00B1784F">
        <w:rPr>
          <w:rFonts w:ascii="Times" w:hAnsi="Times" w:cs="Times"/>
          <w:sz w:val="20"/>
          <w:lang w:val="en-US"/>
        </w:rPr>
        <w:tab/>
        <w:t xml:space="preserve">F. Stoeckel, J. Konnerth, et W. Gindl-Altmutter, « Mechanical properties of adhesives for bonding wood—A review », </w:t>
      </w:r>
      <w:r w:rsidRPr="00B1784F">
        <w:rPr>
          <w:rFonts w:ascii="Times" w:hAnsi="Times" w:cs="Times"/>
          <w:i/>
          <w:iCs/>
          <w:sz w:val="20"/>
          <w:lang w:val="en-US"/>
        </w:rPr>
        <w:t>International Journal of Adhesion and Adhesives</w:t>
      </w:r>
      <w:r w:rsidRPr="00B1784F">
        <w:rPr>
          <w:rFonts w:ascii="Times" w:hAnsi="Times" w:cs="Times"/>
          <w:sz w:val="20"/>
          <w:lang w:val="en-US"/>
        </w:rPr>
        <w:t>, vol. 45, p. 32‑41, sept. 2013, doi: 10.1016/j.ijadhadh.2013.03.013.</w:t>
      </w:r>
    </w:p>
    <w:p w14:paraId="671B174F" w14:textId="59AC5308" w:rsidR="000728E0" w:rsidRPr="001679DC" w:rsidRDefault="00B1784F" w:rsidP="00B1784F">
      <w:pPr>
        <w:pStyle w:val="Bibliographie"/>
        <w:rPr>
          <w:lang w:val="en-US"/>
        </w:rPr>
      </w:pPr>
      <w:r w:rsidRPr="00B1784F">
        <w:rPr>
          <w:rFonts w:ascii="Times" w:hAnsi="Times" w:cs="Times"/>
          <w:sz w:val="20"/>
          <w:lang w:val="en-US"/>
        </w:rPr>
        <w:t>[27]</w:t>
      </w:r>
      <w:r w:rsidRPr="00B1784F">
        <w:rPr>
          <w:rFonts w:ascii="Times" w:hAnsi="Times" w:cs="Times"/>
          <w:sz w:val="20"/>
          <w:lang w:val="en-US"/>
        </w:rPr>
        <w:tab/>
        <w:t xml:space="preserve">P. Wei, X. Rao, B. J. Wang, et C. Dai, « A modified theory of composite mechanics to predict tensile modulus of </w:t>
      </w:r>
      <w:proofErr w:type="spellStart"/>
      <w:r w:rsidRPr="00B1784F">
        <w:rPr>
          <w:rFonts w:ascii="Times" w:hAnsi="Times" w:cs="Times"/>
          <w:sz w:val="20"/>
          <w:lang w:val="en-US"/>
        </w:rPr>
        <w:t>resinated</w:t>
      </w:r>
      <w:proofErr w:type="spellEnd"/>
      <w:r w:rsidRPr="00B1784F">
        <w:rPr>
          <w:rFonts w:ascii="Times" w:hAnsi="Times" w:cs="Times"/>
          <w:sz w:val="20"/>
          <w:lang w:val="en-US"/>
        </w:rPr>
        <w:t xml:space="preserve"> wood », </w:t>
      </w:r>
      <w:r w:rsidR="005A792C" w:rsidRPr="00B1784F">
        <w:rPr>
          <w:rFonts w:ascii="Times" w:hAnsi="Times" w:cs="Times"/>
          <w:i/>
          <w:iCs/>
          <w:sz w:val="20"/>
          <w:lang w:val="en-US"/>
        </w:rPr>
        <w:t>Wood Research</w:t>
      </w:r>
      <w:r w:rsidRPr="00B1784F">
        <w:rPr>
          <w:rFonts w:ascii="Times" w:hAnsi="Times" w:cs="Times"/>
          <w:sz w:val="20"/>
          <w:lang w:val="en-US"/>
        </w:rPr>
        <w:t>, vol. 60, p. 16, 2015.</w:t>
      </w:r>
      <w:r w:rsidR="003051EA" w:rsidRPr="0085367C">
        <w:fldChar w:fldCharType="end"/>
      </w:r>
    </w:p>
    <w:sectPr w:rsidR="000728E0" w:rsidRPr="001679DC" w:rsidSect="000728E0">
      <w:headerReference w:type="default" r:id="rId21"/>
      <w:footerReference w:type="default" r:id="rId2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24080" w14:textId="77777777" w:rsidR="00F02700" w:rsidRDefault="00F02700">
      <w:r>
        <w:separator/>
      </w:r>
    </w:p>
  </w:endnote>
  <w:endnote w:type="continuationSeparator" w:id="0">
    <w:p w14:paraId="4E192CA9" w14:textId="77777777" w:rsidR="00F02700" w:rsidRDefault="00F02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M Roman 12">
    <w:altName w:val="Calibri"/>
    <w:panose1 w:val="00000500000000000000"/>
    <w:charset w:val="00"/>
    <w:family w:val="modern"/>
    <w:notTrueType/>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8BDA" w14:textId="77777777" w:rsidR="00726688" w:rsidRPr="007C1D7D" w:rsidRDefault="00C73982">
    <w:pPr>
      <w:pStyle w:val="Pieddepage"/>
      <w:jc w:val="center"/>
      <w:rPr>
        <w:sz w:val="20"/>
        <w:szCs w:val="20"/>
      </w:rPr>
    </w:pPr>
    <w:r w:rsidRPr="007C1D7D">
      <w:rPr>
        <w:sz w:val="20"/>
        <w:szCs w:val="20"/>
      </w:rPr>
      <w:fldChar w:fldCharType="begin"/>
    </w:r>
    <w:r w:rsidR="00726688" w:rsidRPr="007C1D7D">
      <w:rPr>
        <w:sz w:val="20"/>
        <w:szCs w:val="20"/>
      </w:rPr>
      <w:instrText xml:space="preserve"> </w:instrText>
    </w:r>
    <w:r w:rsidR="00726688">
      <w:rPr>
        <w:sz w:val="20"/>
        <w:szCs w:val="20"/>
      </w:rPr>
      <w:instrText>PAGE</w:instrText>
    </w:r>
    <w:r w:rsidR="00726688" w:rsidRPr="007C1D7D">
      <w:rPr>
        <w:sz w:val="20"/>
        <w:szCs w:val="20"/>
      </w:rPr>
      <w:instrText xml:space="preserve">   \* MERGEFORMAT </w:instrText>
    </w:r>
    <w:r w:rsidRPr="007C1D7D">
      <w:rPr>
        <w:sz w:val="20"/>
        <w:szCs w:val="20"/>
      </w:rPr>
      <w:fldChar w:fldCharType="separate"/>
    </w:r>
    <w:r w:rsidR="00306B42">
      <w:rPr>
        <w:noProof/>
        <w:sz w:val="20"/>
        <w:szCs w:val="20"/>
      </w:rPr>
      <w:t>1</w:t>
    </w:r>
    <w:r w:rsidRPr="007C1D7D">
      <w:rPr>
        <w:sz w:val="20"/>
        <w:szCs w:val="20"/>
      </w:rPr>
      <w:fldChar w:fldCharType="end"/>
    </w:r>
  </w:p>
  <w:p w14:paraId="361B211C" w14:textId="77777777" w:rsidR="00726688" w:rsidRDefault="007266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3C67C" w14:textId="77777777" w:rsidR="00F02700" w:rsidRDefault="00F02700">
      <w:r>
        <w:separator/>
      </w:r>
    </w:p>
  </w:footnote>
  <w:footnote w:type="continuationSeparator" w:id="0">
    <w:p w14:paraId="0341072B" w14:textId="77777777" w:rsidR="00F02700" w:rsidRDefault="00F02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7C7D" w14:textId="77777777" w:rsidR="00726688" w:rsidRPr="00596806" w:rsidRDefault="00726688" w:rsidP="00A60C82">
    <w:pPr>
      <w:pStyle w:val="Pieddepage"/>
      <w:pBdr>
        <w:bottom w:val="single" w:sz="4" w:space="1" w:color="auto"/>
      </w:pBdr>
      <w:tabs>
        <w:tab w:val="clear" w:pos="4536"/>
        <w:tab w:val="clear" w:pos="9072"/>
      </w:tabs>
      <w:ind w:left="142" w:hanging="142"/>
    </w:pPr>
    <w:r>
      <w:t xml:space="preserve">Comptes Rendus des </w:t>
    </w:r>
    <w:r w:rsidRPr="009306FB">
      <w:t xml:space="preserve">JNC </w:t>
    </w:r>
    <w:r w:rsidR="00FC5D56">
      <w:t>2</w:t>
    </w:r>
    <w:r w:rsidR="0030584B">
      <w:t>3</w:t>
    </w:r>
    <w:r w:rsidRPr="009306FB">
      <w:t xml:space="preserve"> </w:t>
    </w:r>
    <w:r w:rsidR="00E279BE">
      <w:t>–</w:t>
    </w:r>
    <w:r w:rsidR="00F96DDF">
      <w:t xml:space="preserve"> </w:t>
    </w:r>
    <w:r w:rsidR="006E4DCC">
      <w:t>Besançon</w:t>
    </w:r>
    <w:r w:rsidR="00F12006">
      <w:t xml:space="preserve"> – </w:t>
    </w:r>
    <w:r w:rsidR="006E4DCC">
      <w:t>3</w:t>
    </w:r>
    <w:r w:rsidR="00FC5D56" w:rsidRPr="00FC5D56">
      <w:t>-</w:t>
    </w:r>
    <w:r w:rsidR="006E4DCC">
      <w:t>5</w:t>
    </w:r>
    <w:r w:rsidR="00FC5D56" w:rsidRPr="00FC5D56">
      <w:t xml:space="preserve"> j</w:t>
    </w:r>
    <w:r w:rsidR="00F12006">
      <w:t>uillet 20</w:t>
    </w:r>
    <w:r w:rsidR="006E4DCC">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466A2"/>
    <w:multiLevelType w:val="hybridMultilevel"/>
    <w:tmpl w:val="38EAD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655F4F"/>
    <w:multiLevelType w:val="multilevel"/>
    <w:tmpl w:val="FE72DDE2"/>
    <w:lvl w:ilvl="0">
      <w:start w:val="1"/>
      <w:numFmt w:val="decimal"/>
      <w:lvlText w:val="%1"/>
      <w:lvlJc w:val="left"/>
      <w:pPr>
        <w:tabs>
          <w:tab w:val="num" w:pos="360"/>
        </w:tabs>
        <w:ind w:left="360" w:hanging="360"/>
      </w:pPr>
      <w:rPr>
        <w:rFonts w:hint="default"/>
      </w:rPr>
    </w:lvl>
    <w:lvl w:ilvl="1">
      <w:start w:val="1"/>
      <w:numFmt w:val="decimal"/>
      <w:pStyle w:val="Titredeniveau2"/>
      <w:lvlText w:val="%1.%2"/>
      <w:lvlJc w:val="left"/>
      <w:pPr>
        <w:tabs>
          <w:tab w:val="num" w:pos="360"/>
        </w:tabs>
        <w:ind w:left="360"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42A7B0A"/>
    <w:multiLevelType w:val="hybridMultilevel"/>
    <w:tmpl w:val="28B61E0C"/>
    <w:lvl w:ilvl="0" w:tplc="5448C2BE">
      <w:start w:val="4"/>
      <w:numFmt w:val="bullet"/>
      <w:lvlText w:val="-"/>
      <w:lvlJc w:val="left"/>
      <w:pPr>
        <w:ind w:left="720" w:hanging="360"/>
      </w:pPr>
      <w:rPr>
        <w:rFonts w:ascii="Arial" w:eastAsia="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6410FD"/>
    <w:multiLevelType w:val="hybridMultilevel"/>
    <w:tmpl w:val="C3F2971A"/>
    <w:lvl w:ilvl="0" w:tplc="01FA3482">
      <w:start w:val="1"/>
      <w:numFmt w:val="decimal"/>
      <w:pStyle w:val="Titredeniveau1"/>
      <w:lvlText w:val="%1."/>
      <w:lvlJc w:val="left"/>
      <w:pPr>
        <w:tabs>
          <w:tab w:val="num" w:pos="570"/>
        </w:tabs>
        <w:ind w:left="570" w:hanging="57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 w15:restartNumberingAfterBreak="0">
    <w:nsid w:val="62966635"/>
    <w:multiLevelType w:val="hybridMultilevel"/>
    <w:tmpl w:val="273A5FFC"/>
    <w:lvl w:ilvl="0" w:tplc="B6F2D28C">
      <w:start w:val="4"/>
      <w:numFmt w:val="bullet"/>
      <w:pStyle w:val="Puces"/>
      <w:lvlText w:val="-"/>
      <w:lvlJc w:val="left"/>
      <w:pPr>
        <w:ind w:left="720" w:hanging="360"/>
      </w:pPr>
      <w:rPr>
        <w:rFonts w:ascii="Arial" w:eastAsia="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8621690">
    <w:abstractNumId w:val="1"/>
  </w:num>
  <w:num w:numId="2" w16cid:durableId="1807429645">
    <w:abstractNumId w:val="3"/>
  </w:num>
  <w:num w:numId="3" w16cid:durableId="2133207568">
    <w:abstractNumId w:val="4"/>
  </w:num>
  <w:num w:numId="4" w16cid:durableId="1278607593">
    <w:abstractNumId w:val="0"/>
  </w:num>
  <w:num w:numId="5" w16cid:durableId="2013876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68C"/>
    <w:rsid w:val="00004166"/>
    <w:rsid w:val="00007FB0"/>
    <w:rsid w:val="00045A3F"/>
    <w:rsid w:val="00054D66"/>
    <w:rsid w:val="000728E0"/>
    <w:rsid w:val="00080CD9"/>
    <w:rsid w:val="00080EEC"/>
    <w:rsid w:val="00090C16"/>
    <w:rsid w:val="00093468"/>
    <w:rsid w:val="000A625A"/>
    <w:rsid w:val="000B7252"/>
    <w:rsid w:val="000C0912"/>
    <w:rsid w:val="000C589E"/>
    <w:rsid w:val="000E0169"/>
    <w:rsid w:val="000E6FB5"/>
    <w:rsid w:val="000F679F"/>
    <w:rsid w:val="001159F3"/>
    <w:rsid w:val="001679DC"/>
    <w:rsid w:val="00175C08"/>
    <w:rsid w:val="001840FA"/>
    <w:rsid w:val="001A37F9"/>
    <w:rsid w:val="001A591F"/>
    <w:rsid w:val="001C0D3F"/>
    <w:rsid w:val="001C4B2F"/>
    <w:rsid w:val="001D74D6"/>
    <w:rsid w:val="001E485E"/>
    <w:rsid w:val="001E7015"/>
    <w:rsid w:val="0020748D"/>
    <w:rsid w:val="00237037"/>
    <w:rsid w:val="002372C5"/>
    <w:rsid w:val="00247CA2"/>
    <w:rsid w:val="00270918"/>
    <w:rsid w:val="00275889"/>
    <w:rsid w:val="00275BED"/>
    <w:rsid w:val="00283FD5"/>
    <w:rsid w:val="002B0525"/>
    <w:rsid w:val="002C0725"/>
    <w:rsid w:val="002C48C5"/>
    <w:rsid w:val="002D30E6"/>
    <w:rsid w:val="002D41B1"/>
    <w:rsid w:val="002F0A8A"/>
    <w:rsid w:val="002F2ABE"/>
    <w:rsid w:val="0030235B"/>
    <w:rsid w:val="003051EA"/>
    <w:rsid w:val="0030584B"/>
    <w:rsid w:val="00306B42"/>
    <w:rsid w:val="00327008"/>
    <w:rsid w:val="003505D3"/>
    <w:rsid w:val="003543CE"/>
    <w:rsid w:val="003767FD"/>
    <w:rsid w:val="003B0679"/>
    <w:rsid w:val="003E1BCF"/>
    <w:rsid w:val="003F70CB"/>
    <w:rsid w:val="00404C7A"/>
    <w:rsid w:val="00443C8F"/>
    <w:rsid w:val="00443CED"/>
    <w:rsid w:val="00464C6A"/>
    <w:rsid w:val="004D100A"/>
    <w:rsid w:val="004F7A0B"/>
    <w:rsid w:val="00531B6A"/>
    <w:rsid w:val="00536034"/>
    <w:rsid w:val="005A68C6"/>
    <w:rsid w:val="005A792C"/>
    <w:rsid w:val="005B4566"/>
    <w:rsid w:val="005D06F7"/>
    <w:rsid w:val="005F781A"/>
    <w:rsid w:val="00604F1D"/>
    <w:rsid w:val="00622A13"/>
    <w:rsid w:val="00671290"/>
    <w:rsid w:val="00671745"/>
    <w:rsid w:val="00680D77"/>
    <w:rsid w:val="0069022D"/>
    <w:rsid w:val="006A4367"/>
    <w:rsid w:val="006A6121"/>
    <w:rsid w:val="006B399D"/>
    <w:rsid w:val="006C6C51"/>
    <w:rsid w:val="006D1C8C"/>
    <w:rsid w:val="006E4DCC"/>
    <w:rsid w:val="006F4CC1"/>
    <w:rsid w:val="00706164"/>
    <w:rsid w:val="00717B8A"/>
    <w:rsid w:val="00720831"/>
    <w:rsid w:val="00724C39"/>
    <w:rsid w:val="00726688"/>
    <w:rsid w:val="00755DA3"/>
    <w:rsid w:val="00787DFE"/>
    <w:rsid w:val="0079175D"/>
    <w:rsid w:val="007C1A8A"/>
    <w:rsid w:val="007C285B"/>
    <w:rsid w:val="007F4819"/>
    <w:rsid w:val="00823CDD"/>
    <w:rsid w:val="0083781A"/>
    <w:rsid w:val="008379D0"/>
    <w:rsid w:val="00847BB6"/>
    <w:rsid w:val="0085021D"/>
    <w:rsid w:val="0085367C"/>
    <w:rsid w:val="0085509D"/>
    <w:rsid w:val="0086754A"/>
    <w:rsid w:val="00871E19"/>
    <w:rsid w:val="00872291"/>
    <w:rsid w:val="0088652E"/>
    <w:rsid w:val="008A1ECC"/>
    <w:rsid w:val="008C4E06"/>
    <w:rsid w:val="008D09AD"/>
    <w:rsid w:val="008D6D84"/>
    <w:rsid w:val="009048D0"/>
    <w:rsid w:val="0092451B"/>
    <w:rsid w:val="00924A01"/>
    <w:rsid w:val="00953FD2"/>
    <w:rsid w:val="00960683"/>
    <w:rsid w:val="00991DEA"/>
    <w:rsid w:val="009B3622"/>
    <w:rsid w:val="009C320B"/>
    <w:rsid w:val="00A054D9"/>
    <w:rsid w:val="00A378B0"/>
    <w:rsid w:val="00A60C82"/>
    <w:rsid w:val="00A75B98"/>
    <w:rsid w:val="00A92B72"/>
    <w:rsid w:val="00AF1A6B"/>
    <w:rsid w:val="00AF595F"/>
    <w:rsid w:val="00AF768C"/>
    <w:rsid w:val="00B053A1"/>
    <w:rsid w:val="00B16C99"/>
    <w:rsid w:val="00B1784F"/>
    <w:rsid w:val="00B35B45"/>
    <w:rsid w:val="00B364BF"/>
    <w:rsid w:val="00B64492"/>
    <w:rsid w:val="00B70FC9"/>
    <w:rsid w:val="00B75DFF"/>
    <w:rsid w:val="00B83CE0"/>
    <w:rsid w:val="00BD4124"/>
    <w:rsid w:val="00BF7ECA"/>
    <w:rsid w:val="00C417C4"/>
    <w:rsid w:val="00C44C1B"/>
    <w:rsid w:val="00C73982"/>
    <w:rsid w:val="00C80F48"/>
    <w:rsid w:val="00CF3813"/>
    <w:rsid w:val="00D122FC"/>
    <w:rsid w:val="00D17DCD"/>
    <w:rsid w:val="00D2464C"/>
    <w:rsid w:val="00D32103"/>
    <w:rsid w:val="00D41B40"/>
    <w:rsid w:val="00D90EF0"/>
    <w:rsid w:val="00D9338F"/>
    <w:rsid w:val="00DB3109"/>
    <w:rsid w:val="00DB3850"/>
    <w:rsid w:val="00E227AE"/>
    <w:rsid w:val="00E279BE"/>
    <w:rsid w:val="00E448F3"/>
    <w:rsid w:val="00E53C2C"/>
    <w:rsid w:val="00E54DBD"/>
    <w:rsid w:val="00E771EB"/>
    <w:rsid w:val="00EE2728"/>
    <w:rsid w:val="00F02700"/>
    <w:rsid w:val="00F12006"/>
    <w:rsid w:val="00F14841"/>
    <w:rsid w:val="00F160AB"/>
    <w:rsid w:val="00F17951"/>
    <w:rsid w:val="00F45F95"/>
    <w:rsid w:val="00F46E64"/>
    <w:rsid w:val="00F543C7"/>
    <w:rsid w:val="00F6658B"/>
    <w:rsid w:val="00F806A2"/>
    <w:rsid w:val="00F84755"/>
    <w:rsid w:val="00F96DDF"/>
    <w:rsid w:val="00FC5D56"/>
    <w:rsid w:val="00FD13F3"/>
    <w:rsid w:val="00FE440B"/>
    <w:rsid w:val="00FF13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4F46C"/>
  <w15:docId w15:val="{FEA6E556-96C2-4EE3-94E2-825EA424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4CC1"/>
    <w:pPr>
      <w:spacing w:after="200"/>
      <w:jc w:val="both"/>
    </w:pPr>
    <w:rPr>
      <w:sz w:val="24"/>
      <w:szCs w:val="24"/>
    </w:rPr>
  </w:style>
  <w:style w:type="paragraph" w:styleId="Titre2">
    <w:name w:val="heading 2"/>
    <w:basedOn w:val="Normal"/>
    <w:next w:val="Normal"/>
    <w:link w:val="Titre2Car"/>
    <w:rsid w:val="00C83642"/>
    <w:pPr>
      <w:keepNext/>
      <w:spacing w:before="240" w:after="60"/>
      <w:outlineLvl w:val="1"/>
    </w:pPr>
    <w:rPr>
      <w:rFonts w:ascii="Arial" w:hAnsi="Arial" w:cs="Arial"/>
      <w:b/>
      <w:bCs/>
      <w:i/>
      <w:iCs/>
      <w:sz w:val="28"/>
      <w:szCs w:val="28"/>
    </w:rPr>
  </w:style>
  <w:style w:type="paragraph" w:styleId="Titre3">
    <w:name w:val="heading 3"/>
    <w:basedOn w:val="Normal"/>
    <w:next w:val="Normal"/>
    <w:rsid w:val="00C83642"/>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basedOn w:val="Titre2"/>
    <w:link w:val="GrandTitreCar"/>
    <w:qFormat/>
    <w:rsid w:val="0086754A"/>
    <w:pPr>
      <w:overflowPunct w:val="0"/>
      <w:autoSpaceDE w:val="0"/>
      <w:autoSpaceDN w:val="0"/>
      <w:adjustRightInd w:val="0"/>
      <w:spacing w:before="0" w:after="360"/>
      <w:jc w:val="center"/>
      <w:textAlignment w:val="baseline"/>
      <w:outlineLvl w:val="9"/>
    </w:pPr>
    <w:rPr>
      <w:rFonts w:ascii="Times" w:hAnsi="Times" w:cs="Times New Roman"/>
      <w:bCs w:val="0"/>
      <w:i w:val="0"/>
      <w:iCs w:val="0"/>
      <w:szCs w:val="20"/>
    </w:rPr>
  </w:style>
  <w:style w:type="paragraph" w:customStyle="1" w:styleId="Auteurs">
    <w:name w:val="Auteurs"/>
    <w:basedOn w:val="Titre3"/>
    <w:qFormat/>
    <w:rsid w:val="0086754A"/>
    <w:pPr>
      <w:overflowPunct w:val="0"/>
      <w:autoSpaceDE w:val="0"/>
      <w:autoSpaceDN w:val="0"/>
      <w:adjustRightInd w:val="0"/>
      <w:spacing w:before="0" w:after="200"/>
      <w:jc w:val="center"/>
      <w:textAlignment w:val="baseline"/>
      <w:outlineLvl w:val="9"/>
    </w:pPr>
    <w:rPr>
      <w:rFonts w:ascii="Times" w:hAnsi="Times" w:cs="Times New Roman"/>
      <w:b w:val="0"/>
      <w:bCs w:val="0"/>
      <w:sz w:val="22"/>
      <w:szCs w:val="20"/>
    </w:rPr>
  </w:style>
  <w:style w:type="paragraph" w:customStyle="1" w:styleId="Adresses">
    <w:name w:val="Adresses"/>
    <w:basedOn w:val="Normal"/>
    <w:qFormat/>
    <w:rsid w:val="00090C16"/>
    <w:pPr>
      <w:overflowPunct w:val="0"/>
      <w:autoSpaceDE w:val="0"/>
      <w:autoSpaceDN w:val="0"/>
      <w:adjustRightInd w:val="0"/>
      <w:spacing w:after="0"/>
      <w:jc w:val="center"/>
      <w:textAlignment w:val="baseline"/>
    </w:pPr>
    <w:rPr>
      <w:rFonts w:ascii="Times" w:hAnsi="Times"/>
      <w:sz w:val="16"/>
      <w:szCs w:val="20"/>
    </w:rPr>
  </w:style>
  <w:style w:type="paragraph" w:customStyle="1" w:styleId="Resume">
    <w:name w:val="Resume"/>
    <w:basedOn w:val="Normal"/>
    <w:link w:val="ResumeCar"/>
    <w:qFormat/>
    <w:rsid w:val="0086754A"/>
    <w:pPr>
      <w:overflowPunct w:val="0"/>
      <w:autoSpaceDE w:val="0"/>
      <w:autoSpaceDN w:val="0"/>
      <w:adjustRightInd w:val="0"/>
      <w:spacing w:after="0"/>
      <w:textAlignment w:val="baseline"/>
    </w:pPr>
    <w:rPr>
      <w:rFonts w:ascii="Times" w:hAnsi="Times"/>
      <w:sz w:val="20"/>
      <w:szCs w:val="20"/>
    </w:rPr>
  </w:style>
  <w:style w:type="character" w:styleId="Lienhypertexte">
    <w:name w:val="Hyperlink"/>
    <w:basedOn w:val="Policepardfaut"/>
    <w:rsid w:val="00FE440B"/>
    <w:rPr>
      <w:color w:val="0000FF"/>
      <w:u w:val="single"/>
    </w:rPr>
  </w:style>
  <w:style w:type="paragraph" w:styleId="En-tte">
    <w:name w:val="header"/>
    <w:basedOn w:val="Normal"/>
    <w:rsid w:val="00917E3F"/>
    <w:pPr>
      <w:tabs>
        <w:tab w:val="center" w:pos="4536"/>
        <w:tab w:val="right" w:pos="9072"/>
      </w:tabs>
    </w:pPr>
    <w:rPr>
      <w:sz w:val="16"/>
    </w:rPr>
  </w:style>
  <w:style w:type="paragraph" w:styleId="Pieddepage">
    <w:name w:val="footer"/>
    <w:basedOn w:val="Normal"/>
    <w:link w:val="PieddepageCar"/>
    <w:uiPriority w:val="99"/>
    <w:rsid w:val="00C83642"/>
    <w:pPr>
      <w:tabs>
        <w:tab w:val="center" w:pos="4536"/>
        <w:tab w:val="right" w:pos="9072"/>
      </w:tabs>
    </w:pPr>
  </w:style>
  <w:style w:type="table" w:styleId="Grilledutableau">
    <w:name w:val="Table Grid"/>
    <w:basedOn w:val="TableauNormal"/>
    <w:rsid w:val="0023324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7C1D7D"/>
    <w:rPr>
      <w:sz w:val="24"/>
      <w:szCs w:val="24"/>
    </w:rPr>
  </w:style>
  <w:style w:type="paragraph" w:customStyle="1" w:styleId="LgendeFigure">
    <w:name w:val="Légende Figure"/>
    <w:basedOn w:val="Resume"/>
    <w:rsid w:val="00A75B98"/>
    <w:pPr>
      <w:spacing w:before="160" w:after="200"/>
      <w:jc w:val="center"/>
    </w:pPr>
    <w:rPr>
      <w:rFonts w:ascii="Times New Roman" w:hAnsi="Times New Roman"/>
      <w:i/>
    </w:rPr>
  </w:style>
  <w:style w:type="paragraph" w:customStyle="1" w:styleId="Titreresume">
    <w:name w:val="Titre resume"/>
    <w:basedOn w:val="Resume"/>
    <w:qFormat/>
    <w:rsid w:val="000E0169"/>
    <w:pPr>
      <w:spacing w:after="200"/>
      <w:jc w:val="center"/>
    </w:pPr>
    <w:rPr>
      <w:rFonts w:ascii="Times New Roman" w:hAnsi="Times New Roman"/>
      <w:b/>
      <w:sz w:val="24"/>
      <w:szCs w:val="24"/>
    </w:rPr>
  </w:style>
  <w:style w:type="paragraph" w:customStyle="1" w:styleId="Titredeniveau1">
    <w:name w:val="Titre de niveau1"/>
    <w:basedOn w:val="Normal"/>
    <w:qFormat/>
    <w:rsid w:val="00272E76"/>
    <w:pPr>
      <w:numPr>
        <w:numId w:val="2"/>
      </w:numPr>
      <w:tabs>
        <w:tab w:val="clear" w:pos="570"/>
        <w:tab w:val="left" w:pos="567"/>
      </w:tabs>
    </w:pPr>
    <w:rPr>
      <w:b/>
    </w:rPr>
  </w:style>
  <w:style w:type="paragraph" w:customStyle="1" w:styleId="Titredeniveau2">
    <w:name w:val="Titre de niveau2"/>
    <w:basedOn w:val="Normal"/>
    <w:qFormat/>
    <w:rsid w:val="00272E76"/>
    <w:pPr>
      <w:numPr>
        <w:ilvl w:val="1"/>
        <w:numId w:val="1"/>
      </w:numPr>
    </w:pPr>
    <w:rPr>
      <w:b/>
      <w:sz w:val="22"/>
      <w:szCs w:val="22"/>
    </w:rPr>
  </w:style>
  <w:style w:type="paragraph" w:styleId="Textedebulles">
    <w:name w:val="Balloon Text"/>
    <w:basedOn w:val="Normal"/>
    <w:link w:val="TextedebullesCar"/>
    <w:rsid w:val="00E279BE"/>
    <w:rPr>
      <w:rFonts w:ascii="Tahoma" w:hAnsi="Tahoma" w:cs="Tahoma"/>
      <w:sz w:val="16"/>
      <w:szCs w:val="16"/>
    </w:rPr>
  </w:style>
  <w:style w:type="character" w:customStyle="1" w:styleId="TextedebullesCar">
    <w:name w:val="Texte de bulles Car"/>
    <w:basedOn w:val="Policepardfaut"/>
    <w:link w:val="Textedebulles"/>
    <w:rsid w:val="00E279BE"/>
    <w:rPr>
      <w:rFonts w:ascii="Tahoma" w:hAnsi="Tahoma" w:cs="Tahoma"/>
      <w:sz w:val="16"/>
      <w:szCs w:val="16"/>
    </w:rPr>
  </w:style>
  <w:style w:type="character" w:styleId="Textedelespacerserv">
    <w:name w:val="Placeholder Text"/>
    <w:basedOn w:val="Policepardfaut"/>
    <w:uiPriority w:val="99"/>
    <w:semiHidden/>
    <w:rsid w:val="00F12006"/>
    <w:rPr>
      <w:color w:val="808080"/>
    </w:rPr>
  </w:style>
  <w:style w:type="paragraph" w:customStyle="1" w:styleId="SousTitre">
    <w:name w:val="Sous Titre"/>
    <w:basedOn w:val="GrandTitre"/>
    <w:link w:val="SousTitreCar"/>
    <w:qFormat/>
    <w:rsid w:val="0086754A"/>
    <w:rPr>
      <w:rFonts w:ascii="Times New Roman" w:hAnsi="Times New Roman"/>
      <w:i/>
      <w:szCs w:val="28"/>
    </w:rPr>
  </w:style>
  <w:style w:type="paragraph" w:styleId="Paragraphedeliste">
    <w:name w:val="List Paragraph"/>
    <w:aliases w:val="Image"/>
    <w:basedOn w:val="Normal"/>
    <w:uiPriority w:val="34"/>
    <w:qFormat/>
    <w:rsid w:val="000E0169"/>
    <w:pPr>
      <w:ind w:left="720"/>
      <w:contextualSpacing/>
    </w:pPr>
  </w:style>
  <w:style w:type="character" w:customStyle="1" w:styleId="Titre2Car">
    <w:name w:val="Titre 2 Car"/>
    <w:basedOn w:val="Policepardfaut"/>
    <w:link w:val="Titre2"/>
    <w:rsid w:val="006F4CC1"/>
    <w:rPr>
      <w:rFonts w:ascii="Arial" w:hAnsi="Arial" w:cs="Arial"/>
      <w:b/>
      <w:bCs/>
      <w:i/>
      <w:iCs/>
      <w:sz w:val="28"/>
      <w:szCs w:val="28"/>
    </w:rPr>
  </w:style>
  <w:style w:type="character" w:customStyle="1" w:styleId="GrandTitreCar">
    <w:name w:val="Grand Titre Car"/>
    <w:basedOn w:val="Titre2Car"/>
    <w:link w:val="GrandTitre"/>
    <w:rsid w:val="0086754A"/>
    <w:rPr>
      <w:rFonts w:ascii="Times" w:hAnsi="Times" w:cs="Arial"/>
      <w:b/>
      <w:bCs/>
      <w:i/>
      <w:iCs/>
      <w:sz w:val="28"/>
      <w:szCs w:val="28"/>
    </w:rPr>
  </w:style>
  <w:style w:type="character" w:customStyle="1" w:styleId="SousTitreCar">
    <w:name w:val="Sous Titre Car"/>
    <w:basedOn w:val="GrandTitreCar"/>
    <w:link w:val="SousTitre"/>
    <w:rsid w:val="0086754A"/>
    <w:rPr>
      <w:rFonts w:ascii="Times" w:hAnsi="Times" w:cs="Arial"/>
      <w:b/>
      <w:bCs/>
      <w:i/>
      <w:iCs/>
      <w:sz w:val="28"/>
      <w:szCs w:val="28"/>
    </w:rPr>
  </w:style>
  <w:style w:type="paragraph" w:customStyle="1" w:styleId="Titreremerciementsetrfrences">
    <w:name w:val="Titre remerciements et références"/>
    <w:basedOn w:val="Normal"/>
    <w:link w:val="TitreremerciementsetrfrencesCar"/>
    <w:qFormat/>
    <w:rsid w:val="00A75B98"/>
    <w:rPr>
      <w:b/>
    </w:rPr>
  </w:style>
  <w:style w:type="character" w:customStyle="1" w:styleId="ResumeCar">
    <w:name w:val="Resume Car"/>
    <w:basedOn w:val="Policepardfaut"/>
    <w:link w:val="Resume"/>
    <w:rsid w:val="00A75B98"/>
    <w:rPr>
      <w:rFonts w:ascii="Times" w:hAnsi="Times"/>
    </w:rPr>
  </w:style>
  <w:style w:type="character" w:customStyle="1" w:styleId="TitreremerciementsetrfrencesCar">
    <w:name w:val="Titre remerciements et références Car"/>
    <w:basedOn w:val="ResumeCar"/>
    <w:link w:val="Titreremerciementsetrfrences"/>
    <w:rsid w:val="00A75B98"/>
    <w:rPr>
      <w:rFonts w:ascii="Times" w:hAnsi="Times"/>
      <w:b/>
      <w:sz w:val="24"/>
      <w:szCs w:val="24"/>
    </w:rPr>
  </w:style>
  <w:style w:type="character" w:styleId="Marquedecommentaire">
    <w:name w:val="annotation reference"/>
    <w:basedOn w:val="Policepardfaut"/>
    <w:uiPriority w:val="99"/>
    <w:semiHidden/>
    <w:unhideWhenUsed/>
    <w:rsid w:val="00F14841"/>
    <w:rPr>
      <w:sz w:val="16"/>
      <w:szCs w:val="16"/>
    </w:rPr>
  </w:style>
  <w:style w:type="paragraph" w:styleId="Commentaire">
    <w:name w:val="annotation text"/>
    <w:basedOn w:val="Normal"/>
    <w:link w:val="CommentaireCar"/>
    <w:uiPriority w:val="99"/>
    <w:unhideWhenUsed/>
    <w:rsid w:val="00F14841"/>
    <w:pPr>
      <w:spacing w:after="160"/>
      <w:jc w:val="left"/>
    </w:pPr>
    <w:rPr>
      <w:rFonts w:eastAsia="Calibri"/>
      <w:color w:val="000000"/>
      <w:sz w:val="20"/>
      <w:szCs w:val="20"/>
      <w:lang w:eastAsia="en-US"/>
    </w:rPr>
  </w:style>
  <w:style w:type="character" w:customStyle="1" w:styleId="CommentaireCar">
    <w:name w:val="Commentaire Car"/>
    <w:basedOn w:val="Policepardfaut"/>
    <w:link w:val="Commentaire"/>
    <w:uiPriority w:val="99"/>
    <w:rsid w:val="00F14841"/>
    <w:rPr>
      <w:rFonts w:eastAsia="Calibri"/>
      <w:color w:val="000000"/>
      <w:lang w:eastAsia="en-US"/>
    </w:rPr>
  </w:style>
  <w:style w:type="paragraph" w:styleId="Lgende">
    <w:name w:val="caption"/>
    <w:basedOn w:val="Normal"/>
    <w:next w:val="Normal"/>
    <w:link w:val="LgendeCar"/>
    <w:unhideWhenUsed/>
    <w:qFormat/>
    <w:rsid w:val="00F14841"/>
    <w:pPr>
      <w:spacing w:after="160" w:line="480" w:lineRule="auto"/>
      <w:jc w:val="center"/>
    </w:pPr>
    <w:rPr>
      <w:rFonts w:eastAsia="Calibri"/>
      <w:b/>
      <w:color w:val="000000"/>
      <w:sz w:val="22"/>
      <w:szCs w:val="22"/>
      <w:lang w:val="en-US" w:eastAsia="en-US"/>
    </w:rPr>
  </w:style>
  <w:style w:type="paragraph" w:customStyle="1" w:styleId="image">
    <w:name w:val="image"/>
    <w:basedOn w:val="Normal"/>
    <w:link w:val="imageCar"/>
    <w:qFormat/>
    <w:rsid w:val="00F14841"/>
    <w:pPr>
      <w:spacing w:after="160"/>
      <w:jc w:val="center"/>
    </w:pPr>
    <w:rPr>
      <w:rFonts w:eastAsia="Calibri"/>
      <w:noProof/>
      <w:color w:val="000000"/>
      <w:sz w:val="22"/>
      <w:szCs w:val="22"/>
      <w:lang w:eastAsia="en-US"/>
    </w:rPr>
  </w:style>
  <w:style w:type="character" w:customStyle="1" w:styleId="imageCar">
    <w:name w:val="image Car"/>
    <w:basedOn w:val="Policepardfaut"/>
    <w:link w:val="image"/>
    <w:rsid w:val="00F14841"/>
    <w:rPr>
      <w:rFonts w:eastAsia="Calibri"/>
      <w:noProof/>
      <w:color w:val="000000"/>
      <w:sz w:val="22"/>
      <w:szCs w:val="22"/>
      <w:lang w:eastAsia="en-US"/>
    </w:rPr>
  </w:style>
  <w:style w:type="character" w:customStyle="1" w:styleId="LgendeCar">
    <w:name w:val="Légende Car"/>
    <w:basedOn w:val="Policepardfaut"/>
    <w:link w:val="Lgende"/>
    <w:rsid w:val="00F14841"/>
    <w:rPr>
      <w:rFonts w:eastAsia="Calibri"/>
      <w:b/>
      <w:color w:val="000000"/>
      <w:sz w:val="22"/>
      <w:szCs w:val="22"/>
      <w:lang w:val="en-US" w:eastAsia="en-US"/>
    </w:rPr>
  </w:style>
  <w:style w:type="paragraph" w:styleId="Bibliographie">
    <w:name w:val="Bibliography"/>
    <w:basedOn w:val="Normal"/>
    <w:next w:val="Normal"/>
    <w:uiPriority w:val="37"/>
    <w:unhideWhenUsed/>
    <w:rsid w:val="003051EA"/>
    <w:pPr>
      <w:tabs>
        <w:tab w:val="left" w:pos="504"/>
      </w:tabs>
      <w:spacing w:after="0"/>
      <w:ind w:left="504" w:hanging="504"/>
    </w:pPr>
  </w:style>
  <w:style w:type="paragraph" w:styleId="NormalWeb">
    <w:name w:val="Normal (Web)"/>
    <w:basedOn w:val="Normal"/>
    <w:uiPriority w:val="99"/>
    <w:semiHidden/>
    <w:unhideWhenUsed/>
    <w:rsid w:val="00B16C99"/>
    <w:pPr>
      <w:spacing w:before="100" w:beforeAutospacing="1" w:after="100" w:afterAutospacing="1"/>
      <w:jc w:val="left"/>
    </w:pPr>
  </w:style>
  <w:style w:type="paragraph" w:customStyle="1" w:styleId="IOPAbsText">
    <w:name w:val="IOPAbsText"/>
    <w:basedOn w:val="Normal"/>
    <w:link w:val="IOPAbsTextChar"/>
    <w:qFormat/>
    <w:rsid w:val="00B64492"/>
    <w:pPr>
      <w:spacing w:after="0" w:line="259" w:lineRule="auto"/>
      <w:ind w:right="27" w:firstLine="720"/>
    </w:pPr>
    <w:rPr>
      <w:rFonts w:ascii="LM Roman 12" w:eastAsia="Calibri" w:hAnsi="LM Roman 12"/>
      <w:color w:val="000000"/>
      <w:sz w:val="22"/>
      <w:szCs w:val="22"/>
      <w:lang w:eastAsia="en-US"/>
    </w:rPr>
  </w:style>
  <w:style w:type="character" w:customStyle="1" w:styleId="IOPAbsTextChar">
    <w:name w:val="IOPAbsText Char"/>
    <w:link w:val="IOPAbsText"/>
    <w:rsid w:val="00B64492"/>
    <w:rPr>
      <w:rFonts w:ascii="LM Roman 12" w:eastAsia="Calibri" w:hAnsi="LM Roman 12"/>
      <w:color w:val="000000"/>
      <w:sz w:val="22"/>
      <w:szCs w:val="22"/>
      <w:lang w:eastAsia="en-US"/>
    </w:rPr>
  </w:style>
  <w:style w:type="character" w:customStyle="1" w:styleId="q4iawc">
    <w:name w:val="q4iawc"/>
    <w:basedOn w:val="Policepardfaut"/>
    <w:rsid w:val="00B64492"/>
  </w:style>
  <w:style w:type="table" w:customStyle="1" w:styleId="RapportAPA">
    <w:name w:val="Rapport APA"/>
    <w:basedOn w:val="TableauNormal"/>
    <w:uiPriority w:val="99"/>
    <w:rsid w:val="00B64492"/>
    <w:rPr>
      <w:rFonts w:asciiTheme="minorHAnsi" w:eastAsiaTheme="minorEastAsia"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au">
    <w:name w:val="Tableau"/>
    <w:basedOn w:val="IOPAbsText"/>
    <w:link w:val="TableauCar"/>
    <w:qFormat/>
    <w:rsid w:val="00B64492"/>
    <w:pPr>
      <w:keepNext/>
      <w:ind w:firstLine="0"/>
      <w:jc w:val="center"/>
    </w:pPr>
    <w:rPr>
      <w:rFonts w:eastAsiaTheme="minorEastAsia" w:cstheme="minorBidi"/>
    </w:rPr>
  </w:style>
  <w:style w:type="character" w:customStyle="1" w:styleId="TableauCar">
    <w:name w:val="Tableau Car"/>
    <w:basedOn w:val="IOPAbsTextChar"/>
    <w:link w:val="Tableau"/>
    <w:rsid w:val="00B64492"/>
    <w:rPr>
      <w:rFonts w:ascii="LM Roman 12" w:eastAsiaTheme="minorEastAsia" w:hAnsi="LM Roman 12" w:cstheme="minorBidi"/>
      <w:color w:val="000000"/>
      <w:sz w:val="22"/>
      <w:szCs w:val="22"/>
      <w:lang w:eastAsia="en-US"/>
    </w:rPr>
  </w:style>
  <w:style w:type="paragraph" w:customStyle="1" w:styleId="Puces">
    <w:name w:val="Puces"/>
    <w:basedOn w:val="IOPAbsText"/>
    <w:qFormat/>
    <w:rsid w:val="00B64492"/>
    <w:pPr>
      <w:numPr>
        <w:numId w:val="3"/>
      </w:numPr>
      <w:tabs>
        <w:tab w:val="num" w:pos="360"/>
      </w:tabs>
      <w:ind w:left="0" w:firstLine="720"/>
    </w:pPr>
  </w:style>
  <w:style w:type="paragraph" w:styleId="Objetducommentaire">
    <w:name w:val="annotation subject"/>
    <w:basedOn w:val="Commentaire"/>
    <w:next w:val="Commentaire"/>
    <w:link w:val="ObjetducommentaireCar"/>
    <w:semiHidden/>
    <w:unhideWhenUsed/>
    <w:rsid w:val="002F0A8A"/>
    <w:pPr>
      <w:spacing w:after="200"/>
      <w:jc w:val="both"/>
    </w:pPr>
    <w:rPr>
      <w:rFonts w:eastAsia="Times New Roman"/>
      <w:b/>
      <w:bCs/>
      <w:color w:val="auto"/>
      <w:lang w:eastAsia="fr-FR"/>
    </w:rPr>
  </w:style>
  <w:style w:type="character" w:customStyle="1" w:styleId="ObjetducommentaireCar">
    <w:name w:val="Objet du commentaire Car"/>
    <w:basedOn w:val="CommentaireCar"/>
    <w:link w:val="Objetducommentaire"/>
    <w:semiHidden/>
    <w:rsid w:val="002F0A8A"/>
    <w:rPr>
      <w:rFonts w:eastAsia="Calibri"/>
      <w:b/>
      <w:bCs/>
      <w:color w:val="000000"/>
      <w:lang w:eastAsia="en-US"/>
    </w:rPr>
  </w:style>
  <w:style w:type="paragraph" w:styleId="Rvision">
    <w:name w:val="Revision"/>
    <w:hidden/>
    <w:uiPriority w:val="99"/>
    <w:semiHidden/>
    <w:rsid w:val="009B36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400699">
      <w:bodyDiv w:val="1"/>
      <w:marLeft w:val="0"/>
      <w:marRight w:val="0"/>
      <w:marTop w:val="0"/>
      <w:marBottom w:val="0"/>
      <w:divBdr>
        <w:top w:val="none" w:sz="0" w:space="0" w:color="auto"/>
        <w:left w:val="none" w:sz="0" w:space="0" w:color="auto"/>
        <w:bottom w:val="none" w:sz="0" w:space="0" w:color="auto"/>
        <w:right w:val="none" w:sz="0" w:space="0" w:color="auto"/>
      </w:divBdr>
      <w:divsChild>
        <w:div w:id="1159269026">
          <w:marLeft w:val="0"/>
          <w:marRight w:val="0"/>
          <w:marTop w:val="0"/>
          <w:marBottom w:val="0"/>
          <w:divBdr>
            <w:top w:val="none" w:sz="0" w:space="0" w:color="auto"/>
            <w:left w:val="none" w:sz="0" w:space="0" w:color="auto"/>
            <w:bottom w:val="none" w:sz="0" w:space="0" w:color="auto"/>
            <w:right w:val="none" w:sz="0" w:space="0" w:color="auto"/>
          </w:divBdr>
          <w:divsChild>
            <w:div w:id="1193685581">
              <w:marLeft w:val="0"/>
              <w:marRight w:val="0"/>
              <w:marTop w:val="0"/>
              <w:marBottom w:val="0"/>
              <w:divBdr>
                <w:top w:val="none" w:sz="0" w:space="0" w:color="auto"/>
                <w:left w:val="none" w:sz="0" w:space="0" w:color="auto"/>
                <w:bottom w:val="none" w:sz="0" w:space="0" w:color="auto"/>
                <w:right w:val="none" w:sz="0" w:space="0" w:color="auto"/>
              </w:divBdr>
              <w:divsChild>
                <w:div w:id="4476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stanie@insa-toulouse.fr" TargetMode="External"/><Relationship Id="rId13" Type="http://schemas.openxmlformats.org/officeDocument/2006/relationships/image" Target="media/image2.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peignon@insa-toulouse.fr"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el.serra@isae-supaero.f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arthur.cantarel@iut-tarbes.f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florent.eyma@iut-tarbes.fr" TargetMode="External"/><Relationship Id="rId14" Type="http://schemas.openxmlformats.org/officeDocument/2006/relationships/image" Target="media/image3.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Campagne_3_traction_0n\1-Analyse_essai\Analyse_finale%20-%20Copi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rPr>
              <a:t>Module d'Young </a:t>
            </a:r>
            <a:r>
              <a:rPr lang="en-US" sz="1400" b="0" i="0" u="none" strike="noStrike" baseline="0">
                <a:effectLst/>
              </a:rPr>
              <a:t>(Densité) : [0°]</a:t>
            </a:r>
            <a:r>
              <a:rPr lang="en-US" sz="1400" b="0" i="0" u="none" strike="noStrike" baseline="-25000">
                <a:effectLst/>
              </a:rPr>
              <a:t>1</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Campagne_1!$H$1</c:f>
              <c:strCache>
                <c:ptCount val="1"/>
                <c:pt idx="0">
                  <c:v>Young (MPa)</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0.23322938822283379"/>
                  <c:y val="1.101069026955572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Campagne_1!$G$2:$G$16</c:f>
              <c:numCache>
                <c:formatCode>General</c:formatCode>
                <c:ptCount val="15"/>
                <c:pt idx="0">
                  <c:v>0.40107382563794425</c:v>
                </c:pt>
                <c:pt idx="1">
                  <c:v>0.39699009900990095</c:v>
                </c:pt>
                <c:pt idx="2">
                  <c:v>0.37483495145631057</c:v>
                </c:pt>
                <c:pt idx="3">
                  <c:v>0.40872240789005931</c:v>
                </c:pt>
                <c:pt idx="4">
                  <c:v>0.38832154328349783</c:v>
                </c:pt>
                <c:pt idx="5">
                  <c:v>0.39114563106796107</c:v>
                </c:pt>
                <c:pt idx="6">
                  <c:v>0.40570297029702967</c:v>
                </c:pt>
                <c:pt idx="7">
                  <c:v>0.35043037985773107</c:v>
                </c:pt>
                <c:pt idx="8">
                  <c:v>0.34174757281553397</c:v>
                </c:pt>
                <c:pt idx="9">
                  <c:v>0.32141772162070181</c:v>
                </c:pt>
                <c:pt idx="10">
                  <c:v>0.34164705882352936</c:v>
                </c:pt>
                <c:pt idx="11">
                  <c:v>0.39350649337873161</c:v>
                </c:pt>
                <c:pt idx="12">
                  <c:v>0.36877669902912624</c:v>
                </c:pt>
                <c:pt idx="13">
                  <c:v>0.29742056074766354</c:v>
                </c:pt>
                <c:pt idx="14">
                  <c:v>0.28726380359286385</c:v>
                </c:pt>
              </c:numCache>
            </c:numRef>
          </c:xVal>
          <c:yVal>
            <c:numRef>
              <c:f>Campagne_1!$H$2:$H$16</c:f>
              <c:numCache>
                <c:formatCode>General</c:formatCode>
                <c:ptCount val="15"/>
                <c:pt idx="0">
                  <c:v>11079.619644045169</c:v>
                </c:pt>
                <c:pt idx="1">
                  <c:v>9852.1563336554682</c:v>
                </c:pt>
                <c:pt idx="2">
                  <c:v>8987.3772780883392</c:v>
                </c:pt>
                <c:pt idx="3">
                  <c:v>10257.12963227382</c:v>
                </c:pt>
                <c:pt idx="4">
                  <c:v>8939.8291262115818</c:v>
                </c:pt>
                <c:pt idx="5">
                  <c:v>10612.912247894499</c:v>
                </c:pt>
                <c:pt idx="6">
                  <c:v>11549.796203922509</c:v>
                </c:pt>
                <c:pt idx="7">
                  <c:v>8851.6557141982921</c:v>
                </c:pt>
                <c:pt idx="8">
                  <c:v>9598.0998728242375</c:v>
                </c:pt>
                <c:pt idx="9">
                  <c:v>7455.7005780486379</c:v>
                </c:pt>
                <c:pt idx="10">
                  <c:v>8628.9217035049642</c:v>
                </c:pt>
                <c:pt idx="11">
                  <c:v>10463.230050372191</c:v>
                </c:pt>
                <c:pt idx="12">
                  <c:v>8508.0878553220537</c:v>
                </c:pt>
                <c:pt idx="13">
                  <c:v>6804.2258526739233</c:v>
                </c:pt>
                <c:pt idx="14">
                  <c:v>6552.9271605918084</c:v>
                </c:pt>
              </c:numCache>
            </c:numRef>
          </c:yVal>
          <c:smooth val="0"/>
          <c:extLst>
            <c:ext xmlns:c16="http://schemas.microsoft.com/office/drawing/2014/chart" uri="{C3380CC4-5D6E-409C-BE32-E72D297353CC}">
              <c16:uniqueId val="{00000001-F45F-4112-8025-4CD2BEB6BF95}"/>
            </c:ext>
          </c:extLst>
        </c:ser>
        <c:dLbls>
          <c:showLegendKey val="0"/>
          <c:showVal val="0"/>
          <c:showCatName val="0"/>
          <c:showSerName val="0"/>
          <c:showPercent val="0"/>
          <c:showBubbleSize val="0"/>
        </c:dLbls>
        <c:axId val="299085455"/>
        <c:axId val="178918703"/>
      </c:scatterChart>
      <c:valAx>
        <c:axId val="299085455"/>
        <c:scaling>
          <c:orientation val="minMax"/>
          <c:min val="0.2800000000000000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aseline="0"/>
                  <a:t>Densité du pli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8918703"/>
        <c:crosses val="autoZero"/>
        <c:crossBetween val="midCat"/>
      </c:valAx>
      <c:valAx>
        <c:axId val="178918703"/>
        <c:scaling>
          <c:orientation val="minMax"/>
          <c:min val="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fr-FR" sz="1100" baseline="0"/>
                  <a:t>Module d'Young (MPa)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908545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7</Pages>
  <Words>10704</Words>
  <Characters>58875</Characters>
  <Application>Microsoft Office Word</Application>
  <DocSecurity>0</DocSecurity>
  <Lines>490</Lines>
  <Paragraphs>138</Paragraphs>
  <ScaleCrop>false</ScaleCrop>
  <HeadingPairs>
    <vt:vector size="2" baseType="variant">
      <vt:variant>
        <vt:lpstr>Titre</vt:lpstr>
      </vt:variant>
      <vt:variant>
        <vt:i4>1</vt:i4>
      </vt:variant>
    </vt:vector>
  </HeadingPairs>
  <TitlesOfParts>
    <vt:vector size="1" baseType="lpstr">
      <vt:lpstr>Titre en français</vt:lpstr>
    </vt:vector>
  </TitlesOfParts>
  <Company>LGMT PRO²COM</Company>
  <LinksUpToDate>false</LinksUpToDate>
  <CharactersWithSpaces>69441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en français</dc:title>
  <dc:creator>PEIGNON AXEL</dc:creator>
  <cp:lastModifiedBy>alex peignon</cp:lastModifiedBy>
  <cp:revision>18</cp:revision>
  <cp:lastPrinted>2017-02-17T15:52:00Z</cp:lastPrinted>
  <dcterms:created xsi:type="dcterms:W3CDTF">2023-05-17T16:03:00Z</dcterms:created>
  <dcterms:modified xsi:type="dcterms:W3CDTF">2023-05-22T19:19:00Z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id="DKYs4v27"/&gt;&lt;style id="http://www.zotero.org/styles/ieee" locale="fr-FR" hasBibliography="1" bibliographyStyleHasBeenSet="1"/&gt;&lt;prefs&gt;&lt;pref name="fieldType" value="Field"/&gt;&lt;/prefs&gt;&lt;/data&gt;</vt:lpwstr>
  </property>
</Properties>
</file>