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6257" w:rsidRDefault="00666257" w:rsidP="006F4CC1">
      <w:pPr>
        <w:pStyle w:val="SousTitre"/>
        <w:rPr>
          <w:rFonts w:ascii="Times" w:hAnsi="Times"/>
          <w:i w:val="0"/>
        </w:rPr>
      </w:pPr>
      <w:r w:rsidRPr="00666257">
        <w:rPr>
          <w:rFonts w:ascii="Times" w:hAnsi="Times"/>
          <w:i w:val="0"/>
        </w:rPr>
        <w:t>Amélioration du modèle éléments finis d’une structure sandwich lattice</w:t>
      </w:r>
      <w:r>
        <w:rPr>
          <w:rFonts w:ascii="Times" w:hAnsi="Times"/>
          <w:i w:val="0"/>
        </w:rPr>
        <w:br/>
      </w:r>
      <w:r w:rsidRPr="00666257">
        <w:rPr>
          <w:rFonts w:ascii="Times" w:hAnsi="Times"/>
          <w:i w:val="0"/>
        </w:rPr>
        <w:t xml:space="preserve">grâce à l’exploitation de la tomographie </w:t>
      </w:r>
      <w:r w:rsidRPr="0012239E">
        <w:rPr>
          <w:rFonts w:ascii="Times" w:hAnsi="Times"/>
          <w:i w:val="0"/>
        </w:rPr>
        <w:t>par rayon</w:t>
      </w:r>
      <w:r w:rsidR="00B10DF7" w:rsidRPr="0012239E">
        <w:rPr>
          <w:rFonts w:ascii="Times" w:hAnsi="Times"/>
          <w:i w:val="0"/>
        </w:rPr>
        <w:t xml:space="preserve">s </w:t>
      </w:r>
      <w:r w:rsidRPr="0012239E">
        <w:rPr>
          <w:rFonts w:ascii="Times" w:hAnsi="Times"/>
          <w:i w:val="0"/>
        </w:rPr>
        <w:t>X</w:t>
      </w:r>
    </w:p>
    <w:p w:rsidR="000728E0" w:rsidRPr="00666257" w:rsidRDefault="00666257" w:rsidP="00666257">
      <w:pPr>
        <w:pStyle w:val="SousTitre"/>
        <w:rPr>
          <w:lang w:val="en-GB"/>
        </w:rPr>
      </w:pPr>
      <w:r w:rsidRPr="00666257">
        <w:rPr>
          <w:lang w:val="en-GB"/>
        </w:rPr>
        <w:t>Improving the finite element model of a lattice sandwich structure</w:t>
      </w:r>
      <w:r>
        <w:rPr>
          <w:lang w:val="en-GB"/>
        </w:rPr>
        <w:br/>
      </w:r>
      <w:r w:rsidRPr="00666257">
        <w:rPr>
          <w:lang w:val="en-GB"/>
        </w:rPr>
        <w:t>by exploiting X-ray computed tomography data</w:t>
      </w:r>
    </w:p>
    <w:p w:rsidR="000728E0" w:rsidRPr="00AE589B" w:rsidRDefault="00666257" w:rsidP="00666257">
      <w:pPr>
        <w:pStyle w:val="Auteurs"/>
        <w:rPr>
          <w:rFonts w:ascii="Times New Roman" w:hAnsi="Times New Roman"/>
          <w:b/>
          <w:sz w:val="20"/>
          <w:lang w:val="en-GB"/>
        </w:rPr>
      </w:pPr>
      <w:r w:rsidRPr="00AE589B">
        <w:rPr>
          <w:rFonts w:ascii="Times New Roman" w:hAnsi="Times New Roman"/>
          <w:b/>
          <w:sz w:val="20"/>
          <w:lang w:val="en-GB"/>
        </w:rPr>
        <w:t>Olivier Dorival</w:t>
      </w:r>
      <w:r w:rsidR="000728E0" w:rsidRPr="00AE589B">
        <w:rPr>
          <w:rFonts w:ascii="Times New Roman" w:hAnsi="Times New Roman"/>
          <w:b/>
          <w:sz w:val="20"/>
          <w:vertAlign w:val="superscript"/>
          <w:lang w:val="en-GB"/>
        </w:rPr>
        <w:t>1</w:t>
      </w:r>
      <w:r w:rsidRPr="00AE589B">
        <w:rPr>
          <w:rFonts w:ascii="Times New Roman" w:hAnsi="Times New Roman"/>
          <w:b/>
          <w:sz w:val="20"/>
          <w:vertAlign w:val="superscript"/>
          <w:lang w:val="en-GB"/>
        </w:rPr>
        <w:t>, 2</w:t>
      </w:r>
      <w:r w:rsidR="000728E0" w:rsidRPr="00AE589B">
        <w:rPr>
          <w:rFonts w:ascii="Times New Roman" w:hAnsi="Times New Roman"/>
          <w:b/>
          <w:sz w:val="20"/>
          <w:lang w:val="en-GB"/>
        </w:rPr>
        <w:t xml:space="preserve">, </w:t>
      </w:r>
      <w:r w:rsidRPr="00AE589B">
        <w:rPr>
          <w:rFonts w:ascii="Times New Roman" w:hAnsi="Times New Roman"/>
          <w:b/>
          <w:sz w:val="20"/>
          <w:lang w:val="en-GB"/>
        </w:rPr>
        <w:t>Philippe Guy</w:t>
      </w:r>
      <w:r w:rsidR="000728E0" w:rsidRPr="00AE589B">
        <w:rPr>
          <w:rFonts w:ascii="Times New Roman" w:hAnsi="Times New Roman"/>
          <w:b/>
          <w:sz w:val="20"/>
          <w:vertAlign w:val="superscript"/>
          <w:lang w:val="en-GB"/>
        </w:rPr>
        <w:t>1</w:t>
      </w:r>
      <w:r w:rsidRPr="00AE589B">
        <w:rPr>
          <w:rFonts w:ascii="Times New Roman" w:hAnsi="Times New Roman"/>
          <w:b/>
          <w:sz w:val="20"/>
          <w:vertAlign w:val="superscript"/>
          <w:lang w:val="en-GB"/>
        </w:rPr>
        <w:t>, 2</w:t>
      </w:r>
      <w:r w:rsidRPr="00AE589B">
        <w:rPr>
          <w:rFonts w:ascii="Times New Roman" w:hAnsi="Times New Roman"/>
          <w:b/>
          <w:sz w:val="20"/>
          <w:lang w:val="en-GB"/>
        </w:rPr>
        <w:t>, Marco A. Pérez</w:t>
      </w:r>
      <w:r w:rsidRPr="00AE589B">
        <w:rPr>
          <w:rFonts w:ascii="Times New Roman" w:hAnsi="Times New Roman"/>
          <w:b/>
          <w:sz w:val="20"/>
          <w:vertAlign w:val="superscript"/>
          <w:lang w:val="en-GB"/>
        </w:rPr>
        <w:t>3</w:t>
      </w:r>
      <w:r w:rsidRPr="00AE589B">
        <w:rPr>
          <w:rFonts w:ascii="Times New Roman" w:hAnsi="Times New Roman"/>
          <w:b/>
          <w:sz w:val="20"/>
          <w:lang w:val="en-GB"/>
        </w:rPr>
        <w:t>,</w:t>
      </w:r>
      <w:r w:rsidR="00D63C10" w:rsidRPr="00AE589B">
        <w:rPr>
          <w:rFonts w:ascii="Times New Roman" w:hAnsi="Times New Roman"/>
          <w:b/>
          <w:sz w:val="20"/>
          <w:lang w:val="en-GB"/>
        </w:rPr>
        <w:t xml:space="preserve"> </w:t>
      </w:r>
      <w:r w:rsidRPr="00AE589B">
        <w:rPr>
          <w:rFonts w:ascii="Times New Roman" w:hAnsi="Times New Roman"/>
          <w:b/>
          <w:sz w:val="20"/>
          <w:lang w:val="en-GB"/>
        </w:rPr>
        <w:t>Jean-Noël Périé</w:t>
      </w:r>
      <w:r w:rsidRPr="00AE589B">
        <w:rPr>
          <w:rFonts w:ascii="Times New Roman" w:hAnsi="Times New Roman"/>
          <w:b/>
          <w:sz w:val="20"/>
          <w:vertAlign w:val="superscript"/>
          <w:lang w:val="en-GB"/>
        </w:rPr>
        <w:t>2</w:t>
      </w:r>
      <w:r w:rsidRPr="00AE589B">
        <w:rPr>
          <w:rFonts w:ascii="Times New Roman" w:hAnsi="Times New Roman"/>
          <w:b/>
          <w:sz w:val="20"/>
          <w:lang w:val="en-GB"/>
        </w:rPr>
        <w:t xml:space="preserve">, </w:t>
      </w:r>
      <w:proofErr w:type="spellStart"/>
      <w:r w:rsidRPr="00AE589B">
        <w:rPr>
          <w:rFonts w:ascii="Times New Roman" w:hAnsi="Times New Roman"/>
          <w:b/>
          <w:sz w:val="20"/>
          <w:lang w:val="en-GB"/>
        </w:rPr>
        <w:t>Guilhem</w:t>
      </w:r>
      <w:proofErr w:type="spellEnd"/>
      <w:r w:rsidRPr="00AE589B">
        <w:rPr>
          <w:rFonts w:ascii="Times New Roman" w:hAnsi="Times New Roman"/>
          <w:b/>
          <w:sz w:val="20"/>
          <w:lang w:val="en-GB"/>
        </w:rPr>
        <w:t xml:space="preserve"> Michon</w:t>
      </w:r>
      <w:r w:rsidRPr="00AE589B">
        <w:rPr>
          <w:rFonts w:ascii="Times New Roman" w:hAnsi="Times New Roman"/>
          <w:b/>
          <w:sz w:val="20"/>
          <w:vertAlign w:val="superscript"/>
          <w:lang w:val="en-GB"/>
        </w:rPr>
        <w:t>2</w:t>
      </w:r>
    </w:p>
    <w:p w:rsidR="000E1DB9" w:rsidRPr="00B10DF7" w:rsidRDefault="000E1DB9" w:rsidP="000E1DB9">
      <w:pPr>
        <w:pStyle w:val="Adresses"/>
        <w:rPr>
          <w:rFonts w:ascii="Times New Roman" w:hAnsi="Times New Roman"/>
          <w:szCs w:val="16"/>
          <w:lang w:val="en-US"/>
        </w:rPr>
      </w:pPr>
      <w:proofErr w:type="gramStart"/>
      <w:r w:rsidRPr="00B10DF7">
        <w:rPr>
          <w:rFonts w:ascii="Times New Roman" w:hAnsi="Times New Roman"/>
          <w:szCs w:val="16"/>
          <w:lang w:val="en-US"/>
        </w:rPr>
        <w:t>1 :</w:t>
      </w:r>
      <w:proofErr w:type="gramEnd"/>
      <w:r w:rsidRPr="00B10DF7">
        <w:rPr>
          <w:rFonts w:ascii="Times New Roman" w:hAnsi="Times New Roman"/>
          <w:szCs w:val="16"/>
          <w:lang w:val="en-US"/>
        </w:rPr>
        <w:t xml:space="preserve"> </w:t>
      </w:r>
      <w:proofErr w:type="spellStart"/>
      <w:r w:rsidRPr="00B10DF7">
        <w:rPr>
          <w:rFonts w:ascii="Times New Roman" w:hAnsi="Times New Roman"/>
          <w:szCs w:val="16"/>
          <w:lang w:val="en-US"/>
        </w:rPr>
        <w:t>Icam</w:t>
      </w:r>
      <w:proofErr w:type="spellEnd"/>
      <w:r w:rsidRPr="00B10DF7">
        <w:rPr>
          <w:rFonts w:ascii="Times New Roman" w:hAnsi="Times New Roman"/>
          <w:szCs w:val="16"/>
          <w:lang w:val="en-US"/>
        </w:rPr>
        <w:t xml:space="preserve"> School of Engineering, Toulouse campus</w:t>
      </w:r>
      <w:r w:rsidRPr="00B10DF7">
        <w:rPr>
          <w:rFonts w:ascii="Times New Roman" w:hAnsi="Times New Roman"/>
          <w:szCs w:val="16"/>
          <w:lang w:val="en-US"/>
        </w:rPr>
        <w:br/>
        <w:t>75 av. de Grande-Bretagne, 31300 Toulouse</w:t>
      </w:r>
    </w:p>
    <w:p w:rsidR="000E1DB9" w:rsidRDefault="000E1DB9" w:rsidP="000E1DB9">
      <w:pPr>
        <w:pStyle w:val="Adresses"/>
        <w:rPr>
          <w:rFonts w:ascii="Times New Roman" w:hAnsi="Times New Roman"/>
          <w:szCs w:val="16"/>
          <w:lang w:val="it-IT"/>
        </w:rPr>
      </w:pPr>
      <w:proofErr w:type="gramStart"/>
      <w:r w:rsidRPr="009C719C">
        <w:rPr>
          <w:rFonts w:ascii="Times New Roman" w:hAnsi="Times New Roman"/>
          <w:szCs w:val="16"/>
          <w:lang w:val="it-IT"/>
        </w:rPr>
        <w:t>e-mail :</w:t>
      </w:r>
      <w:proofErr w:type="gramEnd"/>
      <w:r w:rsidRPr="009C719C">
        <w:rPr>
          <w:rFonts w:ascii="Times New Roman" w:hAnsi="Times New Roman"/>
          <w:szCs w:val="16"/>
          <w:lang w:val="it-IT"/>
        </w:rPr>
        <w:t xml:space="preserve"> </w:t>
      </w:r>
      <w:hyperlink r:id="rId8" w:history="1">
        <w:r w:rsidRPr="005E6358">
          <w:rPr>
            <w:rStyle w:val="Lienhypertexte"/>
            <w:rFonts w:ascii="Times New Roman" w:hAnsi="Times New Roman"/>
            <w:szCs w:val="16"/>
            <w:lang w:val="it-IT"/>
          </w:rPr>
          <w:t>olivier.dorival@icam.fr</w:t>
        </w:r>
      </w:hyperlink>
      <w:r>
        <w:rPr>
          <w:rFonts w:ascii="Times New Roman" w:hAnsi="Times New Roman"/>
          <w:szCs w:val="16"/>
          <w:lang w:val="it-IT"/>
        </w:rPr>
        <w:t xml:space="preserve"> et </w:t>
      </w:r>
      <w:hyperlink r:id="rId9" w:history="1">
        <w:r w:rsidRPr="005E6358">
          <w:rPr>
            <w:rStyle w:val="Lienhypertexte"/>
            <w:rFonts w:ascii="Times New Roman" w:hAnsi="Times New Roman"/>
            <w:szCs w:val="16"/>
            <w:lang w:val="it-IT"/>
          </w:rPr>
          <w:t>philippe.guy@icam.fr</w:t>
        </w:r>
      </w:hyperlink>
    </w:p>
    <w:p w:rsidR="000E1DB9" w:rsidRDefault="000E1DB9" w:rsidP="000E1DB9">
      <w:pPr>
        <w:pStyle w:val="Adresses"/>
        <w:rPr>
          <w:rFonts w:ascii="Times New Roman" w:hAnsi="Times New Roman"/>
          <w:szCs w:val="16"/>
          <w:lang w:val="it-IT"/>
        </w:rPr>
      </w:pPr>
      <w:r w:rsidRPr="009C719C">
        <w:rPr>
          <w:rFonts w:ascii="Times New Roman" w:hAnsi="Times New Roman"/>
          <w:szCs w:val="16"/>
          <w:lang w:val="it-IT"/>
        </w:rPr>
        <w:t xml:space="preserve"> </w:t>
      </w:r>
    </w:p>
    <w:p w:rsidR="000E1DB9" w:rsidRDefault="000E1DB9" w:rsidP="000E1DB9">
      <w:pPr>
        <w:pStyle w:val="Adresses"/>
        <w:rPr>
          <w:rFonts w:ascii="Times New Roman" w:hAnsi="Times New Roman"/>
          <w:szCs w:val="16"/>
        </w:rPr>
      </w:pPr>
      <w:r>
        <w:rPr>
          <w:rFonts w:ascii="Times New Roman" w:hAnsi="Times New Roman"/>
          <w:szCs w:val="16"/>
        </w:rPr>
        <w:t>2</w:t>
      </w:r>
      <w:r w:rsidRPr="00A10895">
        <w:rPr>
          <w:rFonts w:ascii="Times New Roman" w:hAnsi="Times New Roman"/>
          <w:szCs w:val="16"/>
        </w:rPr>
        <w:t xml:space="preserve"> : </w:t>
      </w:r>
      <w:r w:rsidRPr="00C97839">
        <w:rPr>
          <w:rFonts w:ascii="Times New Roman" w:hAnsi="Times New Roman"/>
          <w:szCs w:val="16"/>
        </w:rPr>
        <w:t>Institut Clément Ader, UMR CNRS 5312</w:t>
      </w:r>
    </w:p>
    <w:p w:rsidR="000E1DB9" w:rsidRDefault="000E1DB9" w:rsidP="000E1DB9">
      <w:pPr>
        <w:pStyle w:val="Adresses"/>
        <w:rPr>
          <w:rFonts w:ascii="Times New Roman" w:hAnsi="Times New Roman"/>
          <w:szCs w:val="16"/>
        </w:rPr>
      </w:pPr>
      <w:r w:rsidRPr="00C97839">
        <w:rPr>
          <w:rFonts w:ascii="Times New Roman" w:hAnsi="Times New Roman"/>
          <w:szCs w:val="16"/>
        </w:rPr>
        <w:t xml:space="preserve">Université de Toulouse, INSA/UPS/ISAE/Mines Albi, </w:t>
      </w:r>
    </w:p>
    <w:p w:rsidR="000E1DB9" w:rsidRDefault="000E1DB9" w:rsidP="000E1DB9">
      <w:pPr>
        <w:pStyle w:val="Adresses"/>
        <w:rPr>
          <w:rFonts w:ascii="Times New Roman" w:hAnsi="Times New Roman"/>
          <w:szCs w:val="16"/>
        </w:rPr>
      </w:pPr>
      <w:r w:rsidRPr="00C97839">
        <w:rPr>
          <w:rFonts w:ascii="Times New Roman" w:hAnsi="Times New Roman"/>
          <w:szCs w:val="16"/>
        </w:rPr>
        <w:t xml:space="preserve">3 rue Caroline Aigle, 31400 Toulouse </w:t>
      </w:r>
    </w:p>
    <w:p w:rsidR="000E1DB9" w:rsidRDefault="000E1DB9" w:rsidP="000E1DB9">
      <w:pPr>
        <w:pStyle w:val="Adresses"/>
        <w:rPr>
          <w:rFonts w:ascii="Times New Roman" w:hAnsi="Times New Roman"/>
          <w:szCs w:val="16"/>
          <w:lang w:val="it-IT"/>
        </w:rPr>
      </w:pPr>
      <w:proofErr w:type="gramStart"/>
      <w:r w:rsidRPr="009C719C">
        <w:rPr>
          <w:rFonts w:ascii="Times New Roman" w:hAnsi="Times New Roman"/>
          <w:szCs w:val="16"/>
          <w:lang w:val="it-IT"/>
        </w:rPr>
        <w:t>e-mail :</w:t>
      </w:r>
      <w:proofErr w:type="gramEnd"/>
      <w:r>
        <w:rPr>
          <w:rFonts w:ascii="Times New Roman" w:hAnsi="Times New Roman"/>
          <w:szCs w:val="16"/>
          <w:lang w:val="it-IT"/>
        </w:rPr>
        <w:t xml:space="preserve"> </w:t>
      </w:r>
      <w:hyperlink r:id="rId10" w:history="1">
        <w:r w:rsidRPr="005E6358">
          <w:rPr>
            <w:rStyle w:val="Lienhypertexte"/>
            <w:rFonts w:ascii="Times New Roman" w:hAnsi="Times New Roman"/>
            <w:szCs w:val="16"/>
            <w:lang w:val="it-IT"/>
          </w:rPr>
          <w:t>jean-noel.perie@univ-tlse3.fr</w:t>
        </w:r>
      </w:hyperlink>
      <w:r>
        <w:rPr>
          <w:rFonts w:ascii="Times New Roman" w:hAnsi="Times New Roman"/>
          <w:szCs w:val="16"/>
          <w:lang w:val="it-IT"/>
        </w:rPr>
        <w:t xml:space="preserve"> et </w:t>
      </w:r>
      <w:hyperlink r:id="rId11" w:history="1">
        <w:r w:rsidRPr="005E6358">
          <w:rPr>
            <w:rStyle w:val="Lienhypertexte"/>
            <w:rFonts w:ascii="Times New Roman" w:hAnsi="Times New Roman"/>
            <w:szCs w:val="16"/>
            <w:lang w:val="it-IT"/>
          </w:rPr>
          <w:t>guilhem.michon@isae-supaero.fr</w:t>
        </w:r>
      </w:hyperlink>
      <w:r>
        <w:rPr>
          <w:rFonts w:ascii="Times New Roman" w:hAnsi="Times New Roman"/>
          <w:szCs w:val="16"/>
          <w:lang w:val="it-IT"/>
        </w:rPr>
        <w:t xml:space="preserve"> </w:t>
      </w:r>
    </w:p>
    <w:p w:rsidR="000E1DB9" w:rsidRDefault="000E1DB9" w:rsidP="000E1DB9">
      <w:pPr>
        <w:pStyle w:val="Adresses"/>
        <w:rPr>
          <w:rFonts w:ascii="Times New Roman" w:hAnsi="Times New Roman"/>
          <w:szCs w:val="16"/>
          <w:lang w:val="it-IT"/>
        </w:rPr>
      </w:pPr>
    </w:p>
    <w:p w:rsidR="000E1DB9" w:rsidRPr="003262A2" w:rsidRDefault="000E1DB9" w:rsidP="000E1DB9">
      <w:pPr>
        <w:pStyle w:val="Adresses"/>
        <w:rPr>
          <w:rFonts w:ascii="Times New Roman" w:hAnsi="Times New Roman"/>
          <w:szCs w:val="16"/>
          <w:lang w:val="en-GB"/>
        </w:rPr>
      </w:pPr>
      <w:proofErr w:type="gramStart"/>
      <w:r w:rsidRPr="003262A2">
        <w:rPr>
          <w:rFonts w:ascii="Times New Roman" w:hAnsi="Times New Roman"/>
          <w:szCs w:val="16"/>
          <w:lang w:val="en-GB"/>
        </w:rPr>
        <w:t>3 :</w:t>
      </w:r>
      <w:proofErr w:type="gramEnd"/>
      <w:r w:rsidRPr="003262A2">
        <w:rPr>
          <w:rFonts w:ascii="Times New Roman" w:hAnsi="Times New Roman"/>
          <w:szCs w:val="16"/>
          <w:lang w:val="en-GB"/>
        </w:rPr>
        <w:t xml:space="preserve"> IQS School of Engineering - </w:t>
      </w:r>
      <w:r w:rsidRPr="003262A2">
        <w:rPr>
          <w:rFonts w:ascii="Times New Roman" w:hAnsi="Times New Roman"/>
          <w:szCs w:val="16"/>
          <w:lang w:val="ca-ES"/>
        </w:rPr>
        <w:t>Universitat</w:t>
      </w:r>
      <w:r w:rsidRPr="003262A2">
        <w:rPr>
          <w:rFonts w:ascii="Times New Roman" w:hAnsi="Times New Roman"/>
          <w:szCs w:val="16"/>
          <w:lang w:val="en-GB"/>
        </w:rPr>
        <w:t xml:space="preserve"> Ramón Llull, </w:t>
      </w:r>
      <w:r>
        <w:rPr>
          <w:rFonts w:ascii="Times New Roman" w:hAnsi="Times New Roman"/>
          <w:szCs w:val="16"/>
          <w:lang w:val="en-GB"/>
        </w:rPr>
        <w:br/>
      </w:r>
      <w:r w:rsidRPr="003262A2">
        <w:rPr>
          <w:rFonts w:ascii="Times New Roman" w:hAnsi="Times New Roman"/>
          <w:szCs w:val="16"/>
          <w:lang w:val="en-GB"/>
        </w:rPr>
        <w:t xml:space="preserve">Via Augusta 390, 08017 Barcelona, </w:t>
      </w:r>
      <w:proofErr w:type="spellStart"/>
      <w:r w:rsidRPr="003262A2">
        <w:rPr>
          <w:rFonts w:ascii="Times New Roman" w:hAnsi="Times New Roman"/>
          <w:szCs w:val="16"/>
          <w:lang w:val="en-GB"/>
        </w:rPr>
        <w:t>España</w:t>
      </w:r>
      <w:proofErr w:type="spellEnd"/>
      <w:r>
        <w:rPr>
          <w:rFonts w:ascii="Times New Roman" w:hAnsi="Times New Roman"/>
          <w:szCs w:val="16"/>
          <w:lang w:val="en-GB"/>
        </w:rPr>
        <w:br/>
      </w:r>
      <w:r w:rsidRPr="003262A2">
        <w:rPr>
          <w:rFonts w:ascii="Times New Roman" w:hAnsi="Times New Roman"/>
          <w:szCs w:val="16"/>
          <w:lang w:val="en-GB"/>
        </w:rPr>
        <w:t xml:space="preserve"> </w:t>
      </w:r>
      <w:r>
        <w:rPr>
          <w:rFonts w:ascii="Times New Roman" w:hAnsi="Times New Roman"/>
          <w:szCs w:val="16"/>
          <w:lang w:val="en-GB"/>
        </w:rPr>
        <w:t>e-</w:t>
      </w:r>
      <w:r w:rsidRPr="003262A2">
        <w:rPr>
          <w:rFonts w:ascii="Times New Roman" w:hAnsi="Times New Roman"/>
          <w:szCs w:val="16"/>
          <w:lang w:val="en-GB"/>
        </w:rPr>
        <w:t xml:space="preserve">mail: </w:t>
      </w:r>
      <w:hyperlink r:id="rId12" w:history="1">
        <w:r w:rsidRPr="003262A2">
          <w:rPr>
            <w:rStyle w:val="Lienhypertexte"/>
            <w:rFonts w:ascii="Times New Roman" w:hAnsi="Times New Roman"/>
            <w:szCs w:val="16"/>
            <w:lang w:val="en-GB"/>
          </w:rPr>
          <w:t>marcoantonio.perez@iqs.edu</w:t>
        </w:r>
      </w:hyperlink>
    </w:p>
    <w:p w:rsidR="00FE440B" w:rsidRPr="00223AE8" w:rsidRDefault="00FE440B" w:rsidP="00717B8A">
      <w:pPr>
        <w:pStyle w:val="Resume"/>
        <w:jc w:val="center"/>
        <w:rPr>
          <w:rFonts w:ascii="Times New Roman" w:hAnsi="Times New Roman"/>
          <w:sz w:val="32"/>
          <w:szCs w:val="36"/>
          <w:lang w:val="en-GB"/>
        </w:rPr>
      </w:pPr>
    </w:p>
    <w:p w:rsidR="000728E0" w:rsidRPr="00B10DF7" w:rsidRDefault="000728E0" w:rsidP="000728E0">
      <w:pPr>
        <w:pStyle w:val="Titreresume"/>
      </w:pPr>
      <w:r w:rsidRPr="00B10DF7">
        <w:t>Résumé</w:t>
      </w:r>
    </w:p>
    <w:p w:rsidR="000728E0" w:rsidRDefault="00404024" w:rsidP="000728E0">
      <w:pPr>
        <w:pStyle w:val="Resume"/>
        <w:rPr>
          <w:rFonts w:ascii="Times New Roman" w:hAnsi="Times New Roman"/>
        </w:rPr>
      </w:pPr>
      <w:r>
        <w:rPr>
          <w:rFonts w:ascii="Times New Roman" w:hAnsi="Times New Roman"/>
        </w:rPr>
        <w:t>Ce</w:t>
      </w:r>
      <w:r w:rsidR="00C82F73">
        <w:rPr>
          <w:rFonts w:ascii="Times New Roman" w:hAnsi="Times New Roman"/>
        </w:rPr>
        <w:t xml:space="preserve"> travail vise à améliorer la prédiction du comportement statique et dynamique de structures légères obtenues en fabrication additive. La structure est un sandwich métallique </w:t>
      </w:r>
      <w:r>
        <w:rPr>
          <w:rFonts w:ascii="Times New Roman" w:hAnsi="Times New Roman"/>
        </w:rPr>
        <w:t xml:space="preserve">obtenu par fusion sur lit de poudre, </w:t>
      </w:r>
      <w:r w:rsidR="00C82F73">
        <w:rPr>
          <w:rFonts w:ascii="Times New Roman" w:hAnsi="Times New Roman"/>
        </w:rPr>
        <w:t xml:space="preserve">dont l’âme est un « lattice » basé sur une cellule élémentaire nommée </w:t>
      </w:r>
      <w:proofErr w:type="spellStart"/>
      <w:r w:rsidR="00C82F73" w:rsidRPr="00C82F73">
        <w:rPr>
          <w:rFonts w:ascii="Times New Roman" w:hAnsi="Times New Roman"/>
          <w:i/>
        </w:rPr>
        <w:t>Dode</w:t>
      </w:r>
      <w:r w:rsidR="00C82F73">
        <w:rPr>
          <w:rFonts w:ascii="Times New Roman" w:hAnsi="Times New Roman"/>
          <w:i/>
        </w:rPr>
        <w:t>-</w:t>
      </w:r>
      <w:r w:rsidR="00C82F73" w:rsidRPr="00C82F73">
        <w:rPr>
          <w:rFonts w:ascii="Times New Roman" w:hAnsi="Times New Roman"/>
          <w:i/>
        </w:rPr>
        <w:t>Thin</w:t>
      </w:r>
      <w:proofErr w:type="spellEnd"/>
      <w:r w:rsidR="00C82F73" w:rsidRPr="00C82F73">
        <w:rPr>
          <w:rFonts w:ascii="Times New Roman" w:hAnsi="Times New Roman"/>
        </w:rPr>
        <w:t xml:space="preserve"> </w:t>
      </w:r>
      <w:r w:rsidR="00C82F73" w:rsidRPr="001E2D01">
        <w:t>(</w:t>
      </w:r>
      <w:proofErr w:type="spellStart"/>
      <w:r w:rsidR="00C82F73" w:rsidRPr="001E2D01">
        <w:t>Materialise</w:t>
      </w:r>
      <w:proofErr w:type="spellEnd"/>
      <w:r w:rsidR="00C82F73" w:rsidRPr="001E2D01">
        <w:t>™)</w:t>
      </w:r>
      <w:r w:rsidR="00C82F73">
        <w:rPr>
          <w:rFonts w:ascii="Times New Roman" w:hAnsi="Times New Roman"/>
        </w:rPr>
        <w:t>. La forme de chaque poutre constituant la cellule élémentaire évolue fortement entre ses extrémités</w:t>
      </w:r>
      <w:r w:rsidR="00E758E4">
        <w:rPr>
          <w:rFonts w:ascii="Times New Roman" w:hAnsi="Times New Roman"/>
        </w:rPr>
        <w:t>, et des travaux précédents [</w:t>
      </w:r>
      <w:r>
        <w:rPr>
          <w:rFonts w:ascii="Times New Roman" w:hAnsi="Times New Roman"/>
        </w:rPr>
        <w:t>1</w:t>
      </w:r>
      <w:r w:rsidR="00E758E4">
        <w:rPr>
          <w:rFonts w:ascii="Times New Roman" w:hAnsi="Times New Roman"/>
        </w:rPr>
        <w:t xml:space="preserve">] ont permis d’établir un modèle analytique de la section nominale et de ses propriétés géométriques, et de le valider par comparaison avec des modèles éléments finis. Malheureusement, le modèle obtenu pour la structure sandwich </w:t>
      </w:r>
      <w:r w:rsidR="0095304C">
        <w:rPr>
          <w:rFonts w:ascii="Times New Roman" w:hAnsi="Times New Roman"/>
        </w:rPr>
        <w:t xml:space="preserve">complète </w:t>
      </w:r>
      <w:r w:rsidR="00E758E4">
        <w:rPr>
          <w:rFonts w:ascii="Times New Roman" w:hAnsi="Times New Roman"/>
        </w:rPr>
        <w:t xml:space="preserve">fournit des résultats imprécis par rapport aux données expérimentales, que ce soit en statique ou en dynamique. Pour expliquer les différences observées, une </w:t>
      </w:r>
      <w:r w:rsidR="00E758E4" w:rsidRPr="0012239E">
        <w:rPr>
          <w:rFonts w:ascii="Times New Roman" w:hAnsi="Times New Roman"/>
        </w:rPr>
        <w:t xml:space="preserve">microtomographie </w:t>
      </w:r>
      <w:r w:rsidR="00E758E4">
        <w:rPr>
          <w:rFonts w:ascii="Times New Roman" w:hAnsi="Times New Roman"/>
        </w:rPr>
        <w:t xml:space="preserve">par rayons X montre que la </w:t>
      </w:r>
      <w:r w:rsidR="0095304C">
        <w:rPr>
          <w:rFonts w:ascii="Times New Roman" w:hAnsi="Times New Roman"/>
        </w:rPr>
        <w:t>structure</w:t>
      </w:r>
      <w:r w:rsidR="00E758E4">
        <w:rPr>
          <w:rFonts w:ascii="Times New Roman" w:hAnsi="Times New Roman"/>
        </w:rPr>
        <w:t xml:space="preserve"> fabriquée </w:t>
      </w:r>
      <w:r w:rsidR="0095304C">
        <w:rPr>
          <w:rFonts w:ascii="Times New Roman" w:hAnsi="Times New Roman"/>
        </w:rPr>
        <w:t>diffère grandement</w:t>
      </w:r>
      <w:r w:rsidR="00E758E4">
        <w:rPr>
          <w:rFonts w:ascii="Times New Roman" w:hAnsi="Times New Roman"/>
        </w:rPr>
        <w:t xml:space="preserve"> de la géométrie nominale, essentiellement à cause de porosités liées au procédé de fabrication. L’approche </w:t>
      </w:r>
      <w:r>
        <w:rPr>
          <w:rFonts w:ascii="Times New Roman" w:hAnsi="Times New Roman"/>
        </w:rPr>
        <w:t xml:space="preserve">proposée dans ce travail vise à obtenir les propriétés de section directement à partir des données issues de la </w:t>
      </w:r>
      <w:r w:rsidRPr="0012239E">
        <w:rPr>
          <w:rFonts w:ascii="Times New Roman" w:hAnsi="Times New Roman"/>
        </w:rPr>
        <w:t>microtomographie</w:t>
      </w:r>
      <w:r>
        <w:rPr>
          <w:rFonts w:ascii="Times New Roman" w:hAnsi="Times New Roman"/>
        </w:rPr>
        <w:t>, et non à partir de la géométrie nominale. Le modèle obtenu</w:t>
      </w:r>
      <w:r w:rsidR="003D7504">
        <w:rPr>
          <w:rFonts w:ascii="Times New Roman" w:hAnsi="Times New Roman"/>
        </w:rPr>
        <w:t>, qui</w:t>
      </w:r>
      <w:r>
        <w:rPr>
          <w:rFonts w:ascii="Times New Roman" w:hAnsi="Times New Roman"/>
        </w:rPr>
        <w:t xml:space="preserve"> constitue un jumeau géométrique de la structure, </w:t>
      </w:r>
      <w:r w:rsidR="006760E2">
        <w:rPr>
          <w:rFonts w:ascii="Times New Roman" w:hAnsi="Times New Roman"/>
        </w:rPr>
        <w:t>donne d</w:t>
      </w:r>
      <w:r>
        <w:rPr>
          <w:rFonts w:ascii="Times New Roman" w:hAnsi="Times New Roman"/>
        </w:rPr>
        <w:t xml:space="preserve">es résultats </w:t>
      </w:r>
      <w:r w:rsidR="006760E2">
        <w:rPr>
          <w:rFonts w:ascii="Times New Roman" w:hAnsi="Times New Roman"/>
        </w:rPr>
        <w:t>fidèle</w:t>
      </w:r>
      <w:r w:rsidR="00821855">
        <w:rPr>
          <w:rFonts w:ascii="Times New Roman" w:hAnsi="Times New Roman"/>
        </w:rPr>
        <w:t>s</w:t>
      </w:r>
      <w:r w:rsidR="006760E2">
        <w:rPr>
          <w:rFonts w:ascii="Times New Roman" w:hAnsi="Times New Roman"/>
        </w:rPr>
        <w:t xml:space="preserve"> aux</w:t>
      </w:r>
      <w:r>
        <w:rPr>
          <w:rFonts w:ascii="Times New Roman" w:hAnsi="Times New Roman"/>
        </w:rPr>
        <w:t xml:space="preserve"> résultats expérimentaux.</w:t>
      </w:r>
    </w:p>
    <w:p w:rsidR="00C82F73" w:rsidRPr="005F35D1" w:rsidRDefault="00C82F73" w:rsidP="000728E0">
      <w:pPr>
        <w:pStyle w:val="Resume"/>
        <w:rPr>
          <w:rFonts w:ascii="Times New Roman" w:hAnsi="Times New Roman"/>
          <w:b/>
        </w:rPr>
      </w:pPr>
    </w:p>
    <w:p w:rsidR="000728E0" w:rsidRPr="00B10DF7" w:rsidRDefault="000728E0" w:rsidP="000728E0">
      <w:pPr>
        <w:pStyle w:val="Titreresume"/>
        <w:rPr>
          <w:lang w:val="en-US"/>
        </w:rPr>
      </w:pPr>
      <w:r w:rsidRPr="00B10DF7">
        <w:rPr>
          <w:lang w:val="en-US"/>
        </w:rPr>
        <w:t>Abstract</w:t>
      </w:r>
    </w:p>
    <w:p w:rsidR="000728E0" w:rsidRPr="00A60C82" w:rsidRDefault="005A1F0B" w:rsidP="000728E0">
      <w:pPr>
        <w:pStyle w:val="Resume"/>
        <w:rPr>
          <w:rFonts w:ascii="Times New Roman" w:hAnsi="Times New Roman"/>
          <w:lang w:val="en-GB"/>
        </w:rPr>
      </w:pPr>
      <w:r w:rsidRPr="005A1F0B">
        <w:rPr>
          <w:rFonts w:ascii="Times New Roman" w:hAnsi="Times New Roman"/>
          <w:lang w:val="en-GB"/>
        </w:rPr>
        <w:t>This work aims to improve the prediction of the static and dynamic behaviour of lightweight structures obtained by additive manufacturing. The structure is a metal</w:t>
      </w:r>
      <w:r>
        <w:rPr>
          <w:rFonts w:ascii="Times New Roman" w:hAnsi="Times New Roman"/>
          <w:lang w:val="en-GB"/>
        </w:rPr>
        <w:t>lic</w:t>
      </w:r>
      <w:r w:rsidRPr="005A1F0B">
        <w:rPr>
          <w:rFonts w:ascii="Times New Roman" w:hAnsi="Times New Roman"/>
          <w:lang w:val="en-GB"/>
        </w:rPr>
        <w:t xml:space="preserve"> sandwich obtained by </w:t>
      </w:r>
      <w:r w:rsidR="00B51B67">
        <w:rPr>
          <w:rFonts w:ascii="Times New Roman" w:hAnsi="Times New Roman"/>
          <w:lang w:val="en-GB"/>
        </w:rPr>
        <w:t xml:space="preserve">Powder Bed </w:t>
      </w:r>
      <w:r>
        <w:rPr>
          <w:rFonts w:ascii="Times New Roman" w:hAnsi="Times New Roman"/>
          <w:lang w:val="en-GB"/>
        </w:rPr>
        <w:t>Laser Beam Melting (LBM)</w:t>
      </w:r>
      <w:r w:rsidRPr="005A1F0B">
        <w:rPr>
          <w:rFonts w:ascii="Times New Roman" w:hAnsi="Times New Roman"/>
          <w:lang w:val="en-GB"/>
        </w:rPr>
        <w:t>, whose</w:t>
      </w:r>
      <w:r>
        <w:rPr>
          <w:rFonts w:ascii="Times New Roman" w:hAnsi="Times New Roman"/>
          <w:lang w:val="en-GB"/>
        </w:rPr>
        <w:t xml:space="preserve"> lattice</w:t>
      </w:r>
      <w:r w:rsidRPr="005A1F0B">
        <w:rPr>
          <w:rFonts w:ascii="Times New Roman" w:hAnsi="Times New Roman"/>
          <w:lang w:val="en-GB"/>
        </w:rPr>
        <w:t xml:space="preserve"> core is based on an elementary cell named Dode-Thin (Materialise™). The shape of each </w:t>
      </w:r>
      <w:r>
        <w:rPr>
          <w:rFonts w:ascii="Times New Roman" w:hAnsi="Times New Roman"/>
          <w:lang w:val="en-GB"/>
        </w:rPr>
        <w:t>strut</w:t>
      </w:r>
      <w:r w:rsidRPr="005A1F0B">
        <w:rPr>
          <w:rFonts w:ascii="Times New Roman" w:hAnsi="Times New Roman"/>
          <w:lang w:val="en-GB"/>
        </w:rPr>
        <w:t xml:space="preserve"> </w:t>
      </w:r>
      <w:r>
        <w:rPr>
          <w:rFonts w:ascii="Times New Roman" w:hAnsi="Times New Roman"/>
          <w:lang w:val="en-GB"/>
        </w:rPr>
        <w:t>constituting</w:t>
      </w:r>
      <w:r w:rsidRPr="005A1F0B">
        <w:rPr>
          <w:rFonts w:ascii="Times New Roman" w:hAnsi="Times New Roman"/>
          <w:lang w:val="en-GB"/>
        </w:rPr>
        <w:t xml:space="preserve"> the elementary cell strongly evolves between its ends, and previous work [1] has established an analytical model of the nominal cross-section and its geometric properties, and validated it by comparison with finite element models.</w:t>
      </w:r>
      <w:r>
        <w:rPr>
          <w:rFonts w:ascii="Times New Roman" w:hAnsi="Times New Roman"/>
          <w:lang w:val="en-GB"/>
        </w:rPr>
        <w:t xml:space="preserve"> </w:t>
      </w:r>
      <w:r w:rsidRPr="005A1F0B">
        <w:rPr>
          <w:rFonts w:ascii="Times New Roman" w:hAnsi="Times New Roman"/>
          <w:lang w:val="en-GB"/>
        </w:rPr>
        <w:t xml:space="preserve">Unfortunately, the model obtained for the complete sandwich structure gives inaccurate results compared with the experimental data, both </w:t>
      </w:r>
      <w:r>
        <w:rPr>
          <w:rFonts w:ascii="Times New Roman" w:hAnsi="Times New Roman"/>
          <w:lang w:val="en-GB"/>
        </w:rPr>
        <w:t xml:space="preserve">in </w:t>
      </w:r>
      <w:r w:rsidRPr="005A1F0B">
        <w:rPr>
          <w:rFonts w:ascii="Times New Roman" w:hAnsi="Times New Roman"/>
          <w:lang w:val="en-GB"/>
        </w:rPr>
        <w:t>static</w:t>
      </w:r>
      <w:r>
        <w:rPr>
          <w:rFonts w:ascii="Times New Roman" w:hAnsi="Times New Roman"/>
          <w:lang w:val="en-GB"/>
        </w:rPr>
        <w:t>s</w:t>
      </w:r>
      <w:r w:rsidRPr="005A1F0B">
        <w:rPr>
          <w:rFonts w:ascii="Times New Roman" w:hAnsi="Times New Roman"/>
          <w:lang w:val="en-GB"/>
        </w:rPr>
        <w:t xml:space="preserve"> and dynamic</w:t>
      </w:r>
      <w:r>
        <w:rPr>
          <w:rFonts w:ascii="Times New Roman" w:hAnsi="Times New Roman"/>
          <w:lang w:val="en-GB"/>
        </w:rPr>
        <w:t>s</w:t>
      </w:r>
      <w:r w:rsidRPr="005A1F0B">
        <w:rPr>
          <w:rFonts w:ascii="Times New Roman" w:hAnsi="Times New Roman"/>
          <w:lang w:val="en-GB"/>
        </w:rPr>
        <w:t xml:space="preserve">. To explain the differences observed, X-ray micro-tomography shows that the manufactured structure greatly differs from the nominal geometry, mainly due to porosities </w:t>
      </w:r>
      <w:r>
        <w:rPr>
          <w:rFonts w:ascii="Times New Roman" w:hAnsi="Times New Roman"/>
          <w:lang w:val="en-GB"/>
        </w:rPr>
        <w:t>generated by</w:t>
      </w:r>
      <w:r w:rsidRPr="005A1F0B">
        <w:rPr>
          <w:rFonts w:ascii="Times New Roman" w:hAnsi="Times New Roman"/>
          <w:lang w:val="en-GB"/>
        </w:rPr>
        <w:t xml:space="preserve"> the manufacturing process. The approach proposed in this work is to obtain</w:t>
      </w:r>
      <w:r>
        <w:rPr>
          <w:rFonts w:ascii="Times New Roman" w:hAnsi="Times New Roman"/>
          <w:lang w:val="en-GB"/>
        </w:rPr>
        <w:t xml:space="preserve"> the</w:t>
      </w:r>
      <w:r w:rsidRPr="005A1F0B">
        <w:rPr>
          <w:rFonts w:ascii="Times New Roman" w:hAnsi="Times New Roman"/>
          <w:lang w:val="en-GB"/>
        </w:rPr>
        <w:t xml:space="preserve"> cross-sectional properties directly from the micro-tomography data, rather than from the nominal geometry. The model obtained, which is a geometric twin of the structure, gives </w:t>
      </w:r>
      <w:r>
        <w:rPr>
          <w:rFonts w:ascii="Times New Roman" w:hAnsi="Times New Roman"/>
          <w:lang w:val="en-GB"/>
        </w:rPr>
        <w:t xml:space="preserve">reliable </w:t>
      </w:r>
      <w:r w:rsidRPr="005A1F0B">
        <w:rPr>
          <w:rFonts w:ascii="Times New Roman" w:hAnsi="Times New Roman"/>
          <w:lang w:val="en-GB"/>
        </w:rPr>
        <w:t xml:space="preserve">results </w:t>
      </w:r>
      <w:r>
        <w:rPr>
          <w:rFonts w:ascii="Times New Roman" w:hAnsi="Times New Roman"/>
          <w:lang w:val="en-GB"/>
        </w:rPr>
        <w:t>compared</w:t>
      </w:r>
      <w:r w:rsidRPr="005A1F0B">
        <w:rPr>
          <w:rFonts w:ascii="Times New Roman" w:hAnsi="Times New Roman"/>
          <w:lang w:val="en-GB"/>
        </w:rPr>
        <w:t xml:space="preserve"> to the experimental </w:t>
      </w:r>
      <w:r w:rsidR="00EE5E7F">
        <w:rPr>
          <w:rFonts w:ascii="Times New Roman" w:hAnsi="Times New Roman"/>
          <w:lang w:val="en-GB"/>
        </w:rPr>
        <w:t>ones</w:t>
      </w:r>
      <w:r w:rsidRPr="005A1F0B">
        <w:rPr>
          <w:rFonts w:ascii="Times New Roman" w:hAnsi="Times New Roman"/>
          <w:lang w:val="en-GB"/>
        </w:rPr>
        <w:t>.</w:t>
      </w:r>
    </w:p>
    <w:p w:rsidR="000728E0" w:rsidRPr="00A60C82" w:rsidRDefault="000728E0" w:rsidP="000728E0">
      <w:pPr>
        <w:pStyle w:val="Resume"/>
        <w:rPr>
          <w:rFonts w:ascii="Times New Roman" w:hAnsi="Times New Roman"/>
          <w:lang w:val="en-GB"/>
        </w:rPr>
      </w:pPr>
    </w:p>
    <w:p w:rsidR="000728E0" w:rsidRPr="00F148BA" w:rsidRDefault="000728E0" w:rsidP="006F4CC1">
      <w:pPr>
        <w:pStyle w:val="Resume"/>
      </w:pPr>
      <w:r w:rsidRPr="00F148BA">
        <w:rPr>
          <w:b/>
        </w:rPr>
        <w:t>Mots Clés :</w:t>
      </w:r>
      <w:r w:rsidRPr="00F148BA">
        <w:t xml:space="preserve"> </w:t>
      </w:r>
      <w:r w:rsidR="00F148BA" w:rsidRPr="00F148BA">
        <w:t xml:space="preserve">structure </w:t>
      </w:r>
      <w:r w:rsidR="00F148BA">
        <w:t xml:space="preserve">sandwich </w:t>
      </w:r>
      <w:r w:rsidR="00F148BA" w:rsidRPr="00F148BA">
        <w:t>lattice</w:t>
      </w:r>
      <w:r w:rsidR="00F148BA">
        <w:t>, jumeau géométrique, </w:t>
      </w:r>
      <w:r w:rsidR="00F148BA" w:rsidRPr="0012239E">
        <w:t>microtomographie</w:t>
      </w:r>
      <w:r w:rsidR="00F148BA">
        <w:t>, recalage de modèle, fabrication additive métallique.</w:t>
      </w:r>
    </w:p>
    <w:p w:rsidR="000728E0" w:rsidRPr="00443C8F" w:rsidRDefault="000728E0" w:rsidP="006F4CC1">
      <w:pPr>
        <w:pStyle w:val="Resume"/>
        <w:rPr>
          <w:lang w:val="en-US"/>
        </w:rPr>
      </w:pPr>
      <w:r w:rsidRPr="00443C8F">
        <w:rPr>
          <w:b/>
          <w:lang w:val="en-US"/>
        </w:rPr>
        <w:t>Keywords:</w:t>
      </w:r>
      <w:r w:rsidRPr="00443C8F">
        <w:rPr>
          <w:lang w:val="en-US"/>
        </w:rPr>
        <w:t xml:space="preserve"> </w:t>
      </w:r>
      <w:r w:rsidR="00F148BA">
        <w:rPr>
          <w:lang w:val="en-US"/>
        </w:rPr>
        <w:t>lattice core sandwich structure, geometrical twin, X-ray computed tomography, model updating, metallic additive manufacturing.</w:t>
      </w:r>
    </w:p>
    <w:p w:rsidR="000728E0" w:rsidRDefault="000728E0" w:rsidP="000728E0">
      <w:pPr>
        <w:pStyle w:val="Resume"/>
        <w:rPr>
          <w:rFonts w:ascii="Times New Roman" w:hAnsi="Times New Roman"/>
          <w:lang w:val="en-US"/>
        </w:rPr>
      </w:pPr>
    </w:p>
    <w:p w:rsidR="000728E0" w:rsidRDefault="0018181D" w:rsidP="00D6328D">
      <w:pPr>
        <w:pStyle w:val="Titredeniveau1"/>
        <w:numPr>
          <w:ilvl w:val="0"/>
          <w:numId w:val="4"/>
        </w:numPr>
      </w:pPr>
      <w:r>
        <w:t>Introduction</w:t>
      </w:r>
    </w:p>
    <w:p w:rsidR="004A3DBA" w:rsidRDefault="00DC11A3" w:rsidP="00BA4C8A">
      <w:pPr>
        <w:pStyle w:val="Titredeniveau1"/>
        <w:rPr>
          <w:b w:val="0"/>
        </w:rPr>
      </w:pPr>
      <w:r w:rsidRPr="00DC11A3">
        <w:rPr>
          <w:b w:val="0"/>
        </w:rPr>
        <w:t xml:space="preserve">Aujourd'hui, la fabrication additive (AM) devient un processus de fabrication standard dans un grand nombre d'applications industrielles, en particulier dans les secteurs de la bio-ingénierie et de </w:t>
      </w:r>
      <w:r w:rsidRPr="00DC11A3">
        <w:rPr>
          <w:b w:val="0"/>
        </w:rPr>
        <w:lastRenderedPageBreak/>
        <w:t>l'aérospatiale [</w:t>
      </w:r>
      <w:r w:rsidR="004A3DBA">
        <w:rPr>
          <w:b w:val="0"/>
        </w:rPr>
        <w:t>2</w:t>
      </w:r>
      <w:r w:rsidRPr="00DC11A3">
        <w:rPr>
          <w:b w:val="0"/>
        </w:rPr>
        <w:t>-</w:t>
      </w:r>
      <w:r w:rsidR="004A3DBA">
        <w:rPr>
          <w:b w:val="0"/>
        </w:rPr>
        <w:t>3</w:t>
      </w:r>
      <w:r w:rsidRPr="00DC11A3">
        <w:rPr>
          <w:b w:val="0"/>
        </w:rPr>
        <w:t xml:space="preserve">]. De nombreuses pièces de satellites sont fabriquées à l'aide de cette technologie et sont actuellement en orbite. Le processus de fusion sélective par laser (SLM), en particulier, a permis le développement et l'utilisation de structures métalliques en treillis </w:t>
      </w:r>
      <w:r w:rsidR="004A3DBA">
        <w:rPr>
          <w:b w:val="0"/>
        </w:rPr>
        <w:t xml:space="preserve">(« lattice ») </w:t>
      </w:r>
      <w:r w:rsidRPr="00DC11A3">
        <w:rPr>
          <w:b w:val="0"/>
        </w:rPr>
        <w:t>comme composants à la fois légers et rigides. Le défi industriel consiste à dimensionner ces structures dans un délai raisonnable. Il existe une multitude de cellules unitaires élémentaires</w:t>
      </w:r>
      <w:r w:rsidR="004A3DBA">
        <w:rPr>
          <w:b w:val="0"/>
        </w:rPr>
        <w:t xml:space="preserve"> disponibles.</w:t>
      </w:r>
    </w:p>
    <w:p w:rsidR="00BA4C8A" w:rsidRDefault="00F03E29" w:rsidP="00BA4C8A">
      <w:pPr>
        <w:pStyle w:val="Titredeniveau1"/>
        <w:rPr>
          <w:b w:val="0"/>
        </w:rPr>
      </w:pPr>
      <w:r>
        <w:rPr>
          <w:b w:val="0"/>
        </w:rPr>
        <w:t xml:space="preserve">La structure étudiée </w:t>
      </w:r>
      <w:r w:rsidR="004A3DBA">
        <w:rPr>
          <w:b w:val="0"/>
        </w:rPr>
        <w:t xml:space="preserve">ici </w:t>
      </w:r>
      <w:r>
        <w:rPr>
          <w:b w:val="0"/>
        </w:rPr>
        <w:t xml:space="preserve">est </w:t>
      </w:r>
      <w:r w:rsidR="00251AA1">
        <w:rPr>
          <w:b w:val="0"/>
        </w:rPr>
        <w:t xml:space="preserve">monolithique </w:t>
      </w:r>
      <w:r>
        <w:rPr>
          <w:b w:val="0"/>
        </w:rPr>
        <w:t>de type sandwich métallique (</w:t>
      </w:r>
      <w:r w:rsidR="00BA4C8A">
        <w:rPr>
          <w:b w:val="0"/>
        </w:rPr>
        <w:t>TA6V</w:t>
      </w:r>
      <w:r>
        <w:rPr>
          <w:b w:val="0"/>
        </w:rPr>
        <w:t xml:space="preserve">) avec une âme </w:t>
      </w:r>
      <w:proofErr w:type="spellStart"/>
      <w:r w:rsidR="00251AA1">
        <w:rPr>
          <w:b w:val="0"/>
        </w:rPr>
        <w:t>lattice</w:t>
      </w:r>
      <w:proofErr w:type="spellEnd"/>
      <w:r w:rsidR="00BA4C8A">
        <w:rPr>
          <w:b w:val="0"/>
        </w:rPr>
        <w:t xml:space="preserve">, voir </w:t>
      </w:r>
      <w:r w:rsidR="008D3399">
        <w:rPr>
          <w:b w:val="0"/>
        </w:rPr>
        <w:t xml:space="preserve">la </w:t>
      </w:r>
      <w:r w:rsidR="008D3399" w:rsidRPr="008D3399">
        <w:rPr>
          <w:b w:val="0"/>
        </w:rPr>
        <w:fldChar w:fldCharType="begin"/>
      </w:r>
      <w:r w:rsidR="008D3399" w:rsidRPr="008D3399">
        <w:rPr>
          <w:b w:val="0"/>
        </w:rPr>
        <w:instrText xml:space="preserve"> REF _Ref137732034 \h  \* MERGEFORMAT </w:instrText>
      </w:r>
      <w:r w:rsidR="008D3399" w:rsidRPr="008D3399">
        <w:rPr>
          <w:b w:val="0"/>
        </w:rPr>
      </w:r>
      <w:r w:rsidR="008D3399" w:rsidRPr="008D3399">
        <w:rPr>
          <w:b w:val="0"/>
        </w:rPr>
        <w:fldChar w:fldCharType="separate"/>
      </w:r>
      <w:r w:rsidR="008D3399" w:rsidRPr="008D3399">
        <w:rPr>
          <w:b w:val="0"/>
        </w:rPr>
        <w:t>Figure 1</w:t>
      </w:r>
      <w:r w:rsidR="008D3399" w:rsidRPr="008D3399">
        <w:rPr>
          <w:b w:val="0"/>
        </w:rPr>
        <w:fldChar w:fldCharType="end"/>
      </w:r>
      <w:r w:rsidR="00BA4C8A">
        <w:rPr>
          <w:b w:val="0"/>
        </w:rPr>
        <w:t>. La</w:t>
      </w:r>
      <w:r w:rsidR="00BA4C8A" w:rsidRPr="00F03E29">
        <w:rPr>
          <w:b w:val="0"/>
        </w:rPr>
        <w:t xml:space="preserve"> cellule</w:t>
      </w:r>
      <w:r w:rsidR="00BA4C8A">
        <w:rPr>
          <w:b w:val="0"/>
        </w:rPr>
        <w:t xml:space="preserve"> élémentaire étudiée est nommée</w:t>
      </w:r>
      <w:r w:rsidR="00BA4C8A" w:rsidRPr="00F03E29">
        <w:rPr>
          <w:b w:val="0"/>
        </w:rPr>
        <w:t xml:space="preserve"> Dode-Thin (DT)</w:t>
      </w:r>
      <w:r w:rsidR="00BA4C8A">
        <w:rPr>
          <w:b w:val="0"/>
        </w:rPr>
        <w:t xml:space="preserve"> </w:t>
      </w:r>
      <w:r w:rsidR="00580038" w:rsidRPr="0012239E">
        <w:rPr>
          <w:b w:val="0"/>
        </w:rPr>
        <w:t xml:space="preserve">et est proposée </w:t>
      </w:r>
      <w:r w:rsidR="00BA4C8A" w:rsidRPr="00F03E29">
        <w:rPr>
          <w:b w:val="0"/>
        </w:rPr>
        <w:t xml:space="preserve">dans la base de données du logiciel </w:t>
      </w:r>
      <w:proofErr w:type="spellStart"/>
      <w:r w:rsidR="00BA4C8A" w:rsidRPr="00F03E29">
        <w:rPr>
          <w:b w:val="0"/>
        </w:rPr>
        <w:t>Magics</w:t>
      </w:r>
      <w:proofErr w:type="spellEnd"/>
      <w:r w:rsidR="00BA4C8A" w:rsidRPr="00F03E29">
        <w:rPr>
          <w:b w:val="0"/>
        </w:rPr>
        <w:t xml:space="preserve"> (</w:t>
      </w:r>
      <w:proofErr w:type="spellStart"/>
      <w:r w:rsidR="00BA4C8A" w:rsidRPr="00F03E29">
        <w:rPr>
          <w:b w:val="0"/>
        </w:rPr>
        <w:t>Materialise</w:t>
      </w:r>
      <w:proofErr w:type="spellEnd"/>
      <w:r w:rsidR="00BA4C8A" w:rsidRPr="00F03E29">
        <w:rPr>
          <w:b w:val="0"/>
        </w:rPr>
        <w:t xml:space="preserve">™). </w:t>
      </w:r>
      <w:r w:rsidR="00BA4C8A" w:rsidRPr="00BA4C8A">
        <w:rPr>
          <w:b w:val="0"/>
        </w:rPr>
        <w:t xml:space="preserve">La géométrie de </w:t>
      </w:r>
      <w:r w:rsidR="00BA4C8A">
        <w:rPr>
          <w:b w:val="0"/>
        </w:rPr>
        <w:t>la</w:t>
      </w:r>
      <w:r w:rsidR="00BA4C8A" w:rsidRPr="00BA4C8A">
        <w:rPr>
          <w:b w:val="0"/>
        </w:rPr>
        <w:t xml:space="preserve"> cellule</w:t>
      </w:r>
      <w:r w:rsidR="00BA4C8A">
        <w:rPr>
          <w:b w:val="0"/>
        </w:rPr>
        <w:t xml:space="preserve"> DT</w:t>
      </w:r>
      <w:r w:rsidR="00BA4C8A" w:rsidRPr="00BA4C8A">
        <w:rPr>
          <w:b w:val="0"/>
        </w:rPr>
        <w:t xml:space="preserve"> est basée </w:t>
      </w:r>
      <w:r w:rsidR="00580038" w:rsidRPr="0012239E">
        <w:rPr>
          <w:b w:val="0"/>
        </w:rPr>
        <w:t xml:space="preserve">sur </w:t>
      </w:r>
      <w:r w:rsidR="00BA4C8A" w:rsidRPr="00BA4C8A">
        <w:rPr>
          <w:b w:val="0"/>
        </w:rPr>
        <w:t xml:space="preserve">la cellule unitaire </w:t>
      </w:r>
      <w:r w:rsidR="00BA4C8A">
        <w:rPr>
          <w:b w:val="0"/>
        </w:rPr>
        <w:t>d</w:t>
      </w:r>
      <w:r w:rsidR="00BA4C8A" w:rsidRPr="00BA4C8A">
        <w:rPr>
          <w:b w:val="0"/>
        </w:rPr>
        <w:t>odécaèdre rhombique</w:t>
      </w:r>
      <w:r w:rsidR="00BA4C8A">
        <w:rPr>
          <w:b w:val="0"/>
        </w:rPr>
        <w:t xml:space="preserve"> (RD)</w:t>
      </w:r>
      <w:r w:rsidR="0012239E">
        <w:rPr>
          <w:b w:val="0"/>
        </w:rPr>
        <w:t> ;</w:t>
      </w:r>
      <w:r w:rsidR="00BA4C8A" w:rsidRPr="00BA4C8A">
        <w:rPr>
          <w:b w:val="0"/>
        </w:rPr>
        <w:t xml:space="preserve"> </w:t>
      </w:r>
      <w:r w:rsidR="00580038" w:rsidRPr="0012239E">
        <w:rPr>
          <w:b w:val="0"/>
        </w:rPr>
        <w:t xml:space="preserve">elle </w:t>
      </w:r>
      <w:r w:rsidR="00BA4C8A" w:rsidRPr="00BA4C8A">
        <w:rPr>
          <w:b w:val="0"/>
        </w:rPr>
        <w:t xml:space="preserve">est composée de 32 </w:t>
      </w:r>
      <w:r w:rsidR="00BA4C8A">
        <w:rPr>
          <w:b w:val="0"/>
        </w:rPr>
        <w:t>« poutres »</w:t>
      </w:r>
      <w:r w:rsidR="00BA4C8A" w:rsidRPr="00BA4C8A">
        <w:rPr>
          <w:b w:val="0"/>
        </w:rPr>
        <w:t xml:space="preserve"> de forme </w:t>
      </w:r>
      <w:proofErr w:type="spellStart"/>
      <w:r w:rsidR="00BA4C8A">
        <w:rPr>
          <w:b w:val="0"/>
        </w:rPr>
        <w:t>antiprismatique</w:t>
      </w:r>
      <w:proofErr w:type="spellEnd"/>
      <w:r w:rsidR="00FE1CBE" w:rsidRPr="00FE1CBE">
        <w:rPr>
          <w:b w:val="0"/>
          <w:color w:val="FF0000"/>
        </w:rPr>
        <w:t xml:space="preserve"> </w:t>
      </w:r>
      <w:r w:rsidR="00FE1CBE" w:rsidRPr="0012239E">
        <w:rPr>
          <w:b w:val="0"/>
        </w:rPr>
        <w:t>à base triangulaire</w:t>
      </w:r>
      <w:r w:rsidR="00BA4C8A" w:rsidRPr="00BA4C8A">
        <w:rPr>
          <w:b w:val="0"/>
        </w:rPr>
        <w:t xml:space="preserve">. </w:t>
      </w:r>
      <w:r w:rsidR="00BA4C8A">
        <w:rPr>
          <w:b w:val="0"/>
        </w:rPr>
        <w:t>Il s’agit de</w:t>
      </w:r>
      <w:r w:rsidR="00BA4C8A" w:rsidRPr="00BA4C8A">
        <w:rPr>
          <w:b w:val="0"/>
        </w:rPr>
        <w:t xml:space="preserve"> </w:t>
      </w:r>
      <w:r w:rsidR="00BA4C8A">
        <w:rPr>
          <w:b w:val="0"/>
        </w:rPr>
        <w:t>poutres</w:t>
      </w:r>
      <w:r w:rsidR="00BA4C8A" w:rsidRPr="00BA4C8A">
        <w:rPr>
          <w:b w:val="0"/>
        </w:rPr>
        <w:t xml:space="preserve"> droites non prismatiques dont les dimensions de la section transversale varient linéairement sur la longueur. Les connexions entre les </w:t>
      </w:r>
      <w:r w:rsidR="00BA4C8A">
        <w:rPr>
          <w:b w:val="0"/>
        </w:rPr>
        <w:t>poutres</w:t>
      </w:r>
      <w:r w:rsidR="00BA4C8A" w:rsidRPr="00BA4C8A">
        <w:rPr>
          <w:b w:val="0"/>
        </w:rPr>
        <w:t xml:space="preserve"> sont des octaèdres réguliers. Ce type de cellule est </w:t>
      </w:r>
      <w:r w:rsidR="00251AA1" w:rsidRPr="00BA4C8A">
        <w:rPr>
          <w:b w:val="0"/>
        </w:rPr>
        <w:t xml:space="preserve">avant tout </w:t>
      </w:r>
      <w:r w:rsidR="00BA4C8A" w:rsidRPr="00BA4C8A">
        <w:rPr>
          <w:b w:val="0"/>
        </w:rPr>
        <w:t xml:space="preserve">préféré </w:t>
      </w:r>
      <w:r w:rsidR="00185A8B" w:rsidRPr="0012239E">
        <w:rPr>
          <w:b w:val="0"/>
        </w:rPr>
        <w:t xml:space="preserve">par les industriels </w:t>
      </w:r>
      <w:r w:rsidR="00BA4C8A" w:rsidRPr="00BA4C8A">
        <w:rPr>
          <w:b w:val="0"/>
        </w:rPr>
        <w:t xml:space="preserve">pour des raisons de fabricabilité. </w:t>
      </w:r>
      <w:r w:rsidR="00251AA1">
        <w:rPr>
          <w:b w:val="0"/>
        </w:rPr>
        <w:t>En effet,</w:t>
      </w:r>
      <w:r w:rsidR="00BA4C8A" w:rsidRPr="00BA4C8A">
        <w:rPr>
          <w:b w:val="0"/>
        </w:rPr>
        <w:t xml:space="preserve"> le fichier de conception assistée par ordinateur (CAO) correspondant ne contient que 250 surfaces triangulaires par cellule, alors qu'une cellule de dodécaèdre rhombique composée </w:t>
      </w:r>
      <w:r w:rsidR="00BA4C8A">
        <w:rPr>
          <w:b w:val="0"/>
        </w:rPr>
        <w:t>de poutres</w:t>
      </w:r>
      <w:r w:rsidR="00BA4C8A" w:rsidRPr="00BA4C8A">
        <w:rPr>
          <w:b w:val="0"/>
        </w:rPr>
        <w:t xml:space="preserve"> circulaires solides occupe facilement plus de 4 500 triangles. Par conséquent, la taille du fichier CAO de la cellule Dode-Thin est considérablement réduite et le temps consacré à la préparation du fichier et à l'impression 3D est également considérablement réduit.</w:t>
      </w:r>
    </w:p>
    <w:p w:rsidR="00BA4C8A" w:rsidRDefault="00384E3F" w:rsidP="00BA4C8A">
      <w:pPr>
        <w:pStyle w:val="Titredeniveau1"/>
        <w:jc w:val="center"/>
      </w:pPr>
      <w:r>
        <w:rPr>
          <w:noProof/>
        </w:rPr>
        <w:drawing>
          <wp:inline distT="0" distB="0" distL="0" distR="0" wp14:anchorId="58A66E1E">
            <wp:extent cx="4319391" cy="243776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t="6798"/>
                    <a:stretch/>
                  </pic:blipFill>
                  <pic:spPr bwMode="auto">
                    <a:xfrm>
                      <a:off x="0" y="0"/>
                      <a:ext cx="4320000" cy="2438109"/>
                    </a:xfrm>
                    <a:prstGeom prst="rect">
                      <a:avLst/>
                    </a:prstGeom>
                    <a:noFill/>
                    <a:ln>
                      <a:noFill/>
                    </a:ln>
                    <a:extLst>
                      <a:ext uri="{53640926-AAD7-44D8-BBD7-CCE9431645EC}">
                        <a14:shadowObscured xmlns:a14="http://schemas.microsoft.com/office/drawing/2010/main"/>
                      </a:ext>
                    </a:extLst>
                  </pic:spPr>
                </pic:pic>
              </a:graphicData>
            </a:graphic>
          </wp:inline>
        </w:drawing>
      </w:r>
    </w:p>
    <w:p w:rsidR="00F03E29" w:rsidRPr="00702BFD" w:rsidRDefault="00BA4C8A" w:rsidP="00BA4C8A">
      <w:pPr>
        <w:pStyle w:val="Lgende"/>
        <w:jc w:val="center"/>
        <w:rPr>
          <w:color w:val="auto"/>
          <w:sz w:val="20"/>
        </w:rPr>
      </w:pPr>
      <w:bookmarkStart w:id="0" w:name="_Ref137732034"/>
      <w:r w:rsidRPr="00702BFD">
        <w:rPr>
          <w:color w:val="auto"/>
          <w:sz w:val="20"/>
        </w:rPr>
        <w:t xml:space="preserve">Figure </w:t>
      </w:r>
      <w:r w:rsidRPr="00702BFD">
        <w:rPr>
          <w:color w:val="auto"/>
          <w:sz w:val="20"/>
        </w:rPr>
        <w:fldChar w:fldCharType="begin"/>
      </w:r>
      <w:r w:rsidRPr="00702BFD">
        <w:rPr>
          <w:color w:val="auto"/>
          <w:sz w:val="20"/>
        </w:rPr>
        <w:instrText xml:space="preserve"> SEQ Figure \* ARABIC </w:instrText>
      </w:r>
      <w:r w:rsidRPr="00702BFD">
        <w:rPr>
          <w:color w:val="auto"/>
          <w:sz w:val="20"/>
        </w:rPr>
        <w:fldChar w:fldCharType="separate"/>
      </w:r>
      <w:r w:rsidR="006022B4">
        <w:rPr>
          <w:noProof/>
          <w:color w:val="auto"/>
          <w:sz w:val="20"/>
        </w:rPr>
        <w:t>1</w:t>
      </w:r>
      <w:r w:rsidRPr="00702BFD">
        <w:rPr>
          <w:color w:val="auto"/>
          <w:sz w:val="20"/>
        </w:rPr>
        <w:fldChar w:fldCharType="end"/>
      </w:r>
      <w:bookmarkEnd w:id="0"/>
      <w:r w:rsidRPr="00702BFD">
        <w:rPr>
          <w:color w:val="auto"/>
          <w:sz w:val="20"/>
        </w:rPr>
        <w:t xml:space="preserve"> - Structure </w:t>
      </w:r>
      <w:r w:rsidRPr="0012239E">
        <w:rPr>
          <w:color w:val="auto"/>
          <w:sz w:val="20"/>
        </w:rPr>
        <w:t>san</w:t>
      </w:r>
      <w:r w:rsidR="00B10DF7" w:rsidRPr="0012239E">
        <w:rPr>
          <w:color w:val="auto"/>
          <w:sz w:val="20"/>
        </w:rPr>
        <w:t>d</w:t>
      </w:r>
      <w:r w:rsidRPr="0012239E">
        <w:rPr>
          <w:color w:val="auto"/>
          <w:sz w:val="20"/>
        </w:rPr>
        <w:t xml:space="preserve">wich </w:t>
      </w:r>
      <w:r w:rsidRPr="00702BFD">
        <w:rPr>
          <w:color w:val="auto"/>
          <w:sz w:val="20"/>
        </w:rPr>
        <w:t>lattice étudiée</w:t>
      </w:r>
    </w:p>
    <w:p w:rsidR="00896DFB" w:rsidRDefault="00896DFB" w:rsidP="007A75C9">
      <w:pPr>
        <w:pStyle w:val="Titredeniveau1"/>
        <w:rPr>
          <w:b w:val="0"/>
        </w:rPr>
      </w:pPr>
      <w:r>
        <w:rPr>
          <w:b w:val="0"/>
        </w:rPr>
        <w:t xml:space="preserve">L’organisation </w:t>
      </w:r>
      <w:r w:rsidR="00185A8B" w:rsidRPr="0012239E">
        <w:rPr>
          <w:b w:val="0"/>
        </w:rPr>
        <w:t xml:space="preserve">de </w:t>
      </w:r>
      <w:r>
        <w:rPr>
          <w:b w:val="0"/>
        </w:rPr>
        <w:t xml:space="preserve">cet article est la suivante : la modélisation nominale et ses résultats sont rapidement présentés en Section 2.1 et comparés aux résultats expérimentaux, montrant des différences significatives.  Afin d’expliquer ces différences, une analyse par </w:t>
      </w:r>
      <w:r w:rsidRPr="0012239E">
        <w:rPr>
          <w:b w:val="0"/>
        </w:rPr>
        <w:t xml:space="preserve">microtomographie </w:t>
      </w:r>
      <w:r>
        <w:rPr>
          <w:b w:val="0"/>
        </w:rPr>
        <w:t xml:space="preserve">rayons X est résumée en Section 2.3. Elle donne lieu au calcul des propriétés de section des poutres, et ainsi à la construction d’un modèle directement à partir de la géométrie fabriquée. Les résultats sont présentés en Section 2.4. Des conclusions sont ensuite </w:t>
      </w:r>
      <w:r w:rsidR="00B10DF7" w:rsidRPr="0012239E">
        <w:rPr>
          <w:b w:val="0"/>
        </w:rPr>
        <w:t xml:space="preserve">présentées </w:t>
      </w:r>
      <w:r>
        <w:rPr>
          <w:b w:val="0"/>
        </w:rPr>
        <w:t>en Section 3.</w:t>
      </w:r>
    </w:p>
    <w:p w:rsidR="00D6328D" w:rsidRDefault="0018181D" w:rsidP="00D6328D">
      <w:pPr>
        <w:pStyle w:val="Titredeniveau1"/>
        <w:numPr>
          <w:ilvl w:val="0"/>
          <w:numId w:val="4"/>
        </w:numPr>
      </w:pPr>
      <w:r>
        <w:t>Modélisation de la structure et résultats</w:t>
      </w:r>
    </w:p>
    <w:p w:rsidR="00BC6CA9" w:rsidRDefault="00323126" w:rsidP="00BC6CA9">
      <w:pPr>
        <w:pStyle w:val="Titredeniveau1"/>
        <w:numPr>
          <w:ilvl w:val="1"/>
          <w:numId w:val="4"/>
        </w:numPr>
        <w:ind w:left="0" w:firstLine="0"/>
        <w:rPr>
          <w:sz w:val="22"/>
        </w:rPr>
      </w:pPr>
      <w:r>
        <w:rPr>
          <w:sz w:val="22"/>
        </w:rPr>
        <w:t>Comparaison entre modèle nominal et résultats expérimentaux</w:t>
      </w:r>
    </w:p>
    <w:p w:rsidR="00896DFB" w:rsidRDefault="00896DFB" w:rsidP="00896DFB">
      <w:pPr>
        <w:pStyle w:val="Titredeniveau1"/>
        <w:rPr>
          <w:b w:val="0"/>
        </w:rPr>
      </w:pPr>
      <w:r>
        <w:rPr>
          <w:b w:val="0"/>
        </w:rPr>
        <w:t xml:space="preserve">L’objectif du travail mené est de permettre une modélisation du comportement mécanique en statique et en dynamique vibratoire de la structure présentée. Dans </w:t>
      </w:r>
      <w:r w:rsidRPr="0012239E">
        <w:rPr>
          <w:b w:val="0"/>
        </w:rPr>
        <w:t>cet</w:t>
      </w:r>
      <w:r w:rsidR="00185A8B" w:rsidRPr="0012239E">
        <w:rPr>
          <w:b w:val="0"/>
        </w:rPr>
        <w:t>te</w:t>
      </w:r>
      <w:r w:rsidRPr="0012239E">
        <w:rPr>
          <w:b w:val="0"/>
        </w:rPr>
        <w:t xml:space="preserve"> </w:t>
      </w:r>
      <w:r>
        <w:rPr>
          <w:b w:val="0"/>
        </w:rPr>
        <w:t xml:space="preserve">optique, des travaux précédents [1] ont permis d’obtenir un modèle analytique des propriétés </w:t>
      </w:r>
      <w:r w:rsidR="00323126">
        <w:rPr>
          <w:b w:val="0"/>
        </w:rPr>
        <w:t>géométrique</w:t>
      </w:r>
      <w:r w:rsidR="00A61999">
        <w:rPr>
          <w:b w:val="0"/>
        </w:rPr>
        <w:t>s</w:t>
      </w:r>
      <w:r>
        <w:rPr>
          <w:b w:val="0"/>
        </w:rPr>
        <w:t xml:space="preserve"> de chaque poutre élémentaire</w:t>
      </w:r>
      <w:r w:rsidR="00323126">
        <w:rPr>
          <w:b w:val="0"/>
        </w:rPr>
        <w:t xml:space="preserve">. </w:t>
      </w:r>
      <w:r w:rsidR="000C010E">
        <w:rPr>
          <w:b w:val="0"/>
        </w:rPr>
        <w:t xml:space="preserve">Ce type de </w:t>
      </w:r>
      <w:r w:rsidR="000C010E" w:rsidRPr="0012239E">
        <w:rPr>
          <w:b w:val="0"/>
        </w:rPr>
        <w:t xml:space="preserve">modèle </w:t>
      </w:r>
      <w:r w:rsidR="000F4353" w:rsidRPr="0012239E">
        <w:rPr>
          <w:b w:val="0"/>
        </w:rPr>
        <w:t xml:space="preserve">est très intéressant </w:t>
      </w:r>
      <w:r w:rsidR="000C010E" w:rsidRPr="0012239E">
        <w:rPr>
          <w:b w:val="0"/>
        </w:rPr>
        <w:t xml:space="preserve">pour </w:t>
      </w:r>
      <w:r w:rsidR="000C010E">
        <w:rPr>
          <w:b w:val="0"/>
        </w:rPr>
        <w:t>une utilisation rapide en bureau d</w:t>
      </w:r>
      <w:r w:rsidR="000C010E" w:rsidRPr="0012239E">
        <w:rPr>
          <w:b w:val="0"/>
        </w:rPr>
        <w:t>’étude</w:t>
      </w:r>
      <w:r w:rsidR="00580038" w:rsidRPr="0012239E">
        <w:rPr>
          <w:b w:val="0"/>
        </w:rPr>
        <w:t>s</w:t>
      </w:r>
      <w:r w:rsidR="000C010E">
        <w:rPr>
          <w:b w:val="0"/>
        </w:rPr>
        <w:t xml:space="preserve"> lors des phases de dimensionnement. </w:t>
      </w:r>
      <w:r w:rsidR="00323126">
        <w:rPr>
          <w:b w:val="0"/>
        </w:rPr>
        <w:t>L</w:t>
      </w:r>
      <w:r w:rsidR="00F36BEA">
        <w:rPr>
          <w:b w:val="0"/>
        </w:rPr>
        <w:t>’aire de l</w:t>
      </w:r>
      <w:r w:rsidR="00323126">
        <w:rPr>
          <w:b w:val="0"/>
        </w:rPr>
        <w:t>a section et le</w:t>
      </w:r>
      <w:r w:rsidR="00BD5CBF">
        <w:rPr>
          <w:b w:val="0"/>
        </w:rPr>
        <w:t>s</w:t>
      </w:r>
      <w:r w:rsidR="00323126">
        <w:rPr>
          <w:b w:val="0"/>
        </w:rPr>
        <w:t xml:space="preserve"> moment</w:t>
      </w:r>
      <w:r w:rsidR="00BD5CBF">
        <w:rPr>
          <w:b w:val="0"/>
        </w:rPr>
        <w:t>s</w:t>
      </w:r>
      <w:r w:rsidR="00323126">
        <w:rPr>
          <w:b w:val="0"/>
        </w:rPr>
        <w:t xml:space="preserve"> </w:t>
      </w:r>
      <w:r w:rsidR="00580038" w:rsidRPr="0012239E">
        <w:rPr>
          <w:b w:val="0"/>
        </w:rPr>
        <w:t xml:space="preserve">quadratiques </w:t>
      </w:r>
      <w:r w:rsidR="000F4353" w:rsidRPr="0012239E">
        <w:rPr>
          <w:b w:val="0"/>
        </w:rPr>
        <w:t xml:space="preserve">par rapport à un axe passant par le </w:t>
      </w:r>
      <w:r w:rsidR="00BD5CBF" w:rsidRPr="0012239E">
        <w:rPr>
          <w:b w:val="0"/>
        </w:rPr>
        <w:t>cent</w:t>
      </w:r>
      <w:r w:rsidR="00BD5CBF">
        <w:rPr>
          <w:b w:val="0"/>
        </w:rPr>
        <w:t xml:space="preserve">re de gravité </w:t>
      </w:r>
      <w:r w:rsidR="00A61999">
        <w:rPr>
          <w:b w:val="0"/>
        </w:rPr>
        <w:t>varient</w:t>
      </w:r>
      <w:r w:rsidR="00323126">
        <w:rPr>
          <w:b w:val="0"/>
        </w:rPr>
        <w:t xml:space="preserve"> respectivement </w:t>
      </w:r>
      <w:r w:rsidR="00A61999">
        <w:rPr>
          <w:b w:val="0"/>
        </w:rPr>
        <w:t xml:space="preserve">selon </w:t>
      </w:r>
      <w:r w:rsidR="00323126">
        <w:rPr>
          <w:b w:val="0"/>
        </w:rPr>
        <w:t>les expressions suivantes :</w:t>
      </w:r>
    </w:p>
    <w:p w:rsidR="00323126" w:rsidRPr="00901347" w:rsidRDefault="00901347" w:rsidP="00323126">
      <w:pPr>
        <w:pStyle w:val="Titredeniveau1"/>
        <w:jc w:val="center"/>
        <w:rPr>
          <w:b w:val="0"/>
        </w:rPr>
      </w:pPr>
      <m:oMathPara>
        <m:oMath>
          <m:r>
            <w:rPr>
              <w:rFonts w:ascii="Cambria Math" w:hAnsi="Cambria Math"/>
            </w:rPr>
            <w:lastRenderedPageBreak/>
            <m:t>A</m:t>
          </m:r>
          <m:d>
            <m:dPr>
              <m:ctrlPr>
                <w:rPr>
                  <w:rFonts w:ascii="Cambria Math" w:hAnsi="Cambria Math"/>
                  <w:b w:val="0"/>
                  <w:i/>
                </w:rPr>
              </m:ctrlPr>
            </m:dPr>
            <m:e>
              <m:r>
                <w:rPr>
                  <w:rFonts w:ascii="Cambria Math" w:hAnsi="Cambria Math"/>
                </w:rPr>
                <m:t>λ</m:t>
              </m:r>
            </m:e>
          </m:d>
          <m:r>
            <w:rPr>
              <w:rFonts w:ascii="Cambria Math" w:hAnsi="Cambria Math"/>
            </w:rPr>
            <m:t>=</m:t>
          </m:r>
          <m:sSup>
            <m:sSupPr>
              <m:ctrlPr>
                <w:rPr>
                  <w:rFonts w:ascii="Cambria Math" w:hAnsi="Cambria Math"/>
                  <w:b w:val="0"/>
                  <w:i/>
                </w:rPr>
              </m:ctrlPr>
            </m:sSupPr>
            <m:e>
              <m:r>
                <w:rPr>
                  <w:rFonts w:ascii="Cambria Math" w:hAnsi="Cambria Math"/>
                </w:rPr>
                <m:t>a</m:t>
              </m:r>
            </m:e>
            <m:sup>
              <m:r>
                <w:rPr>
                  <w:rFonts w:ascii="Cambria Math" w:hAnsi="Cambria Math"/>
                </w:rPr>
                <m:t>2</m:t>
              </m:r>
            </m:sup>
          </m:sSup>
          <m:f>
            <m:fPr>
              <m:ctrlPr>
                <w:rPr>
                  <w:rFonts w:ascii="Cambria Math" w:hAnsi="Cambria Math"/>
                  <w:b w:val="0"/>
                  <w:i/>
                </w:rPr>
              </m:ctrlPr>
            </m:fPr>
            <m:num>
              <m:rad>
                <m:radPr>
                  <m:degHide m:val="1"/>
                  <m:ctrlPr>
                    <w:rPr>
                      <w:rFonts w:ascii="Cambria Math" w:hAnsi="Cambria Math"/>
                      <w:b w:val="0"/>
                      <w:i/>
                    </w:rPr>
                  </m:ctrlPr>
                </m:radPr>
                <m:deg/>
                <m:e>
                  <m:r>
                    <w:rPr>
                      <w:rFonts w:ascii="Cambria Math" w:hAnsi="Cambria Math"/>
                    </w:rPr>
                    <m:t>3</m:t>
                  </m:r>
                </m:e>
              </m:rad>
            </m:num>
            <m:den>
              <m:r>
                <w:rPr>
                  <w:rFonts w:ascii="Cambria Math" w:hAnsi="Cambria Math"/>
                </w:rPr>
                <m:t>4</m:t>
              </m:r>
            </m:den>
          </m:f>
          <m:d>
            <m:dPr>
              <m:ctrlPr>
                <w:rPr>
                  <w:rFonts w:ascii="Cambria Math" w:hAnsi="Cambria Math"/>
                  <w:b w:val="0"/>
                  <w:i/>
                </w:rPr>
              </m:ctrlPr>
            </m:dPr>
            <m:e>
              <m:r>
                <w:rPr>
                  <w:rFonts w:ascii="Cambria Math" w:hAnsi="Cambria Math"/>
                </w:rPr>
                <m:t>1+2λ-2</m:t>
              </m:r>
              <m:sSup>
                <m:sSupPr>
                  <m:ctrlPr>
                    <w:rPr>
                      <w:rFonts w:ascii="Cambria Math" w:hAnsi="Cambria Math"/>
                      <w:b w:val="0"/>
                      <w:i/>
                    </w:rPr>
                  </m:ctrlPr>
                </m:sSupPr>
                <m:e>
                  <m:r>
                    <w:rPr>
                      <w:rFonts w:ascii="Cambria Math" w:hAnsi="Cambria Math"/>
                    </w:rPr>
                    <m:t>λ</m:t>
                  </m:r>
                </m:e>
                <m:sup>
                  <m:r>
                    <w:rPr>
                      <w:rFonts w:ascii="Cambria Math" w:hAnsi="Cambria Math"/>
                    </w:rPr>
                    <m:t>2</m:t>
                  </m:r>
                </m:sup>
              </m:sSup>
            </m:e>
          </m:d>
        </m:oMath>
      </m:oMathPara>
    </w:p>
    <w:p w:rsidR="00323126" w:rsidRPr="00323126" w:rsidRDefault="00323126" w:rsidP="00323126">
      <w:pPr>
        <w:pStyle w:val="Titredeniveau1"/>
        <w:jc w:val="left"/>
        <w:rPr>
          <w:b w:val="0"/>
        </w:rPr>
      </w:pPr>
      <w:proofErr w:type="gramStart"/>
      <w:r>
        <w:rPr>
          <w:b w:val="0"/>
        </w:rPr>
        <w:t>et</w:t>
      </w:r>
      <w:proofErr w:type="gramEnd"/>
      <w:r>
        <w:rPr>
          <w:b w:val="0"/>
        </w:rPr>
        <w:tab/>
      </w:r>
      <w:r>
        <w:rPr>
          <w:b w:val="0"/>
        </w:rPr>
        <w:tab/>
      </w:r>
      <w:r>
        <w:rPr>
          <w:b w:val="0"/>
        </w:rPr>
        <w:tab/>
      </w:r>
      <w:r>
        <w:rPr>
          <w:b w:val="0"/>
        </w:rPr>
        <w:tab/>
      </w:r>
      <w:r>
        <w:rPr>
          <w:b w:val="0"/>
        </w:rPr>
        <w:tab/>
      </w:r>
      <m:oMath>
        <m:r>
          <w:rPr>
            <w:rFonts w:ascii="Cambria Math" w:hAnsi="Cambria Math"/>
          </w:rPr>
          <m:t>I</m:t>
        </m:r>
        <m:d>
          <m:dPr>
            <m:ctrlPr>
              <w:rPr>
                <w:rFonts w:ascii="Cambria Math" w:hAnsi="Cambria Math"/>
                <w:b w:val="0"/>
                <w:i/>
              </w:rPr>
            </m:ctrlPr>
          </m:dPr>
          <m:e>
            <m:r>
              <w:rPr>
                <w:rFonts w:ascii="Cambria Math" w:hAnsi="Cambria Math"/>
              </w:rPr>
              <m:t>λ</m:t>
            </m:r>
          </m:e>
        </m:d>
        <m:r>
          <w:rPr>
            <w:rFonts w:ascii="Cambria Math" w:hAnsi="Cambria Math"/>
          </w:rPr>
          <m:t>=</m:t>
        </m:r>
        <m:sSup>
          <m:sSupPr>
            <m:ctrlPr>
              <w:rPr>
                <w:rFonts w:ascii="Cambria Math" w:hAnsi="Cambria Math"/>
                <w:b w:val="0"/>
                <w:i/>
              </w:rPr>
            </m:ctrlPr>
          </m:sSupPr>
          <m:e>
            <m:r>
              <w:rPr>
                <w:rFonts w:ascii="Cambria Math" w:hAnsi="Cambria Math"/>
              </w:rPr>
              <m:t>a</m:t>
            </m:r>
          </m:e>
          <m:sup>
            <m:r>
              <w:rPr>
                <w:rFonts w:ascii="Cambria Math" w:hAnsi="Cambria Math"/>
              </w:rPr>
              <m:t>4</m:t>
            </m:r>
          </m:sup>
        </m:sSup>
        <m:f>
          <m:fPr>
            <m:ctrlPr>
              <w:rPr>
                <w:rFonts w:ascii="Cambria Math" w:hAnsi="Cambria Math"/>
                <w:b w:val="0"/>
                <w:i/>
              </w:rPr>
            </m:ctrlPr>
          </m:fPr>
          <m:num>
            <m:rad>
              <m:radPr>
                <m:degHide m:val="1"/>
                <m:ctrlPr>
                  <w:rPr>
                    <w:rFonts w:ascii="Cambria Math" w:hAnsi="Cambria Math"/>
                    <w:b w:val="0"/>
                    <w:i/>
                  </w:rPr>
                </m:ctrlPr>
              </m:radPr>
              <m:deg/>
              <m:e>
                <m:r>
                  <w:rPr>
                    <w:rFonts w:ascii="Cambria Math" w:hAnsi="Cambria Math"/>
                  </w:rPr>
                  <m:t>3</m:t>
                </m:r>
              </m:e>
            </m:rad>
          </m:num>
          <m:den>
            <m:r>
              <w:rPr>
                <w:rFonts w:ascii="Cambria Math" w:hAnsi="Cambria Math"/>
              </w:rPr>
              <m:t>96</m:t>
            </m:r>
          </m:den>
        </m:f>
        <m:d>
          <m:dPr>
            <m:ctrlPr>
              <w:rPr>
                <w:rFonts w:ascii="Cambria Math" w:hAnsi="Cambria Math"/>
                <w:b w:val="0"/>
                <w:i/>
              </w:rPr>
            </m:ctrlPr>
          </m:dPr>
          <m:e>
            <m:r>
              <w:rPr>
                <w:rFonts w:ascii="Cambria Math" w:hAnsi="Cambria Math"/>
              </w:rPr>
              <m:t>1+4λ-6</m:t>
            </m:r>
            <m:sSup>
              <m:sSupPr>
                <m:ctrlPr>
                  <w:rPr>
                    <w:rFonts w:ascii="Cambria Math" w:hAnsi="Cambria Math"/>
                    <w:b w:val="0"/>
                    <w:i/>
                  </w:rPr>
                </m:ctrlPr>
              </m:sSupPr>
              <m:e>
                <m:r>
                  <w:rPr>
                    <w:rFonts w:ascii="Cambria Math" w:hAnsi="Cambria Math"/>
                  </w:rPr>
                  <m:t>λ</m:t>
                </m:r>
              </m:e>
              <m:sup>
                <m:r>
                  <w:rPr>
                    <w:rFonts w:ascii="Cambria Math" w:hAnsi="Cambria Math"/>
                  </w:rPr>
                  <m:t>2</m:t>
                </m:r>
              </m:sup>
            </m:sSup>
            <m:r>
              <w:rPr>
                <w:rFonts w:ascii="Cambria Math" w:hAnsi="Cambria Math"/>
              </w:rPr>
              <m:t>+4</m:t>
            </m:r>
            <m:sSup>
              <m:sSupPr>
                <m:ctrlPr>
                  <w:rPr>
                    <w:rFonts w:ascii="Cambria Math" w:hAnsi="Cambria Math"/>
                    <w:b w:val="0"/>
                    <w:i/>
                  </w:rPr>
                </m:ctrlPr>
              </m:sSupPr>
              <m:e>
                <m:r>
                  <w:rPr>
                    <w:rFonts w:ascii="Cambria Math" w:hAnsi="Cambria Math"/>
                  </w:rPr>
                  <m:t>λ</m:t>
                </m:r>
              </m:e>
              <m:sup>
                <m:r>
                  <w:rPr>
                    <w:rFonts w:ascii="Cambria Math" w:hAnsi="Cambria Math"/>
                  </w:rPr>
                  <m:t>3</m:t>
                </m:r>
              </m:sup>
            </m:sSup>
            <m:r>
              <w:rPr>
                <w:rFonts w:ascii="Cambria Math" w:hAnsi="Cambria Math"/>
              </w:rPr>
              <m:t>-2</m:t>
            </m:r>
            <m:sSup>
              <m:sSupPr>
                <m:ctrlPr>
                  <w:rPr>
                    <w:rFonts w:ascii="Cambria Math" w:hAnsi="Cambria Math"/>
                    <w:b w:val="0"/>
                    <w:i/>
                  </w:rPr>
                </m:ctrlPr>
              </m:sSupPr>
              <m:e>
                <m:r>
                  <w:rPr>
                    <w:rFonts w:ascii="Cambria Math" w:hAnsi="Cambria Math"/>
                  </w:rPr>
                  <m:t>λ</m:t>
                </m:r>
              </m:e>
              <m:sup>
                <m:r>
                  <w:rPr>
                    <w:rFonts w:ascii="Cambria Math" w:hAnsi="Cambria Math"/>
                  </w:rPr>
                  <m:t>4</m:t>
                </m:r>
              </m:sup>
            </m:sSup>
          </m:e>
        </m:d>
      </m:oMath>
    </w:p>
    <w:p w:rsidR="00323126" w:rsidRDefault="00323126" w:rsidP="00896DFB">
      <w:pPr>
        <w:pStyle w:val="Titredeniveau1"/>
        <w:rPr>
          <w:b w:val="0"/>
        </w:rPr>
      </w:pPr>
      <w:proofErr w:type="gramStart"/>
      <w:r>
        <w:rPr>
          <w:b w:val="0"/>
        </w:rPr>
        <w:t>où</w:t>
      </w:r>
      <w:proofErr w:type="gramEnd"/>
      <w:r>
        <w:rPr>
          <w:b w:val="0"/>
        </w:rPr>
        <w:t xml:space="preserve"> </w:t>
      </w:r>
      <m:oMath>
        <m:r>
          <w:rPr>
            <w:rFonts w:ascii="Cambria Math" w:hAnsi="Cambria Math"/>
          </w:rPr>
          <m:t>λ=</m:t>
        </m:r>
        <m:f>
          <m:fPr>
            <m:ctrlPr>
              <w:rPr>
                <w:rFonts w:ascii="Cambria Math" w:hAnsi="Cambria Math"/>
                <w:b w:val="0"/>
                <w:i/>
              </w:rPr>
            </m:ctrlPr>
          </m:fPr>
          <m:num>
            <m:r>
              <w:rPr>
                <w:rFonts w:ascii="Cambria Math" w:hAnsi="Cambria Math"/>
              </w:rPr>
              <m:t>x</m:t>
            </m:r>
          </m:num>
          <m:den>
            <m:r>
              <w:rPr>
                <w:rFonts w:ascii="Cambria Math" w:hAnsi="Cambria Math"/>
              </w:rPr>
              <m:t>L</m:t>
            </m:r>
          </m:den>
        </m:f>
      </m:oMath>
      <w:r>
        <w:rPr>
          <w:b w:val="0"/>
        </w:rPr>
        <w:t xml:space="preserve">  désigne l’abscisse relative le long de la poutre</w:t>
      </w:r>
      <w:r w:rsidR="003C5FE3">
        <w:rPr>
          <w:b w:val="0"/>
        </w:rPr>
        <w:t xml:space="preserve">, et </w:t>
      </w:r>
      <m:oMath>
        <m:r>
          <w:rPr>
            <w:rFonts w:ascii="Cambria Math" w:hAnsi="Cambria Math"/>
          </w:rPr>
          <m:t>a</m:t>
        </m:r>
      </m:oMath>
      <w:r w:rsidR="003C5FE3">
        <w:rPr>
          <w:b w:val="0"/>
        </w:rPr>
        <w:t xml:space="preserve"> la longueur </w:t>
      </w:r>
      <w:r w:rsidR="008F2188" w:rsidRPr="0012239E">
        <w:rPr>
          <w:b w:val="0"/>
        </w:rPr>
        <w:t>du</w:t>
      </w:r>
      <w:r w:rsidR="003C5FE3" w:rsidRPr="0012239E">
        <w:rPr>
          <w:b w:val="0"/>
        </w:rPr>
        <w:t xml:space="preserve"> </w:t>
      </w:r>
      <w:r w:rsidR="003C5FE3">
        <w:rPr>
          <w:b w:val="0"/>
        </w:rPr>
        <w:t xml:space="preserve">côté du triangle </w:t>
      </w:r>
      <w:r w:rsidR="008F2188" w:rsidRPr="0012239E">
        <w:rPr>
          <w:b w:val="0"/>
        </w:rPr>
        <w:t xml:space="preserve">équilatéral </w:t>
      </w:r>
      <w:r w:rsidR="003C5FE3">
        <w:rPr>
          <w:b w:val="0"/>
        </w:rPr>
        <w:t>de base de l’</w:t>
      </w:r>
      <w:proofErr w:type="spellStart"/>
      <w:r w:rsidR="003C5FE3">
        <w:rPr>
          <w:b w:val="0"/>
        </w:rPr>
        <w:t>antiprisme</w:t>
      </w:r>
      <w:proofErr w:type="spellEnd"/>
      <w:r>
        <w:rPr>
          <w:b w:val="0"/>
        </w:rPr>
        <w:t>.</w:t>
      </w:r>
      <w:r w:rsidR="00C128EE">
        <w:rPr>
          <w:b w:val="0"/>
        </w:rPr>
        <w:t xml:space="preserve"> </w:t>
      </w:r>
      <w:r w:rsidR="00BD5CBF">
        <w:rPr>
          <w:b w:val="0"/>
        </w:rPr>
        <w:t>Une propriété particulière de la section</w:t>
      </w:r>
      <w:r w:rsidR="00F36BEA">
        <w:rPr>
          <w:b w:val="0"/>
        </w:rPr>
        <w:t xml:space="preserve"> </w:t>
      </w:r>
      <w:r w:rsidR="00BD5CBF">
        <w:rPr>
          <w:b w:val="0"/>
        </w:rPr>
        <w:t>est que</w:t>
      </w:r>
      <w:r w:rsidR="00F36BEA">
        <w:rPr>
          <w:b w:val="0"/>
        </w:rPr>
        <w:t xml:space="preserve">, quelle que soit l’abscisse </w:t>
      </w:r>
      <m:oMath>
        <m:r>
          <w:rPr>
            <w:rFonts w:ascii="Cambria Math" w:hAnsi="Cambria Math"/>
          </w:rPr>
          <m:t>λ</m:t>
        </m:r>
      </m:oMath>
      <w:r w:rsidR="00F36BEA" w:rsidRPr="00901347">
        <w:rPr>
          <w:b w:val="0"/>
        </w:rPr>
        <w:t>,</w:t>
      </w:r>
      <w:r w:rsidR="00F36BEA">
        <w:rPr>
          <w:b w:val="0"/>
        </w:rPr>
        <w:t xml:space="preserve"> </w:t>
      </w:r>
      <w:r w:rsidR="00BD5CBF">
        <w:rPr>
          <w:b w:val="0"/>
        </w:rPr>
        <w:t xml:space="preserve"> tout axe passant par le centre de section est axe principal. Par conséquent, les </w:t>
      </w:r>
      <w:r w:rsidR="008F2188" w:rsidRPr="0012239E">
        <w:rPr>
          <w:b w:val="0"/>
        </w:rPr>
        <w:t xml:space="preserve">moments </w:t>
      </w:r>
      <w:r w:rsidR="00BD5CBF">
        <w:rPr>
          <w:b w:val="0"/>
        </w:rPr>
        <w:t xml:space="preserve">produits sont tous nuls. </w:t>
      </w:r>
      <w:r w:rsidR="00C128EE">
        <w:rPr>
          <w:b w:val="0"/>
        </w:rPr>
        <w:t xml:space="preserve">Ces résultats </w:t>
      </w:r>
      <w:r w:rsidR="000A6705" w:rsidRPr="0012239E">
        <w:rPr>
          <w:b w:val="0"/>
        </w:rPr>
        <w:t>se justifient en raison des symétries matérielles des sections.</w:t>
      </w:r>
    </w:p>
    <w:p w:rsidR="00702BFD" w:rsidRDefault="009B21E4" w:rsidP="00896DFB">
      <w:pPr>
        <w:pStyle w:val="Titredeniveau1"/>
        <w:rPr>
          <w:b w:val="0"/>
        </w:rPr>
      </w:pPr>
      <w:r w:rsidRPr="0012239E">
        <w:rPr>
          <w:b w:val="0"/>
        </w:rPr>
        <w:t>U</w:t>
      </w:r>
      <w:r w:rsidR="00702BFD">
        <w:rPr>
          <w:b w:val="0"/>
        </w:rPr>
        <w:t xml:space="preserve">n modèle éléments finis </w:t>
      </w:r>
      <w:r w:rsidR="00AB54AC">
        <w:rPr>
          <w:b w:val="0"/>
        </w:rPr>
        <w:t xml:space="preserve">de la structure complète </w:t>
      </w:r>
      <w:r w:rsidR="00702BFD">
        <w:rPr>
          <w:b w:val="0"/>
        </w:rPr>
        <w:t xml:space="preserve">est construit dans </w:t>
      </w:r>
      <w:r w:rsidR="00702BFD" w:rsidRPr="00702BFD">
        <w:rPr>
          <w:b w:val="0"/>
        </w:rPr>
        <w:t>Msc.Nastran v2019</w:t>
      </w:r>
      <w:r w:rsidR="00702BFD">
        <w:rPr>
          <w:b w:val="0"/>
        </w:rPr>
        <w:t xml:space="preserve">, avec les propriétés matériaux du TA6V nominales : </w:t>
      </w:r>
      <w:r w:rsidR="00702BFD" w:rsidRPr="00702BFD">
        <w:rPr>
          <w:b w:val="0"/>
        </w:rPr>
        <w:t>E</w:t>
      </w:r>
      <w:r w:rsidR="00702BFD" w:rsidRPr="00702BFD">
        <w:rPr>
          <w:b w:val="0"/>
          <w:vertAlign w:val="subscript"/>
        </w:rPr>
        <w:t>s</w:t>
      </w:r>
      <w:r w:rsidR="00702BFD" w:rsidRPr="00702BFD">
        <w:rPr>
          <w:b w:val="0"/>
        </w:rPr>
        <w:t xml:space="preserve"> = 110 GPa, </w:t>
      </w:r>
      <w:r w:rsidR="00702BFD" w:rsidRPr="00702BFD">
        <w:rPr>
          <w:b w:val="0"/>
          <w:i/>
          <w:iCs/>
          <w:lang w:val="el-GR"/>
        </w:rPr>
        <w:t>ν</w:t>
      </w:r>
      <w:r w:rsidR="00702BFD" w:rsidRPr="00702BFD">
        <w:rPr>
          <w:b w:val="0"/>
          <w:vertAlign w:val="subscript"/>
        </w:rPr>
        <w:t>s</w:t>
      </w:r>
      <w:r w:rsidR="00702BFD" w:rsidRPr="00702BFD">
        <w:rPr>
          <w:b w:val="0"/>
        </w:rPr>
        <w:t xml:space="preserve"> = 0.4 and </w:t>
      </w:r>
      <w:r w:rsidR="00702BFD" w:rsidRPr="00702BFD">
        <w:rPr>
          <w:b w:val="0"/>
          <w:i/>
          <w:iCs/>
          <w:lang w:val="el-GR"/>
        </w:rPr>
        <w:t>ρ</w:t>
      </w:r>
      <w:r w:rsidR="00702BFD" w:rsidRPr="00702BFD">
        <w:rPr>
          <w:b w:val="0"/>
          <w:vertAlign w:val="subscript"/>
        </w:rPr>
        <w:t>s</w:t>
      </w:r>
      <w:r w:rsidR="00702BFD" w:rsidRPr="00702BFD">
        <w:rPr>
          <w:b w:val="0"/>
        </w:rPr>
        <w:t xml:space="preserve"> = 4400 kg/m</w:t>
      </w:r>
      <w:r w:rsidR="00702BFD" w:rsidRPr="00702BFD">
        <w:rPr>
          <w:b w:val="0"/>
          <w:vertAlign w:val="superscript"/>
        </w:rPr>
        <w:t>3</w:t>
      </w:r>
      <w:r w:rsidR="00702BFD" w:rsidRPr="0012239E">
        <w:rPr>
          <w:b w:val="0"/>
        </w:rPr>
        <w:t xml:space="preserve">. </w:t>
      </w:r>
      <w:r w:rsidRPr="0012239E">
        <w:rPr>
          <w:b w:val="0"/>
        </w:rPr>
        <w:t xml:space="preserve">Les poutres du réseau lattice sont modélisées par des éléments 1D </w:t>
      </w:r>
      <w:r w:rsidR="00DE1B0B" w:rsidRPr="0012239E">
        <w:rPr>
          <w:b w:val="0"/>
        </w:rPr>
        <w:t xml:space="preserve">(CBAR) </w:t>
      </w:r>
      <w:r w:rsidRPr="0012239E">
        <w:rPr>
          <w:b w:val="0"/>
        </w:rPr>
        <w:t xml:space="preserve">de section circulaire pleine dont le diamètre est déterminé à partir de l’expression précédente du moment quadratique (diamètre équivalent). Les peaux sont modélisées par des éléments </w:t>
      </w:r>
      <w:r w:rsidR="00DE1B0B" w:rsidRPr="0012239E">
        <w:rPr>
          <w:b w:val="0"/>
        </w:rPr>
        <w:t>2D (CQUAD4).</w:t>
      </w:r>
      <w:r w:rsidRPr="0012239E">
        <w:rPr>
          <w:b w:val="0"/>
        </w:rPr>
        <w:t xml:space="preserve"> </w:t>
      </w:r>
      <w:r w:rsidR="00702BFD">
        <w:rPr>
          <w:b w:val="0"/>
        </w:rPr>
        <w:t xml:space="preserve">Les calculs sont </w:t>
      </w:r>
      <w:r w:rsidR="00DE1B0B" w:rsidRPr="0012239E">
        <w:rPr>
          <w:b w:val="0"/>
        </w:rPr>
        <w:t>réalisés dans le domaine</w:t>
      </w:r>
      <w:r w:rsidR="00702BFD" w:rsidRPr="0012239E">
        <w:rPr>
          <w:b w:val="0"/>
        </w:rPr>
        <w:t xml:space="preserve"> </w:t>
      </w:r>
      <w:r w:rsidR="00DE1B0B" w:rsidRPr="0012239E">
        <w:rPr>
          <w:b w:val="0"/>
        </w:rPr>
        <w:t xml:space="preserve">linéaire en </w:t>
      </w:r>
      <w:r w:rsidR="00702BFD" w:rsidRPr="0012239E">
        <w:rPr>
          <w:b w:val="0"/>
        </w:rPr>
        <w:t>st</w:t>
      </w:r>
      <w:r w:rsidR="00702BFD">
        <w:rPr>
          <w:b w:val="0"/>
        </w:rPr>
        <w:t xml:space="preserve">atique </w:t>
      </w:r>
      <w:r w:rsidR="00D34ABE">
        <w:rPr>
          <w:b w:val="0"/>
        </w:rPr>
        <w:t>(structure encastrée-libre)</w:t>
      </w:r>
      <w:r w:rsidR="00702BFD">
        <w:rPr>
          <w:b w:val="0"/>
        </w:rPr>
        <w:t xml:space="preserve"> </w:t>
      </w:r>
      <w:r w:rsidR="00702BFD" w:rsidRPr="0012239E">
        <w:rPr>
          <w:b w:val="0"/>
        </w:rPr>
        <w:t xml:space="preserve">et en </w:t>
      </w:r>
      <w:r w:rsidR="00DE1B0B" w:rsidRPr="0012239E">
        <w:rPr>
          <w:b w:val="0"/>
        </w:rPr>
        <w:t>dynamique (analyse</w:t>
      </w:r>
      <w:r w:rsidR="00702BFD" w:rsidRPr="0012239E">
        <w:rPr>
          <w:b w:val="0"/>
        </w:rPr>
        <w:t xml:space="preserve"> modal</w:t>
      </w:r>
      <w:r w:rsidR="00DE1B0B" w:rsidRPr="0012239E">
        <w:rPr>
          <w:b w:val="0"/>
        </w:rPr>
        <w:t xml:space="preserve">e et </w:t>
      </w:r>
      <w:r w:rsidR="00106722" w:rsidRPr="0012239E">
        <w:rPr>
          <w:b w:val="0"/>
        </w:rPr>
        <w:t>sinus balayé)</w:t>
      </w:r>
      <w:r w:rsidR="00702BFD" w:rsidRPr="0012239E">
        <w:rPr>
          <w:b w:val="0"/>
        </w:rPr>
        <w:t>. Les résu</w:t>
      </w:r>
      <w:r w:rsidR="00702BFD">
        <w:rPr>
          <w:b w:val="0"/>
        </w:rPr>
        <w:t xml:space="preserve">ltats sont présentés </w:t>
      </w:r>
      <w:r w:rsidR="00E550C5">
        <w:rPr>
          <w:b w:val="0"/>
        </w:rPr>
        <w:t xml:space="preserve">dans les Tableaux 1, 2, 3 </w:t>
      </w:r>
      <w:r w:rsidR="00702BFD">
        <w:rPr>
          <w:b w:val="0"/>
        </w:rPr>
        <w:t>ci-dessous</w:t>
      </w:r>
      <w:r w:rsidR="00FC5E35">
        <w:rPr>
          <w:b w:val="0"/>
        </w:rPr>
        <w:t xml:space="preserve"> pour une structure dont </w:t>
      </w:r>
      <w:r w:rsidR="00FC5E35" w:rsidRPr="0012239E">
        <w:rPr>
          <w:b w:val="0"/>
        </w:rPr>
        <w:t xml:space="preserve">la </w:t>
      </w:r>
      <w:r w:rsidR="000A6705" w:rsidRPr="0012239E">
        <w:rPr>
          <w:b w:val="0"/>
        </w:rPr>
        <w:t xml:space="preserve">dimension de la </w:t>
      </w:r>
      <w:r w:rsidR="00FC5E35" w:rsidRPr="0012239E">
        <w:rPr>
          <w:b w:val="0"/>
        </w:rPr>
        <w:t xml:space="preserve">cellule </w:t>
      </w:r>
      <w:r w:rsidR="00FC5E35">
        <w:rPr>
          <w:b w:val="0"/>
        </w:rPr>
        <w:t xml:space="preserve">unitaire est de 20 </w:t>
      </w:r>
      <w:proofErr w:type="spellStart"/>
      <w:r w:rsidR="00FC5E35">
        <w:rPr>
          <w:b w:val="0"/>
        </w:rPr>
        <w:t>m</w:t>
      </w:r>
      <w:r w:rsidR="0012239E">
        <w:rPr>
          <w:b w:val="0"/>
        </w:rPr>
        <w:t>m.</w:t>
      </w:r>
      <w:proofErr w:type="spellEnd"/>
      <w:r w:rsidR="0012239E">
        <w:rPr>
          <w:b w:val="0"/>
        </w:rPr>
        <w:t xml:space="preserve"> </w:t>
      </w:r>
      <w:r w:rsidR="00E550C5">
        <w:rPr>
          <w:b w:val="0"/>
        </w:rPr>
        <w:t xml:space="preserve">La masse calculée avec la géométrie nominale surestime la structure réelle, ce qui tendrait à diminuer les fréquences propres du modèle calculé. </w:t>
      </w:r>
      <w:r w:rsidR="001A62F1">
        <w:rPr>
          <w:b w:val="0"/>
        </w:rPr>
        <w:t>D’</w:t>
      </w:r>
      <w:r w:rsidR="001A62F1" w:rsidRPr="0012239E">
        <w:rPr>
          <w:b w:val="0"/>
        </w:rPr>
        <w:t>u</w:t>
      </w:r>
      <w:r w:rsidR="00DE1B0B" w:rsidRPr="0012239E">
        <w:rPr>
          <w:b w:val="0"/>
        </w:rPr>
        <w:t>n</w:t>
      </w:r>
      <w:r w:rsidR="00DE1B0B">
        <w:rPr>
          <w:b w:val="0"/>
          <w:color w:val="FF0000"/>
        </w:rPr>
        <w:t xml:space="preserve"> </w:t>
      </w:r>
      <w:r w:rsidR="001A62F1">
        <w:rPr>
          <w:b w:val="0"/>
        </w:rPr>
        <w:t xml:space="preserve">autre </w:t>
      </w:r>
      <w:r w:rsidR="00901347">
        <w:rPr>
          <w:b w:val="0"/>
        </w:rPr>
        <w:t>côté</w:t>
      </w:r>
      <w:r w:rsidR="001A62F1">
        <w:rPr>
          <w:b w:val="0"/>
        </w:rPr>
        <w:t>,</w:t>
      </w:r>
      <w:r w:rsidR="009A6814">
        <w:rPr>
          <w:b w:val="0"/>
        </w:rPr>
        <w:t xml:space="preserve"> la raideur globale de la poutre est également grandement surestimée, ce qui tendrait à augmenter les fréquences propres du modèle. In fine, les fréquences propres calculées sont supérieures de plus de 10% à celles mesurées.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701"/>
        <w:gridCol w:w="1984"/>
        <w:gridCol w:w="992"/>
      </w:tblGrid>
      <w:tr w:rsidR="00B6150D" w:rsidRPr="008C11B0" w:rsidTr="00B6150D">
        <w:trPr>
          <w:jc w:val="center"/>
        </w:trPr>
        <w:tc>
          <w:tcPr>
            <w:tcW w:w="1555" w:type="dxa"/>
          </w:tcPr>
          <w:p w:rsidR="00B6150D" w:rsidRPr="00702BFD" w:rsidRDefault="00B6150D" w:rsidP="00B6150D">
            <w:pPr>
              <w:pStyle w:val="Resume"/>
              <w:jc w:val="center"/>
              <w:rPr>
                <w:rFonts w:ascii="Times New Roman" w:hAnsi="Times New Roman"/>
                <w:szCs w:val="18"/>
              </w:rPr>
            </w:pPr>
            <w:r w:rsidRPr="00702BFD">
              <w:rPr>
                <w:rFonts w:ascii="Times New Roman" w:hAnsi="Times New Roman"/>
                <w:szCs w:val="18"/>
              </w:rPr>
              <w:t>Cellule unitaire</w:t>
            </w:r>
            <w:r w:rsidRPr="00702BFD">
              <w:rPr>
                <w:rFonts w:ascii="Times New Roman" w:hAnsi="Times New Roman"/>
                <w:szCs w:val="18"/>
              </w:rPr>
              <w:br/>
              <w:t>[mm]</w:t>
            </w:r>
          </w:p>
        </w:tc>
        <w:tc>
          <w:tcPr>
            <w:tcW w:w="1701" w:type="dxa"/>
          </w:tcPr>
          <w:p w:rsidR="00B6150D" w:rsidRPr="00702BFD" w:rsidRDefault="00B6150D" w:rsidP="00B6150D">
            <w:pPr>
              <w:pStyle w:val="Resume"/>
              <w:jc w:val="center"/>
              <w:rPr>
                <w:rFonts w:ascii="Times New Roman" w:hAnsi="Times New Roman"/>
                <w:szCs w:val="18"/>
              </w:rPr>
            </w:pPr>
            <w:r>
              <w:rPr>
                <w:rFonts w:ascii="Times New Roman" w:hAnsi="Times New Roman"/>
                <w:szCs w:val="18"/>
              </w:rPr>
              <w:t>Masse mesurée [g]</w:t>
            </w:r>
          </w:p>
        </w:tc>
        <w:tc>
          <w:tcPr>
            <w:tcW w:w="1984" w:type="dxa"/>
          </w:tcPr>
          <w:p w:rsidR="00B6150D" w:rsidRPr="00702BFD" w:rsidRDefault="00B6150D" w:rsidP="00B6150D">
            <w:pPr>
              <w:pStyle w:val="Resume"/>
              <w:jc w:val="center"/>
              <w:rPr>
                <w:rFonts w:ascii="Times New Roman" w:hAnsi="Times New Roman"/>
                <w:szCs w:val="18"/>
              </w:rPr>
            </w:pPr>
            <w:r>
              <w:rPr>
                <w:rFonts w:ascii="Times New Roman" w:hAnsi="Times New Roman"/>
                <w:szCs w:val="18"/>
              </w:rPr>
              <w:t>Masse du modèle nominal [g]</w:t>
            </w:r>
          </w:p>
        </w:tc>
        <w:tc>
          <w:tcPr>
            <w:tcW w:w="992" w:type="dxa"/>
            <w:vAlign w:val="center"/>
          </w:tcPr>
          <w:p w:rsidR="00B6150D" w:rsidRPr="00330883" w:rsidRDefault="00B6150D" w:rsidP="00B6150D">
            <w:pPr>
              <w:pStyle w:val="Resume"/>
              <w:jc w:val="center"/>
              <w:rPr>
                <w:rFonts w:ascii="Times New Roman" w:hAnsi="Times New Roman"/>
                <w:i/>
                <w:sz w:val="18"/>
                <w:szCs w:val="18"/>
              </w:rPr>
            </w:pPr>
            <w:r w:rsidRPr="00330883">
              <w:rPr>
                <w:rFonts w:ascii="Times New Roman" w:hAnsi="Times New Roman"/>
                <w:i/>
                <w:sz w:val="18"/>
                <w:szCs w:val="18"/>
              </w:rPr>
              <w:t>Ecart relatif</w:t>
            </w:r>
          </w:p>
        </w:tc>
      </w:tr>
      <w:tr w:rsidR="00B6150D" w:rsidRPr="008C11B0" w:rsidTr="00B6150D">
        <w:trPr>
          <w:jc w:val="center"/>
        </w:trPr>
        <w:tc>
          <w:tcPr>
            <w:tcW w:w="1555" w:type="dxa"/>
          </w:tcPr>
          <w:p w:rsidR="00B6150D" w:rsidRPr="008C11B0" w:rsidRDefault="00B6150D" w:rsidP="00B6150D">
            <w:pPr>
              <w:pStyle w:val="Resume"/>
              <w:jc w:val="center"/>
              <w:rPr>
                <w:rFonts w:ascii="Times New Roman" w:hAnsi="Times New Roman"/>
                <w:szCs w:val="18"/>
              </w:rPr>
            </w:pPr>
            <w:r>
              <w:rPr>
                <w:rFonts w:ascii="Times New Roman" w:hAnsi="Times New Roman"/>
                <w:szCs w:val="18"/>
              </w:rPr>
              <w:t>20</w:t>
            </w:r>
          </w:p>
        </w:tc>
        <w:tc>
          <w:tcPr>
            <w:tcW w:w="1701" w:type="dxa"/>
          </w:tcPr>
          <w:p w:rsidR="00B6150D" w:rsidRPr="008C11B0" w:rsidRDefault="00B6150D" w:rsidP="00B6150D">
            <w:pPr>
              <w:pStyle w:val="Resume"/>
              <w:jc w:val="center"/>
              <w:rPr>
                <w:rFonts w:ascii="Times New Roman" w:hAnsi="Times New Roman"/>
                <w:szCs w:val="18"/>
              </w:rPr>
            </w:pPr>
            <w:r>
              <w:rPr>
                <w:rFonts w:ascii="Times New Roman" w:hAnsi="Times New Roman"/>
                <w:szCs w:val="18"/>
              </w:rPr>
              <w:t>58.30</w:t>
            </w:r>
          </w:p>
        </w:tc>
        <w:tc>
          <w:tcPr>
            <w:tcW w:w="1984" w:type="dxa"/>
          </w:tcPr>
          <w:p w:rsidR="00B6150D" w:rsidRPr="008C11B0" w:rsidRDefault="00B6150D" w:rsidP="00B6150D">
            <w:pPr>
              <w:pStyle w:val="Resume"/>
              <w:jc w:val="center"/>
              <w:rPr>
                <w:rFonts w:ascii="Times New Roman" w:hAnsi="Times New Roman"/>
                <w:szCs w:val="18"/>
              </w:rPr>
            </w:pPr>
            <w:r>
              <w:rPr>
                <w:rFonts w:ascii="Times New Roman" w:hAnsi="Times New Roman"/>
                <w:szCs w:val="18"/>
              </w:rPr>
              <w:t>67.19</w:t>
            </w:r>
          </w:p>
        </w:tc>
        <w:tc>
          <w:tcPr>
            <w:tcW w:w="992" w:type="dxa"/>
          </w:tcPr>
          <w:p w:rsidR="00B6150D" w:rsidRPr="00330883" w:rsidRDefault="00B6150D" w:rsidP="00B6150D">
            <w:pPr>
              <w:pStyle w:val="Resume"/>
              <w:keepNext/>
              <w:jc w:val="center"/>
              <w:rPr>
                <w:rFonts w:ascii="Times New Roman" w:hAnsi="Times New Roman"/>
                <w:i/>
                <w:sz w:val="18"/>
                <w:szCs w:val="18"/>
              </w:rPr>
            </w:pPr>
            <w:r w:rsidRPr="00330883">
              <w:rPr>
                <w:rFonts w:ascii="Times New Roman" w:hAnsi="Times New Roman"/>
                <w:i/>
                <w:sz w:val="18"/>
                <w:szCs w:val="18"/>
              </w:rPr>
              <w:t>+15.2%</w:t>
            </w:r>
          </w:p>
        </w:tc>
      </w:tr>
    </w:tbl>
    <w:p w:rsidR="00702BFD" w:rsidRPr="00702BFD" w:rsidRDefault="00702BFD" w:rsidP="00702BFD">
      <w:pPr>
        <w:pStyle w:val="Lgende"/>
        <w:jc w:val="center"/>
        <w:rPr>
          <w:b/>
          <w:color w:val="auto"/>
          <w:sz w:val="28"/>
        </w:rPr>
      </w:pPr>
      <w:r w:rsidRPr="00702BFD">
        <w:rPr>
          <w:color w:val="auto"/>
          <w:sz w:val="16"/>
        </w:rPr>
        <w:br/>
      </w:r>
      <w:r w:rsidRPr="00702BFD">
        <w:rPr>
          <w:color w:val="auto"/>
          <w:sz w:val="20"/>
        </w:rPr>
        <w:t xml:space="preserve">Tableau </w:t>
      </w:r>
      <w:r w:rsidRPr="00702BFD">
        <w:rPr>
          <w:color w:val="auto"/>
          <w:sz w:val="20"/>
        </w:rPr>
        <w:fldChar w:fldCharType="begin"/>
      </w:r>
      <w:r w:rsidRPr="00702BFD">
        <w:rPr>
          <w:color w:val="auto"/>
          <w:sz w:val="20"/>
        </w:rPr>
        <w:instrText xml:space="preserve"> SEQ Tableau \* ARABIC </w:instrText>
      </w:r>
      <w:r w:rsidRPr="00702BFD">
        <w:rPr>
          <w:color w:val="auto"/>
          <w:sz w:val="20"/>
        </w:rPr>
        <w:fldChar w:fldCharType="separate"/>
      </w:r>
      <w:r w:rsidR="00A11434">
        <w:rPr>
          <w:noProof/>
          <w:color w:val="auto"/>
          <w:sz w:val="20"/>
        </w:rPr>
        <w:t>1</w:t>
      </w:r>
      <w:r w:rsidRPr="00702BFD">
        <w:rPr>
          <w:color w:val="auto"/>
          <w:sz w:val="20"/>
        </w:rPr>
        <w:fldChar w:fldCharType="end"/>
      </w:r>
      <w:r w:rsidRPr="00702BFD">
        <w:rPr>
          <w:color w:val="auto"/>
          <w:sz w:val="20"/>
        </w:rPr>
        <w:t xml:space="preserve"> - Comparaison des masses</w:t>
      </w:r>
      <w:r w:rsidR="002E5037">
        <w:rPr>
          <w:color w:val="auto"/>
          <w:sz w:val="20"/>
        </w:rPr>
        <w:t xml:space="preserve"> nominales et expérimentales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2029"/>
        <w:gridCol w:w="2029"/>
        <w:gridCol w:w="903"/>
      </w:tblGrid>
      <w:tr w:rsidR="00B6150D" w:rsidRPr="008C11B0" w:rsidTr="00330883">
        <w:trPr>
          <w:jc w:val="center"/>
        </w:trPr>
        <w:tc>
          <w:tcPr>
            <w:tcW w:w="1555" w:type="dxa"/>
          </w:tcPr>
          <w:p w:rsidR="00B6150D" w:rsidRPr="00702BFD" w:rsidRDefault="00B6150D" w:rsidP="00B6150D">
            <w:pPr>
              <w:pStyle w:val="Resume"/>
              <w:jc w:val="center"/>
              <w:rPr>
                <w:rFonts w:ascii="Times New Roman" w:hAnsi="Times New Roman"/>
                <w:szCs w:val="18"/>
              </w:rPr>
            </w:pPr>
            <w:r w:rsidRPr="00702BFD">
              <w:rPr>
                <w:rFonts w:ascii="Times New Roman" w:hAnsi="Times New Roman"/>
                <w:szCs w:val="18"/>
              </w:rPr>
              <w:t>Cellule unitaire</w:t>
            </w:r>
            <w:r w:rsidRPr="00702BFD">
              <w:rPr>
                <w:rFonts w:ascii="Times New Roman" w:hAnsi="Times New Roman"/>
                <w:szCs w:val="18"/>
              </w:rPr>
              <w:br/>
              <w:t>[mm]</w:t>
            </w:r>
          </w:p>
        </w:tc>
        <w:tc>
          <w:tcPr>
            <w:tcW w:w="2029" w:type="dxa"/>
          </w:tcPr>
          <w:p w:rsidR="00B6150D" w:rsidRPr="00702BFD" w:rsidRDefault="00B6150D" w:rsidP="00B6150D">
            <w:pPr>
              <w:pStyle w:val="Resume"/>
              <w:jc w:val="center"/>
              <w:rPr>
                <w:rFonts w:ascii="Times New Roman" w:hAnsi="Times New Roman"/>
                <w:szCs w:val="18"/>
              </w:rPr>
            </w:pPr>
            <w:r>
              <w:rPr>
                <w:rFonts w:ascii="Times New Roman" w:hAnsi="Times New Roman"/>
                <w:szCs w:val="18"/>
              </w:rPr>
              <w:t>Raideur mesurée [N/mm]</w:t>
            </w:r>
          </w:p>
        </w:tc>
        <w:tc>
          <w:tcPr>
            <w:tcW w:w="2029" w:type="dxa"/>
          </w:tcPr>
          <w:p w:rsidR="00B6150D" w:rsidRPr="00702BFD" w:rsidRDefault="00B6150D" w:rsidP="00B6150D">
            <w:pPr>
              <w:pStyle w:val="Resume"/>
              <w:jc w:val="center"/>
              <w:rPr>
                <w:rFonts w:ascii="Times New Roman" w:hAnsi="Times New Roman"/>
                <w:szCs w:val="18"/>
              </w:rPr>
            </w:pPr>
            <w:r>
              <w:rPr>
                <w:rFonts w:ascii="Times New Roman" w:hAnsi="Times New Roman"/>
                <w:szCs w:val="18"/>
              </w:rPr>
              <w:t>Raideur du modèle nominal [N/mm]</w:t>
            </w:r>
          </w:p>
        </w:tc>
        <w:tc>
          <w:tcPr>
            <w:tcW w:w="903" w:type="dxa"/>
            <w:vAlign w:val="center"/>
          </w:tcPr>
          <w:p w:rsidR="00B6150D" w:rsidRPr="00330883" w:rsidRDefault="00B6150D" w:rsidP="00B6150D">
            <w:pPr>
              <w:pStyle w:val="Resume"/>
              <w:jc w:val="center"/>
              <w:rPr>
                <w:rFonts w:ascii="Times New Roman" w:hAnsi="Times New Roman"/>
                <w:i/>
                <w:sz w:val="18"/>
                <w:szCs w:val="18"/>
              </w:rPr>
            </w:pPr>
            <w:r w:rsidRPr="00330883">
              <w:rPr>
                <w:rFonts w:ascii="Times New Roman" w:hAnsi="Times New Roman"/>
                <w:i/>
                <w:sz w:val="18"/>
                <w:szCs w:val="18"/>
              </w:rPr>
              <w:t>Ecart relatif</w:t>
            </w:r>
          </w:p>
        </w:tc>
      </w:tr>
      <w:tr w:rsidR="00B6150D" w:rsidRPr="008C11B0" w:rsidTr="00330883">
        <w:trPr>
          <w:jc w:val="center"/>
        </w:trPr>
        <w:tc>
          <w:tcPr>
            <w:tcW w:w="1555" w:type="dxa"/>
          </w:tcPr>
          <w:p w:rsidR="00B6150D" w:rsidRPr="008C11B0" w:rsidRDefault="00B6150D" w:rsidP="00B6150D">
            <w:pPr>
              <w:pStyle w:val="Resume"/>
              <w:jc w:val="center"/>
              <w:rPr>
                <w:rFonts w:ascii="Times New Roman" w:hAnsi="Times New Roman"/>
                <w:szCs w:val="18"/>
              </w:rPr>
            </w:pPr>
            <w:r>
              <w:rPr>
                <w:rFonts w:ascii="Times New Roman" w:hAnsi="Times New Roman"/>
                <w:szCs w:val="18"/>
              </w:rPr>
              <w:t>20</w:t>
            </w:r>
          </w:p>
        </w:tc>
        <w:tc>
          <w:tcPr>
            <w:tcW w:w="2029" w:type="dxa"/>
          </w:tcPr>
          <w:p w:rsidR="00B6150D" w:rsidRPr="008C11B0" w:rsidRDefault="00B6150D" w:rsidP="00B6150D">
            <w:pPr>
              <w:pStyle w:val="Resume"/>
              <w:jc w:val="center"/>
              <w:rPr>
                <w:rFonts w:ascii="Times New Roman" w:hAnsi="Times New Roman"/>
                <w:szCs w:val="18"/>
              </w:rPr>
            </w:pPr>
            <w:r>
              <w:rPr>
                <w:rFonts w:ascii="Times New Roman" w:hAnsi="Times New Roman"/>
                <w:szCs w:val="18"/>
              </w:rPr>
              <w:t>34.48</w:t>
            </w:r>
          </w:p>
        </w:tc>
        <w:tc>
          <w:tcPr>
            <w:tcW w:w="2029" w:type="dxa"/>
          </w:tcPr>
          <w:p w:rsidR="00B6150D" w:rsidRPr="008C11B0" w:rsidRDefault="00B6150D" w:rsidP="00B6150D">
            <w:pPr>
              <w:pStyle w:val="Resume"/>
              <w:jc w:val="center"/>
              <w:rPr>
                <w:rFonts w:ascii="Times New Roman" w:hAnsi="Times New Roman"/>
                <w:szCs w:val="18"/>
              </w:rPr>
            </w:pPr>
            <w:r>
              <w:rPr>
                <w:rFonts w:ascii="Times New Roman" w:hAnsi="Times New Roman"/>
                <w:szCs w:val="18"/>
              </w:rPr>
              <w:t>70.42</w:t>
            </w:r>
          </w:p>
        </w:tc>
        <w:tc>
          <w:tcPr>
            <w:tcW w:w="903" w:type="dxa"/>
          </w:tcPr>
          <w:p w:rsidR="00B6150D" w:rsidRPr="00330883" w:rsidRDefault="00B6150D" w:rsidP="00B6150D">
            <w:pPr>
              <w:pStyle w:val="Resume"/>
              <w:keepNext/>
              <w:jc w:val="center"/>
              <w:rPr>
                <w:rFonts w:ascii="Times New Roman" w:hAnsi="Times New Roman"/>
                <w:i/>
                <w:sz w:val="18"/>
                <w:szCs w:val="18"/>
              </w:rPr>
            </w:pPr>
            <w:r w:rsidRPr="00330883">
              <w:rPr>
                <w:rFonts w:ascii="Times New Roman" w:hAnsi="Times New Roman"/>
                <w:i/>
                <w:sz w:val="18"/>
                <w:szCs w:val="18"/>
              </w:rPr>
              <w:t>+104.2%</w:t>
            </w:r>
          </w:p>
        </w:tc>
      </w:tr>
    </w:tbl>
    <w:p w:rsidR="00702BFD" w:rsidRPr="00702BFD" w:rsidRDefault="00702BFD" w:rsidP="00702BFD">
      <w:pPr>
        <w:pStyle w:val="Lgende"/>
        <w:jc w:val="center"/>
        <w:rPr>
          <w:b/>
          <w:color w:val="auto"/>
          <w:sz w:val="28"/>
        </w:rPr>
      </w:pPr>
      <w:r w:rsidRPr="00702BFD">
        <w:rPr>
          <w:color w:val="auto"/>
          <w:sz w:val="16"/>
        </w:rPr>
        <w:br/>
      </w:r>
      <w:r w:rsidRPr="00702BFD">
        <w:rPr>
          <w:color w:val="auto"/>
          <w:sz w:val="20"/>
        </w:rPr>
        <w:t xml:space="preserve">Tableau </w:t>
      </w:r>
      <w:r w:rsidRPr="00702BFD">
        <w:rPr>
          <w:color w:val="auto"/>
          <w:sz w:val="20"/>
        </w:rPr>
        <w:fldChar w:fldCharType="begin"/>
      </w:r>
      <w:r w:rsidRPr="00702BFD">
        <w:rPr>
          <w:color w:val="auto"/>
          <w:sz w:val="20"/>
        </w:rPr>
        <w:instrText xml:space="preserve"> SEQ Tableau \* ARABIC </w:instrText>
      </w:r>
      <w:r w:rsidRPr="00702BFD">
        <w:rPr>
          <w:color w:val="auto"/>
          <w:sz w:val="20"/>
        </w:rPr>
        <w:fldChar w:fldCharType="separate"/>
      </w:r>
      <w:r w:rsidR="00A11434">
        <w:rPr>
          <w:noProof/>
          <w:color w:val="auto"/>
          <w:sz w:val="20"/>
        </w:rPr>
        <w:t>2</w:t>
      </w:r>
      <w:r w:rsidRPr="00702BFD">
        <w:rPr>
          <w:color w:val="auto"/>
          <w:sz w:val="20"/>
        </w:rPr>
        <w:fldChar w:fldCharType="end"/>
      </w:r>
      <w:r w:rsidRPr="00702BFD">
        <w:rPr>
          <w:color w:val="auto"/>
          <w:sz w:val="20"/>
        </w:rPr>
        <w:t xml:space="preserve"> - Comparaison des </w:t>
      </w:r>
      <w:r>
        <w:rPr>
          <w:color w:val="auto"/>
          <w:sz w:val="20"/>
        </w:rPr>
        <w:t>raideurs statiques</w:t>
      </w:r>
      <w:r w:rsidR="002E5037">
        <w:rPr>
          <w:color w:val="auto"/>
          <w:sz w:val="20"/>
        </w:rPr>
        <w:t xml:space="preserve"> nominales et expérimentales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1184"/>
        <w:gridCol w:w="1798"/>
        <w:gridCol w:w="1798"/>
        <w:gridCol w:w="987"/>
      </w:tblGrid>
      <w:tr w:rsidR="00316B7E" w:rsidRPr="008C11B0" w:rsidTr="001E05F2">
        <w:trPr>
          <w:jc w:val="center"/>
        </w:trPr>
        <w:tc>
          <w:tcPr>
            <w:tcW w:w="708" w:type="dxa"/>
            <w:vAlign w:val="center"/>
          </w:tcPr>
          <w:p w:rsidR="00316B7E" w:rsidRPr="00702BFD" w:rsidRDefault="00316B7E" w:rsidP="00316B7E">
            <w:pPr>
              <w:pStyle w:val="Resume"/>
              <w:jc w:val="center"/>
              <w:rPr>
                <w:rFonts w:ascii="Times New Roman" w:hAnsi="Times New Roman"/>
                <w:szCs w:val="18"/>
              </w:rPr>
            </w:pPr>
            <w:r>
              <w:rPr>
                <w:rFonts w:ascii="Times New Roman" w:hAnsi="Times New Roman"/>
                <w:szCs w:val="18"/>
              </w:rPr>
              <w:t>Mode</w:t>
            </w:r>
          </w:p>
        </w:tc>
        <w:tc>
          <w:tcPr>
            <w:tcW w:w="1184" w:type="dxa"/>
            <w:vAlign w:val="center"/>
          </w:tcPr>
          <w:p w:rsidR="00316B7E" w:rsidRPr="00702BFD" w:rsidRDefault="00316B7E" w:rsidP="00316B7E">
            <w:pPr>
              <w:pStyle w:val="Resume"/>
              <w:jc w:val="center"/>
              <w:rPr>
                <w:rFonts w:ascii="Times New Roman" w:hAnsi="Times New Roman"/>
                <w:szCs w:val="18"/>
              </w:rPr>
            </w:pPr>
            <w:r>
              <w:rPr>
                <w:rFonts w:ascii="Times New Roman" w:hAnsi="Times New Roman"/>
                <w:szCs w:val="18"/>
              </w:rPr>
              <w:t>Description du mode</w:t>
            </w:r>
          </w:p>
        </w:tc>
        <w:tc>
          <w:tcPr>
            <w:tcW w:w="1798" w:type="dxa"/>
            <w:vAlign w:val="center"/>
          </w:tcPr>
          <w:p w:rsidR="00316B7E" w:rsidRDefault="00316B7E" w:rsidP="00316B7E">
            <w:pPr>
              <w:pStyle w:val="Resume"/>
              <w:jc w:val="center"/>
              <w:rPr>
                <w:rFonts w:ascii="Times New Roman" w:hAnsi="Times New Roman"/>
                <w:szCs w:val="18"/>
              </w:rPr>
            </w:pPr>
            <w:r>
              <w:rPr>
                <w:rFonts w:ascii="Times New Roman" w:hAnsi="Times New Roman"/>
                <w:szCs w:val="18"/>
              </w:rPr>
              <w:t>Fréquence</w:t>
            </w:r>
            <w:r w:rsidR="001E05F2">
              <w:rPr>
                <w:rFonts w:ascii="Times New Roman" w:hAnsi="Times New Roman"/>
                <w:szCs w:val="18"/>
              </w:rPr>
              <w:t xml:space="preserve"> propre</w:t>
            </w:r>
            <w:r>
              <w:rPr>
                <w:rFonts w:ascii="Times New Roman" w:hAnsi="Times New Roman"/>
                <w:szCs w:val="18"/>
              </w:rPr>
              <w:t xml:space="preserve"> mesurée</w:t>
            </w:r>
            <w:r>
              <w:rPr>
                <w:rFonts w:ascii="Times New Roman" w:hAnsi="Times New Roman"/>
                <w:szCs w:val="18"/>
              </w:rPr>
              <w:br/>
              <w:t>[Hz]</w:t>
            </w:r>
          </w:p>
        </w:tc>
        <w:tc>
          <w:tcPr>
            <w:tcW w:w="1798" w:type="dxa"/>
          </w:tcPr>
          <w:p w:rsidR="00316B7E" w:rsidRPr="00702BFD" w:rsidRDefault="00316B7E" w:rsidP="00316B7E">
            <w:pPr>
              <w:pStyle w:val="Resume"/>
              <w:jc w:val="center"/>
              <w:rPr>
                <w:rFonts w:ascii="Times New Roman" w:hAnsi="Times New Roman"/>
                <w:szCs w:val="18"/>
              </w:rPr>
            </w:pPr>
            <w:r>
              <w:rPr>
                <w:rFonts w:ascii="Times New Roman" w:hAnsi="Times New Roman"/>
                <w:szCs w:val="18"/>
              </w:rPr>
              <w:t xml:space="preserve">Fréquence </w:t>
            </w:r>
            <w:r w:rsidR="001E05F2">
              <w:rPr>
                <w:rFonts w:ascii="Times New Roman" w:hAnsi="Times New Roman"/>
                <w:szCs w:val="18"/>
              </w:rPr>
              <w:t>propre du modèle nominal</w:t>
            </w:r>
            <w:r>
              <w:rPr>
                <w:rFonts w:ascii="Times New Roman" w:hAnsi="Times New Roman"/>
                <w:szCs w:val="18"/>
              </w:rPr>
              <w:br/>
              <w:t>[Hz]</w:t>
            </w:r>
          </w:p>
        </w:tc>
        <w:tc>
          <w:tcPr>
            <w:tcW w:w="987" w:type="dxa"/>
            <w:vAlign w:val="center"/>
          </w:tcPr>
          <w:p w:rsidR="00316B7E" w:rsidRPr="00330883" w:rsidRDefault="00316B7E" w:rsidP="00316B7E">
            <w:pPr>
              <w:pStyle w:val="Resume"/>
              <w:jc w:val="center"/>
              <w:rPr>
                <w:rFonts w:ascii="Times New Roman" w:hAnsi="Times New Roman"/>
                <w:i/>
                <w:sz w:val="18"/>
                <w:szCs w:val="18"/>
              </w:rPr>
            </w:pPr>
            <w:r w:rsidRPr="00330883">
              <w:rPr>
                <w:rFonts w:ascii="Times New Roman" w:hAnsi="Times New Roman"/>
                <w:i/>
                <w:sz w:val="18"/>
                <w:szCs w:val="18"/>
              </w:rPr>
              <w:t>Ecart relatif</w:t>
            </w:r>
          </w:p>
        </w:tc>
      </w:tr>
      <w:tr w:rsidR="00316B7E" w:rsidRPr="008C11B0" w:rsidTr="00252539">
        <w:trPr>
          <w:jc w:val="center"/>
        </w:trPr>
        <w:tc>
          <w:tcPr>
            <w:tcW w:w="708" w:type="dxa"/>
          </w:tcPr>
          <w:p w:rsidR="00316B7E" w:rsidRPr="008C11B0" w:rsidRDefault="00316B7E" w:rsidP="00316B7E">
            <w:pPr>
              <w:pStyle w:val="Resume"/>
              <w:jc w:val="center"/>
              <w:rPr>
                <w:rFonts w:ascii="Times New Roman" w:hAnsi="Times New Roman"/>
                <w:szCs w:val="18"/>
              </w:rPr>
            </w:pPr>
            <w:r>
              <w:rPr>
                <w:rFonts w:ascii="Times New Roman" w:hAnsi="Times New Roman"/>
                <w:szCs w:val="18"/>
              </w:rPr>
              <w:t>1</w:t>
            </w:r>
          </w:p>
        </w:tc>
        <w:tc>
          <w:tcPr>
            <w:tcW w:w="1184" w:type="dxa"/>
          </w:tcPr>
          <w:p w:rsidR="00316B7E" w:rsidRPr="008C11B0" w:rsidRDefault="00316B7E" w:rsidP="00316B7E">
            <w:pPr>
              <w:pStyle w:val="Resume"/>
              <w:jc w:val="center"/>
              <w:rPr>
                <w:rFonts w:ascii="Times New Roman" w:hAnsi="Times New Roman"/>
                <w:szCs w:val="18"/>
              </w:rPr>
            </w:pPr>
            <w:r>
              <w:rPr>
                <w:rFonts w:ascii="Times New Roman" w:hAnsi="Times New Roman"/>
                <w:szCs w:val="18"/>
              </w:rPr>
              <w:t>Flexion 1</w:t>
            </w:r>
          </w:p>
        </w:tc>
        <w:tc>
          <w:tcPr>
            <w:tcW w:w="1798" w:type="dxa"/>
          </w:tcPr>
          <w:p w:rsidR="00316B7E" w:rsidRDefault="00316B7E" w:rsidP="00316B7E">
            <w:pPr>
              <w:pStyle w:val="Resume"/>
              <w:keepNext/>
              <w:jc w:val="center"/>
              <w:rPr>
                <w:rFonts w:ascii="Times New Roman" w:hAnsi="Times New Roman"/>
                <w:szCs w:val="18"/>
              </w:rPr>
            </w:pPr>
            <w:r>
              <w:rPr>
                <w:rFonts w:ascii="Times New Roman" w:hAnsi="Times New Roman"/>
                <w:szCs w:val="18"/>
              </w:rPr>
              <w:t>265.8</w:t>
            </w:r>
          </w:p>
        </w:tc>
        <w:tc>
          <w:tcPr>
            <w:tcW w:w="1798" w:type="dxa"/>
          </w:tcPr>
          <w:p w:rsidR="00316B7E" w:rsidRPr="008C11B0" w:rsidRDefault="00316B7E" w:rsidP="00316B7E">
            <w:pPr>
              <w:pStyle w:val="Resume"/>
              <w:jc w:val="center"/>
              <w:rPr>
                <w:rFonts w:ascii="Times New Roman" w:hAnsi="Times New Roman"/>
                <w:szCs w:val="18"/>
              </w:rPr>
            </w:pPr>
            <w:r>
              <w:rPr>
                <w:rFonts w:ascii="Times New Roman" w:hAnsi="Times New Roman"/>
                <w:szCs w:val="18"/>
              </w:rPr>
              <w:t>299.5</w:t>
            </w:r>
          </w:p>
        </w:tc>
        <w:tc>
          <w:tcPr>
            <w:tcW w:w="987" w:type="dxa"/>
          </w:tcPr>
          <w:p w:rsidR="00316B7E" w:rsidRPr="00330883" w:rsidRDefault="00316B7E" w:rsidP="00316B7E">
            <w:pPr>
              <w:pStyle w:val="Resume"/>
              <w:keepNext/>
              <w:jc w:val="center"/>
              <w:rPr>
                <w:rFonts w:ascii="Times New Roman" w:hAnsi="Times New Roman"/>
                <w:i/>
                <w:sz w:val="18"/>
                <w:szCs w:val="18"/>
              </w:rPr>
            </w:pPr>
            <w:r w:rsidRPr="00330883">
              <w:rPr>
                <w:rFonts w:ascii="Times New Roman" w:hAnsi="Times New Roman"/>
                <w:i/>
                <w:sz w:val="18"/>
                <w:szCs w:val="18"/>
              </w:rPr>
              <w:t>+12.7%</w:t>
            </w:r>
          </w:p>
        </w:tc>
      </w:tr>
      <w:tr w:rsidR="00316B7E" w:rsidRPr="008C11B0" w:rsidTr="00252539">
        <w:trPr>
          <w:jc w:val="center"/>
        </w:trPr>
        <w:tc>
          <w:tcPr>
            <w:tcW w:w="708" w:type="dxa"/>
          </w:tcPr>
          <w:p w:rsidR="00316B7E" w:rsidRDefault="00316B7E" w:rsidP="00316B7E">
            <w:pPr>
              <w:pStyle w:val="Resume"/>
              <w:jc w:val="center"/>
              <w:rPr>
                <w:rFonts w:ascii="Times New Roman" w:hAnsi="Times New Roman"/>
                <w:szCs w:val="18"/>
              </w:rPr>
            </w:pPr>
            <w:r>
              <w:rPr>
                <w:rFonts w:ascii="Times New Roman" w:hAnsi="Times New Roman"/>
                <w:szCs w:val="18"/>
              </w:rPr>
              <w:t>2</w:t>
            </w:r>
          </w:p>
        </w:tc>
        <w:tc>
          <w:tcPr>
            <w:tcW w:w="1184" w:type="dxa"/>
          </w:tcPr>
          <w:p w:rsidR="00316B7E" w:rsidRDefault="00316B7E" w:rsidP="00316B7E">
            <w:pPr>
              <w:pStyle w:val="Resume"/>
              <w:jc w:val="center"/>
              <w:rPr>
                <w:rFonts w:ascii="Times New Roman" w:hAnsi="Times New Roman"/>
                <w:szCs w:val="18"/>
              </w:rPr>
            </w:pPr>
            <w:r>
              <w:rPr>
                <w:rFonts w:ascii="Times New Roman" w:hAnsi="Times New Roman"/>
                <w:szCs w:val="18"/>
              </w:rPr>
              <w:t>Torsion 1</w:t>
            </w:r>
          </w:p>
        </w:tc>
        <w:tc>
          <w:tcPr>
            <w:tcW w:w="1798" w:type="dxa"/>
          </w:tcPr>
          <w:p w:rsidR="00316B7E" w:rsidRDefault="00316B7E" w:rsidP="00316B7E">
            <w:pPr>
              <w:pStyle w:val="Resume"/>
              <w:keepNext/>
              <w:jc w:val="center"/>
              <w:rPr>
                <w:rFonts w:ascii="Times New Roman" w:hAnsi="Times New Roman"/>
                <w:szCs w:val="18"/>
              </w:rPr>
            </w:pPr>
            <w:r>
              <w:rPr>
                <w:rFonts w:ascii="Times New Roman" w:hAnsi="Times New Roman"/>
                <w:szCs w:val="18"/>
              </w:rPr>
              <w:t>768.1</w:t>
            </w:r>
          </w:p>
        </w:tc>
        <w:tc>
          <w:tcPr>
            <w:tcW w:w="1798" w:type="dxa"/>
          </w:tcPr>
          <w:p w:rsidR="00316B7E" w:rsidRDefault="00316B7E" w:rsidP="00316B7E">
            <w:pPr>
              <w:pStyle w:val="Resume"/>
              <w:jc w:val="center"/>
              <w:rPr>
                <w:rFonts w:ascii="Times New Roman" w:hAnsi="Times New Roman"/>
                <w:szCs w:val="18"/>
              </w:rPr>
            </w:pPr>
            <w:r>
              <w:rPr>
                <w:rFonts w:ascii="Times New Roman" w:hAnsi="Times New Roman"/>
                <w:szCs w:val="18"/>
              </w:rPr>
              <w:t>855.3</w:t>
            </w:r>
          </w:p>
        </w:tc>
        <w:tc>
          <w:tcPr>
            <w:tcW w:w="987" w:type="dxa"/>
          </w:tcPr>
          <w:p w:rsidR="00316B7E" w:rsidRPr="00330883" w:rsidRDefault="00316B7E" w:rsidP="00316B7E">
            <w:pPr>
              <w:pStyle w:val="Resume"/>
              <w:keepNext/>
              <w:jc w:val="center"/>
              <w:rPr>
                <w:rFonts w:ascii="Times New Roman" w:hAnsi="Times New Roman"/>
                <w:i/>
                <w:sz w:val="18"/>
                <w:szCs w:val="18"/>
              </w:rPr>
            </w:pPr>
            <w:r w:rsidRPr="00330883">
              <w:rPr>
                <w:rFonts w:ascii="Times New Roman" w:hAnsi="Times New Roman"/>
                <w:i/>
                <w:sz w:val="18"/>
                <w:szCs w:val="18"/>
              </w:rPr>
              <w:t>+11.4%</w:t>
            </w:r>
          </w:p>
        </w:tc>
      </w:tr>
      <w:tr w:rsidR="00316B7E" w:rsidRPr="008C11B0" w:rsidTr="00252539">
        <w:trPr>
          <w:jc w:val="center"/>
        </w:trPr>
        <w:tc>
          <w:tcPr>
            <w:tcW w:w="708" w:type="dxa"/>
          </w:tcPr>
          <w:p w:rsidR="00316B7E" w:rsidRDefault="00316B7E" w:rsidP="00316B7E">
            <w:pPr>
              <w:pStyle w:val="Resume"/>
              <w:jc w:val="center"/>
              <w:rPr>
                <w:rFonts w:ascii="Times New Roman" w:hAnsi="Times New Roman"/>
                <w:szCs w:val="18"/>
              </w:rPr>
            </w:pPr>
            <w:r>
              <w:rPr>
                <w:rFonts w:ascii="Times New Roman" w:hAnsi="Times New Roman"/>
                <w:szCs w:val="18"/>
              </w:rPr>
              <w:t>3</w:t>
            </w:r>
          </w:p>
        </w:tc>
        <w:tc>
          <w:tcPr>
            <w:tcW w:w="1184" w:type="dxa"/>
          </w:tcPr>
          <w:p w:rsidR="00316B7E" w:rsidRDefault="00316B7E" w:rsidP="00316B7E">
            <w:pPr>
              <w:pStyle w:val="Resume"/>
              <w:jc w:val="center"/>
              <w:rPr>
                <w:rFonts w:ascii="Times New Roman" w:hAnsi="Times New Roman"/>
                <w:szCs w:val="18"/>
              </w:rPr>
            </w:pPr>
            <w:r>
              <w:rPr>
                <w:rFonts w:ascii="Times New Roman" w:hAnsi="Times New Roman"/>
                <w:szCs w:val="18"/>
              </w:rPr>
              <w:t>Flexion 2</w:t>
            </w:r>
          </w:p>
        </w:tc>
        <w:tc>
          <w:tcPr>
            <w:tcW w:w="1798" w:type="dxa"/>
          </w:tcPr>
          <w:p w:rsidR="00316B7E" w:rsidRDefault="00316B7E" w:rsidP="00316B7E">
            <w:pPr>
              <w:pStyle w:val="Resume"/>
              <w:keepNext/>
              <w:jc w:val="center"/>
              <w:rPr>
                <w:rFonts w:ascii="Times New Roman" w:hAnsi="Times New Roman"/>
                <w:szCs w:val="18"/>
              </w:rPr>
            </w:pPr>
            <w:r>
              <w:rPr>
                <w:rFonts w:ascii="Times New Roman" w:hAnsi="Times New Roman"/>
                <w:szCs w:val="18"/>
              </w:rPr>
              <w:t>843.7</w:t>
            </w:r>
          </w:p>
        </w:tc>
        <w:tc>
          <w:tcPr>
            <w:tcW w:w="1798" w:type="dxa"/>
          </w:tcPr>
          <w:p w:rsidR="00316B7E" w:rsidRDefault="00316B7E" w:rsidP="00316B7E">
            <w:pPr>
              <w:pStyle w:val="Resume"/>
              <w:jc w:val="center"/>
              <w:rPr>
                <w:rFonts w:ascii="Times New Roman" w:hAnsi="Times New Roman"/>
                <w:szCs w:val="18"/>
              </w:rPr>
            </w:pPr>
            <w:r>
              <w:rPr>
                <w:rFonts w:ascii="Times New Roman" w:hAnsi="Times New Roman"/>
                <w:szCs w:val="18"/>
              </w:rPr>
              <w:t>925.9</w:t>
            </w:r>
          </w:p>
        </w:tc>
        <w:tc>
          <w:tcPr>
            <w:tcW w:w="987" w:type="dxa"/>
          </w:tcPr>
          <w:p w:rsidR="00316B7E" w:rsidRPr="00330883" w:rsidRDefault="00316B7E" w:rsidP="00316B7E">
            <w:pPr>
              <w:pStyle w:val="Resume"/>
              <w:keepNext/>
              <w:jc w:val="center"/>
              <w:rPr>
                <w:rFonts w:ascii="Times New Roman" w:hAnsi="Times New Roman"/>
                <w:i/>
                <w:sz w:val="18"/>
                <w:szCs w:val="18"/>
              </w:rPr>
            </w:pPr>
            <w:r w:rsidRPr="00330883">
              <w:rPr>
                <w:rFonts w:ascii="Times New Roman" w:hAnsi="Times New Roman"/>
                <w:i/>
                <w:sz w:val="18"/>
                <w:szCs w:val="18"/>
              </w:rPr>
              <w:t>+9.7%</w:t>
            </w:r>
          </w:p>
        </w:tc>
      </w:tr>
      <w:tr w:rsidR="00316B7E" w:rsidRPr="008C11B0" w:rsidTr="00252539">
        <w:trPr>
          <w:jc w:val="center"/>
        </w:trPr>
        <w:tc>
          <w:tcPr>
            <w:tcW w:w="708" w:type="dxa"/>
          </w:tcPr>
          <w:p w:rsidR="00316B7E" w:rsidRDefault="00316B7E" w:rsidP="00316B7E">
            <w:pPr>
              <w:pStyle w:val="Resume"/>
              <w:jc w:val="center"/>
              <w:rPr>
                <w:rFonts w:ascii="Times New Roman" w:hAnsi="Times New Roman"/>
                <w:szCs w:val="18"/>
              </w:rPr>
            </w:pPr>
            <w:r>
              <w:rPr>
                <w:rFonts w:ascii="Times New Roman" w:hAnsi="Times New Roman"/>
                <w:szCs w:val="18"/>
              </w:rPr>
              <w:t>4</w:t>
            </w:r>
          </w:p>
        </w:tc>
        <w:tc>
          <w:tcPr>
            <w:tcW w:w="1184" w:type="dxa"/>
          </w:tcPr>
          <w:p w:rsidR="00316B7E" w:rsidRDefault="00316B7E" w:rsidP="00316B7E">
            <w:pPr>
              <w:pStyle w:val="Resume"/>
              <w:jc w:val="center"/>
              <w:rPr>
                <w:rFonts w:ascii="Times New Roman" w:hAnsi="Times New Roman"/>
                <w:szCs w:val="18"/>
              </w:rPr>
            </w:pPr>
            <w:r>
              <w:rPr>
                <w:rFonts w:ascii="Times New Roman" w:hAnsi="Times New Roman"/>
                <w:szCs w:val="18"/>
              </w:rPr>
              <w:t>Flexion 3</w:t>
            </w:r>
          </w:p>
        </w:tc>
        <w:tc>
          <w:tcPr>
            <w:tcW w:w="1798" w:type="dxa"/>
          </w:tcPr>
          <w:p w:rsidR="00316B7E" w:rsidRDefault="00316B7E" w:rsidP="00316B7E">
            <w:pPr>
              <w:pStyle w:val="Resume"/>
              <w:keepNext/>
              <w:jc w:val="center"/>
              <w:rPr>
                <w:rFonts w:ascii="Times New Roman" w:hAnsi="Times New Roman"/>
                <w:szCs w:val="18"/>
              </w:rPr>
            </w:pPr>
            <w:r>
              <w:rPr>
                <w:rFonts w:ascii="Times New Roman" w:hAnsi="Times New Roman"/>
                <w:szCs w:val="18"/>
              </w:rPr>
              <w:t>1476.4</w:t>
            </w:r>
          </w:p>
        </w:tc>
        <w:tc>
          <w:tcPr>
            <w:tcW w:w="1798" w:type="dxa"/>
          </w:tcPr>
          <w:p w:rsidR="00316B7E" w:rsidRDefault="00316B7E" w:rsidP="00316B7E">
            <w:pPr>
              <w:pStyle w:val="Resume"/>
              <w:jc w:val="center"/>
              <w:rPr>
                <w:rFonts w:ascii="Times New Roman" w:hAnsi="Times New Roman"/>
                <w:szCs w:val="18"/>
              </w:rPr>
            </w:pPr>
            <w:r>
              <w:rPr>
                <w:rFonts w:ascii="Times New Roman" w:hAnsi="Times New Roman"/>
                <w:szCs w:val="18"/>
              </w:rPr>
              <w:t>1636.3</w:t>
            </w:r>
          </w:p>
        </w:tc>
        <w:tc>
          <w:tcPr>
            <w:tcW w:w="987" w:type="dxa"/>
          </w:tcPr>
          <w:p w:rsidR="00316B7E" w:rsidRPr="00330883" w:rsidRDefault="00316B7E" w:rsidP="00316B7E">
            <w:pPr>
              <w:pStyle w:val="Resume"/>
              <w:keepNext/>
              <w:jc w:val="center"/>
              <w:rPr>
                <w:rFonts w:ascii="Times New Roman" w:hAnsi="Times New Roman"/>
                <w:i/>
                <w:sz w:val="18"/>
                <w:szCs w:val="18"/>
              </w:rPr>
            </w:pPr>
            <w:r w:rsidRPr="00330883">
              <w:rPr>
                <w:rFonts w:ascii="Times New Roman" w:hAnsi="Times New Roman"/>
                <w:i/>
                <w:sz w:val="18"/>
                <w:szCs w:val="18"/>
              </w:rPr>
              <w:t>+10.8%</w:t>
            </w:r>
          </w:p>
        </w:tc>
      </w:tr>
      <w:tr w:rsidR="00316B7E" w:rsidRPr="008C11B0" w:rsidTr="00252539">
        <w:trPr>
          <w:jc w:val="center"/>
        </w:trPr>
        <w:tc>
          <w:tcPr>
            <w:tcW w:w="708" w:type="dxa"/>
          </w:tcPr>
          <w:p w:rsidR="00316B7E" w:rsidRDefault="00316B7E" w:rsidP="00316B7E">
            <w:pPr>
              <w:pStyle w:val="Resume"/>
              <w:jc w:val="center"/>
              <w:rPr>
                <w:rFonts w:ascii="Times New Roman" w:hAnsi="Times New Roman"/>
                <w:szCs w:val="18"/>
              </w:rPr>
            </w:pPr>
            <w:r>
              <w:rPr>
                <w:rFonts w:ascii="Times New Roman" w:hAnsi="Times New Roman"/>
                <w:szCs w:val="18"/>
              </w:rPr>
              <w:t>5</w:t>
            </w:r>
          </w:p>
        </w:tc>
        <w:tc>
          <w:tcPr>
            <w:tcW w:w="1184" w:type="dxa"/>
          </w:tcPr>
          <w:p w:rsidR="00316B7E" w:rsidRDefault="00316B7E" w:rsidP="00316B7E">
            <w:pPr>
              <w:pStyle w:val="Resume"/>
              <w:jc w:val="center"/>
              <w:rPr>
                <w:rFonts w:ascii="Times New Roman" w:hAnsi="Times New Roman"/>
                <w:szCs w:val="18"/>
              </w:rPr>
            </w:pPr>
            <w:r>
              <w:rPr>
                <w:rFonts w:ascii="Times New Roman" w:hAnsi="Times New Roman"/>
                <w:szCs w:val="18"/>
              </w:rPr>
              <w:t>Flexion 4</w:t>
            </w:r>
          </w:p>
        </w:tc>
        <w:tc>
          <w:tcPr>
            <w:tcW w:w="1798" w:type="dxa"/>
          </w:tcPr>
          <w:p w:rsidR="00316B7E" w:rsidRDefault="00316B7E" w:rsidP="00316B7E">
            <w:pPr>
              <w:pStyle w:val="Resume"/>
              <w:keepNext/>
              <w:jc w:val="center"/>
              <w:rPr>
                <w:rFonts w:ascii="Times New Roman" w:hAnsi="Times New Roman"/>
                <w:szCs w:val="18"/>
              </w:rPr>
            </w:pPr>
            <w:r>
              <w:rPr>
                <w:rFonts w:ascii="Times New Roman" w:hAnsi="Times New Roman"/>
                <w:szCs w:val="18"/>
              </w:rPr>
              <w:t>2132.1</w:t>
            </w:r>
          </w:p>
        </w:tc>
        <w:tc>
          <w:tcPr>
            <w:tcW w:w="1798" w:type="dxa"/>
          </w:tcPr>
          <w:p w:rsidR="00316B7E" w:rsidRDefault="00316B7E" w:rsidP="00316B7E">
            <w:pPr>
              <w:pStyle w:val="Resume"/>
              <w:jc w:val="center"/>
              <w:rPr>
                <w:rFonts w:ascii="Times New Roman" w:hAnsi="Times New Roman"/>
                <w:szCs w:val="18"/>
              </w:rPr>
            </w:pPr>
            <w:r>
              <w:rPr>
                <w:rFonts w:ascii="Times New Roman" w:hAnsi="Times New Roman"/>
                <w:szCs w:val="18"/>
              </w:rPr>
              <w:t>2364.7</w:t>
            </w:r>
          </w:p>
        </w:tc>
        <w:tc>
          <w:tcPr>
            <w:tcW w:w="987" w:type="dxa"/>
          </w:tcPr>
          <w:p w:rsidR="00316B7E" w:rsidRPr="00330883" w:rsidRDefault="00316B7E" w:rsidP="00316B7E">
            <w:pPr>
              <w:pStyle w:val="Resume"/>
              <w:keepNext/>
              <w:jc w:val="center"/>
              <w:rPr>
                <w:rFonts w:ascii="Times New Roman" w:hAnsi="Times New Roman"/>
                <w:i/>
                <w:sz w:val="18"/>
                <w:szCs w:val="18"/>
              </w:rPr>
            </w:pPr>
            <w:r w:rsidRPr="00330883">
              <w:rPr>
                <w:rFonts w:ascii="Times New Roman" w:hAnsi="Times New Roman"/>
                <w:i/>
                <w:sz w:val="18"/>
                <w:szCs w:val="18"/>
              </w:rPr>
              <w:t>+10.9%</w:t>
            </w:r>
          </w:p>
        </w:tc>
      </w:tr>
    </w:tbl>
    <w:p w:rsidR="00106722" w:rsidRPr="00702BFD" w:rsidRDefault="00106722" w:rsidP="00106722">
      <w:pPr>
        <w:pStyle w:val="Lgende"/>
        <w:jc w:val="center"/>
        <w:rPr>
          <w:b/>
          <w:color w:val="auto"/>
          <w:sz w:val="28"/>
        </w:rPr>
      </w:pPr>
      <w:r w:rsidRPr="00702BFD">
        <w:rPr>
          <w:color w:val="auto"/>
          <w:sz w:val="16"/>
        </w:rPr>
        <w:br/>
      </w:r>
      <w:r w:rsidRPr="00702BFD">
        <w:rPr>
          <w:color w:val="auto"/>
          <w:sz w:val="20"/>
        </w:rPr>
        <w:t xml:space="preserve">Tableau </w:t>
      </w:r>
      <w:r w:rsidRPr="00702BFD">
        <w:rPr>
          <w:color w:val="auto"/>
          <w:sz w:val="20"/>
        </w:rPr>
        <w:fldChar w:fldCharType="begin"/>
      </w:r>
      <w:r w:rsidRPr="00702BFD">
        <w:rPr>
          <w:color w:val="auto"/>
          <w:sz w:val="20"/>
        </w:rPr>
        <w:instrText xml:space="preserve"> SEQ Tableau \* ARABIC </w:instrText>
      </w:r>
      <w:r w:rsidRPr="00702BFD">
        <w:rPr>
          <w:color w:val="auto"/>
          <w:sz w:val="20"/>
        </w:rPr>
        <w:fldChar w:fldCharType="separate"/>
      </w:r>
      <w:r w:rsidR="00A11434">
        <w:rPr>
          <w:noProof/>
          <w:color w:val="auto"/>
          <w:sz w:val="20"/>
        </w:rPr>
        <w:t>3</w:t>
      </w:r>
      <w:r w:rsidRPr="00702BFD">
        <w:rPr>
          <w:color w:val="auto"/>
          <w:sz w:val="20"/>
        </w:rPr>
        <w:fldChar w:fldCharType="end"/>
      </w:r>
      <w:r w:rsidRPr="00702BFD">
        <w:rPr>
          <w:color w:val="auto"/>
          <w:sz w:val="20"/>
        </w:rPr>
        <w:t xml:space="preserve"> - Comparaison des </w:t>
      </w:r>
      <w:r>
        <w:rPr>
          <w:color w:val="auto"/>
          <w:sz w:val="20"/>
        </w:rPr>
        <w:t>fréquences propres</w:t>
      </w:r>
      <w:r w:rsidR="002E5037">
        <w:rPr>
          <w:color w:val="auto"/>
          <w:sz w:val="20"/>
        </w:rPr>
        <w:t xml:space="preserve"> nominales et expérimentales</w:t>
      </w:r>
    </w:p>
    <w:p w:rsidR="006E6EBE" w:rsidRDefault="00C128EE" w:rsidP="00896DFB">
      <w:pPr>
        <w:pStyle w:val="Titredeniveau1"/>
        <w:rPr>
          <w:b w:val="0"/>
        </w:rPr>
      </w:pPr>
      <w:r w:rsidRPr="00C128EE">
        <w:rPr>
          <w:b w:val="0"/>
        </w:rPr>
        <w:t xml:space="preserve">Ces </w:t>
      </w:r>
      <w:r w:rsidR="001A62F1">
        <w:rPr>
          <w:b w:val="0"/>
        </w:rPr>
        <w:t>différences importantes entre modèle nominal et mesures</w:t>
      </w:r>
      <w:r>
        <w:rPr>
          <w:b w:val="0"/>
        </w:rPr>
        <w:t xml:space="preserve"> </w:t>
      </w:r>
      <w:r w:rsidR="005A332E">
        <w:rPr>
          <w:b w:val="0"/>
        </w:rPr>
        <w:t>s’expliquent par un taux de porosité élevé dans la structure étudiée</w:t>
      </w:r>
      <w:r w:rsidR="006E6EBE">
        <w:rPr>
          <w:b w:val="0"/>
        </w:rPr>
        <w:t>. Une mesure par pycnométrie liquide a permis de préciser la masse volumique du matériau. Les valeurs trouvées sont de 4229 kg/m</w:t>
      </w:r>
      <w:r w:rsidR="006E6EBE" w:rsidRPr="006E6EBE">
        <w:rPr>
          <w:b w:val="0"/>
          <w:vertAlign w:val="superscript"/>
        </w:rPr>
        <w:t>3</w:t>
      </w:r>
      <w:r w:rsidR="006E6EBE">
        <w:rPr>
          <w:b w:val="0"/>
        </w:rPr>
        <w:t xml:space="preserve"> et 3978 kg/m</w:t>
      </w:r>
      <w:r w:rsidR="006E6EBE" w:rsidRPr="006E6EBE">
        <w:rPr>
          <w:b w:val="0"/>
          <w:vertAlign w:val="superscript"/>
        </w:rPr>
        <w:t>3</w:t>
      </w:r>
      <w:r w:rsidR="006E6EBE">
        <w:rPr>
          <w:b w:val="0"/>
        </w:rPr>
        <w:t xml:space="preserve"> </w:t>
      </w:r>
      <w:r w:rsidR="00DE1B0B" w:rsidRPr="0012239E">
        <w:rPr>
          <w:b w:val="0"/>
        </w:rPr>
        <w:t xml:space="preserve">respectivement </w:t>
      </w:r>
      <w:r w:rsidR="006E6EBE">
        <w:rPr>
          <w:b w:val="0"/>
        </w:rPr>
        <w:t xml:space="preserve">pour les peaux et les cellules. Bien que la fabrication soit monolithique, les peaux sont donc bien moins affectées par les porosités que les poutres du réseau lattice. La valeur trouvée pour ces dernières correspond à une perte de 10% par rapport à la valeur nominale. Il est à noter que la mesure par pycnométrie liquide ne permet de mesurer que les porosités internes fermées dans le matériau. Un écart sur la forme externe des sections ne peut pas être </w:t>
      </w:r>
      <w:r w:rsidR="00DE1B0B" w:rsidRPr="0012239E">
        <w:rPr>
          <w:b w:val="0"/>
        </w:rPr>
        <w:t xml:space="preserve">pris </w:t>
      </w:r>
      <w:r w:rsidR="006E6EBE">
        <w:rPr>
          <w:b w:val="0"/>
        </w:rPr>
        <w:t xml:space="preserve">en compte </w:t>
      </w:r>
      <w:r w:rsidR="00DE1B0B" w:rsidRPr="0012239E">
        <w:rPr>
          <w:b w:val="0"/>
        </w:rPr>
        <w:t xml:space="preserve">avec ce type de </w:t>
      </w:r>
      <w:r w:rsidR="006E6EBE">
        <w:rPr>
          <w:b w:val="0"/>
        </w:rPr>
        <w:t>mesure.</w:t>
      </w:r>
    </w:p>
    <w:p w:rsidR="006E6EBE" w:rsidRPr="006E6EBE" w:rsidRDefault="006E6EBE" w:rsidP="006E6EBE">
      <w:pPr>
        <w:pStyle w:val="Titredeniveau1"/>
        <w:rPr>
          <w:b w:val="0"/>
        </w:rPr>
      </w:pPr>
      <w:r>
        <w:rPr>
          <w:b w:val="0"/>
        </w:rPr>
        <w:lastRenderedPageBreak/>
        <w:t xml:space="preserve">En complément, des observations par microscopie optique des poutres de la cellule élémentaire ont été </w:t>
      </w:r>
      <w:r w:rsidR="00DE1B0B" w:rsidRPr="0012239E">
        <w:rPr>
          <w:b w:val="0"/>
        </w:rPr>
        <w:t xml:space="preserve">menées </w:t>
      </w:r>
      <w:r w:rsidR="007009F2">
        <w:rPr>
          <w:b w:val="0"/>
        </w:rPr>
        <w:t>sur plusieurs sections de poutres du réseau</w:t>
      </w:r>
      <w:r>
        <w:rPr>
          <w:b w:val="0"/>
        </w:rPr>
        <w:t xml:space="preserve">. La </w:t>
      </w:r>
      <w:r w:rsidR="008D3399" w:rsidRPr="008D3399">
        <w:rPr>
          <w:b w:val="0"/>
        </w:rPr>
        <w:fldChar w:fldCharType="begin"/>
      </w:r>
      <w:r w:rsidR="008D3399" w:rsidRPr="008D3399">
        <w:rPr>
          <w:b w:val="0"/>
        </w:rPr>
        <w:instrText xml:space="preserve"> REF _Ref137732010 \h  \* MERGEFORMAT </w:instrText>
      </w:r>
      <w:r w:rsidR="008D3399" w:rsidRPr="008D3399">
        <w:rPr>
          <w:b w:val="0"/>
        </w:rPr>
      </w:r>
      <w:r w:rsidR="008D3399" w:rsidRPr="008D3399">
        <w:rPr>
          <w:b w:val="0"/>
        </w:rPr>
        <w:fldChar w:fldCharType="separate"/>
      </w:r>
      <w:r w:rsidR="008D3399" w:rsidRPr="008D3399">
        <w:rPr>
          <w:b w:val="0"/>
        </w:rPr>
        <w:t xml:space="preserve">Figure </w:t>
      </w:r>
      <w:r w:rsidR="008D3399" w:rsidRPr="008D3399">
        <w:rPr>
          <w:b w:val="0"/>
          <w:noProof/>
        </w:rPr>
        <w:t>2</w:t>
      </w:r>
      <w:r w:rsidR="008D3399" w:rsidRPr="008D3399">
        <w:rPr>
          <w:b w:val="0"/>
        </w:rPr>
        <w:fldChar w:fldCharType="end"/>
      </w:r>
      <w:r w:rsidR="008D3399" w:rsidRPr="008D3399">
        <w:rPr>
          <w:b w:val="0"/>
        </w:rPr>
        <w:t xml:space="preserve"> </w:t>
      </w:r>
      <w:r w:rsidRPr="008D3399">
        <w:rPr>
          <w:b w:val="0"/>
        </w:rPr>
        <w:t>r</w:t>
      </w:r>
      <w:r>
        <w:rPr>
          <w:b w:val="0"/>
        </w:rPr>
        <w:t xml:space="preserve">eprésente une section de poutre. Les porosités sont clairement visibles, à la fois </w:t>
      </w:r>
      <w:r w:rsidR="008D3399">
        <w:rPr>
          <w:b w:val="0"/>
        </w:rPr>
        <w:t>interne et externe à la pièce.</w:t>
      </w:r>
      <w:r w:rsidR="005C2DC9">
        <w:rPr>
          <w:b w:val="0"/>
        </w:rPr>
        <w:t xml:space="preserve"> En retraitant l’observation effectuée et </w:t>
      </w:r>
      <w:r w:rsidR="00406E78" w:rsidRPr="0012239E">
        <w:rPr>
          <w:b w:val="0"/>
        </w:rPr>
        <w:t xml:space="preserve">en </w:t>
      </w:r>
      <w:r w:rsidR="005C2DC9">
        <w:rPr>
          <w:b w:val="0"/>
        </w:rPr>
        <w:t>la comparant à l’enveloppe extérieure (tracée en rouge sur la figure de droite), un taux de porosité moyen d’environ 26% est établi pour les sections étudiées.</w:t>
      </w:r>
    </w:p>
    <w:p w:rsidR="008D3399" w:rsidRDefault="008D3399" w:rsidP="008D3399">
      <w:pPr>
        <w:pStyle w:val="Titredeniveau1"/>
        <w:keepNext/>
        <w:jc w:val="center"/>
      </w:pPr>
      <w:r>
        <w:rPr>
          <w:noProof/>
          <w:sz w:val="22"/>
        </w:rPr>
        <w:drawing>
          <wp:inline distT="0" distB="0" distL="0" distR="0" wp14:anchorId="62B971A0">
            <wp:extent cx="3700780" cy="16097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0780" cy="1609725"/>
                    </a:xfrm>
                    <a:prstGeom prst="rect">
                      <a:avLst/>
                    </a:prstGeom>
                    <a:noFill/>
                  </pic:spPr>
                </pic:pic>
              </a:graphicData>
            </a:graphic>
          </wp:inline>
        </w:drawing>
      </w:r>
    </w:p>
    <w:p w:rsidR="006E6EBE" w:rsidRPr="00732620" w:rsidRDefault="008D3399" w:rsidP="008D3399">
      <w:pPr>
        <w:pStyle w:val="Lgende"/>
        <w:jc w:val="center"/>
        <w:rPr>
          <w:color w:val="auto"/>
          <w:sz w:val="24"/>
        </w:rPr>
      </w:pPr>
      <w:bookmarkStart w:id="1" w:name="_Ref137732010"/>
      <w:r w:rsidRPr="00732620">
        <w:rPr>
          <w:color w:val="auto"/>
          <w:sz w:val="20"/>
        </w:rPr>
        <w:t xml:space="preserve">Figure </w:t>
      </w:r>
      <w:r w:rsidRPr="00732620">
        <w:rPr>
          <w:color w:val="auto"/>
          <w:sz w:val="20"/>
        </w:rPr>
        <w:fldChar w:fldCharType="begin"/>
      </w:r>
      <w:r w:rsidRPr="00732620">
        <w:rPr>
          <w:color w:val="auto"/>
          <w:sz w:val="20"/>
        </w:rPr>
        <w:instrText xml:space="preserve"> SEQ Figure \* ARABIC </w:instrText>
      </w:r>
      <w:r w:rsidRPr="00732620">
        <w:rPr>
          <w:color w:val="auto"/>
          <w:sz w:val="20"/>
        </w:rPr>
        <w:fldChar w:fldCharType="separate"/>
      </w:r>
      <w:r w:rsidR="006022B4">
        <w:rPr>
          <w:noProof/>
          <w:color w:val="auto"/>
          <w:sz w:val="20"/>
        </w:rPr>
        <w:t>2</w:t>
      </w:r>
      <w:r w:rsidRPr="00732620">
        <w:rPr>
          <w:color w:val="auto"/>
          <w:sz w:val="20"/>
        </w:rPr>
        <w:fldChar w:fldCharType="end"/>
      </w:r>
      <w:bookmarkEnd w:id="1"/>
      <w:r w:rsidRPr="00732620">
        <w:rPr>
          <w:color w:val="auto"/>
          <w:sz w:val="20"/>
        </w:rPr>
        <w:t>- Observation par microscopie optique et retraitement</w:t>
      </w:r>
    </w:p>
    <w:p w:rsidR="00A977A4" w:rsidRPr="00E01D32" w:rsidRDefault="00A977A4" w:rsidP="00D6328D">
      <w:pPr>
        <w:pStyle w:val="Titredeniveau1"/>
        <w:numPr>
          <w:ilvl w:val="1"/>
          <w:numId w:val="4"/>
        </w:numPr>
        <w:ind w:left="0" w:firstLine="0"/>
        <w:rPr>
          <w:sz w:val="22"/>
        </w:rPr>
      </w:pPr>
      <w:r w:rsidRPr="00E01D32">
        <w:rPr>
          <w:sz w:val="22"/>
        </w:rPr>
        <w:t xml:space="preserve">Analyse </w:t>
      </w:r>
      <w:r w:rsidRPr="0012239E">
        <w:rPr>
          <w:sz w:val="22"/>
        </w:rPr>
        <w:t>microtomographique</w:t>
      </w:r>
      <w:r w:rsidR="00E01D32" w:rsidRPr="0012239E">
        <w:rPr>
          <w:sz w:val="22"/>
        </w:rPr>
        <w:t xml:space="preserve"> </w:t>
      </w:r>
      <w:r w:rsidR="00E01D32" w:rsidRPr="00E01D32">
        <w:rPr>
          <w:sz w:val="22"/>
        </w:rPr>
        <w:t xml:space="preserve">et </w:t>
      </w:r>
      <w:r w:rsidR="00E01D32">
        <w:rPr>
          <w:sz w:val="22"/>
        </w:rPr>
        <w:t>jume</w:t>
      </w:r>
      <w:r w:rsidRPr="00E01D32">
        <w:rPr>
          <w:sz w:val="22"/>
        </w:rPr>
        <w:t xml:space="preserve">au géométrique </w:t>
      </w:r>
      <w:r w:rsidR="00E01D32">
        <w:rPr>
          <w:sz w:val="22"/>
        </w:rPr>
        <w:t>de la structure réelle</w:t>
      </w:r>
    </w:p>
    <w:p w:rsidR="007009F2" w:rsidRDefault="007009F2" w:rsidP="007009F2">
      <w:pPr>
        <w:pStyle w:val="Titredeniveau1"/>
        <w:tabs>
          <w:tab w:val="clear" w:pos="567"/>
          <w:tab w:val="left" w:pos="0"/>
        </w:tabs>
        <w:rPr>
          <w:b w:val="0"/>
        </w:rPr>
      </w:pPr>
      <w:r w:rsidRPr="007009F2">
        <w:rPr>
          <w:b w:val="0"/>
        </w:rPr>
        <w:t xml:space="preserve">La </w:t>
      </w:r>
      <w:r>
        <w:rPr>
          <w:b w:val="0"/>
        </w:rPr>
        <w:t xml:space="preserve">structure réelle a également été scannée par un système de </w:t>
      </w:r>
      <w:r w:rsidRPr="0012239E">
        <w:rPr>
          <w:b w:val="0"/>
        </w:rPr>
        <w:t>microtomographie à rayons</w:t>
      </w:r>
      <w:r w:rsidR="00406E78" w:rsidRPr="0012239E">
        <w:rPr>
          <w:b w:val="0"/>
        </w:rPr>
        <w:t xml:space="preserve"> </w:t>
      </w:r>
      <w:r w:rsidRPr="0012239E">
        <w:rPr>
          <w:b w:val="0"/>
        </w:rPr>
        <w:t xml:space="preserve">X </w:t>
      </w:r>
      <w:r w:rsidRPr="007009F2">
        <w:rPr>
          <w:b w:val="0"/>
        </w:rPr>
        <w:t>(RX Solutions</w:t>
      </w:r>
      <w:r>
        <w:rPr>
          <w:b w:val="0"/>
        </w:rPr>
        <w:t xml:space="preserve"> </w:t>
      </w:r>
      <w:r w:rsidRPr="007009F2">
        <w:rPr>
          <w:b w:val="0"/>
        </w:rPr>
        <w:t>EasyTom XL 150kV)</w:t>
      </w:r>
      <w:r>
        <w:rPr>
          <w:b w:val="0"/>
        </w:rPr>
        <w:t xml:space="preserve">. La taille du voxel lors de la reconstruction du modèle 3D est de 25 µm. Les coupes de la reconstruction sont </w:t>
      </w:r>
      <w:r w:rsidRPr="0012239E">
        <w:rPr>
          <w:b w:val="0"/>
        </w:rPr>
        <w:t xml:space="preserve">perpendiculaires </w:t>
      </w:r>
      <w:r w:rsidR="00406E78" w:rsidRPr="0012239E">
        <w:rPr>
          <w:b w:val="0"/>
        </w:rPr>
        <w:t>à</w:t>
      </w:r>
      <w:r w:rsidR="00406E78" w:rsidRPr="00406E78">
        <w:rPr>
          <w:b w:val="0"/>
          <w:color w:val="FF0000"/>
        </w:rPr>
        <w:t xml:space="preserve"> </w:t>
      </w:r>
      <w:r>
        <w:rPr>
          <w:b w:val="0"/>
        </w:rPr>
        <w:t xml:space="preserve">l’axe de fabrication (axe longitudinal de la structure sandwich). Les résultats de la reconstruction confirment la présence de porosité comme observé précédemment, voir </w:t>
      </w:r>
      <w:r w:rsidR="00442209" w:rsidRPr="00442209">
        <w:rPr>
          <w:b w:val="0"/>
        </w:rPr>
        <w:fldChar w:fldCharType="begin"/>
      </w:r>
      <w:r w:rsidR="00442209">
        <w:rPr>
          <w:b w:val="0"/>
        </w:rPr>
        <w:instrText xml:space="preserve"> REF _Ref137733125 \h  \* MERGEFORMAT </w:instrText>
      </w:r>
      <w:r w:rsidR="00442209" w:rsidRPr="00442209">
        <w:rPr>
          <w:b w:val="0"/>
        </w:rPr>
      </w:r>
      <w:r w:rsidR="00442209" w:rsidRPr="00442209">
        <w:rPr>
          <w:b w:val="0"/>
        </w:rPr>
        <w:fldChar w:fldCharType="separate"/>
      </w:r>
      <w:r w:rsidR="00442209" w:rsidRPr="00442209">
        <w:rPr>
          <w:b w:val="0"/>
        </w:rPr>
        <w:t>Figure 3</w:t>
      </w:r>
      <w:r w:rsidR="00442209" w:rsidRPr="00442209">
        <w:rPr>
          <w:b w:val="0"/>
        </w:rPr>
        <w:fldChar w:fldCharType="end"/>
      </w:r>
      <w:r w:rsidR="00442209" w:rsidRPr="00442209">
        <w:rPr>
          <w:b w:val="0"/>
        </w:rPr>
        <w:t xml:space="preserve">. </w:t>
      </w:r>
      <w:r>
        <w:rPr>
          <w:b w:val="0"/>
        </w:rPr>
        <w:t>Cependant, les niveaux de gris obtenus par tomographie ne permettent pas d’estimer directement la présence ou l’absence de matière dans chaque voxel.</w:t>
      </w:r>
    </w:p>
    <w:p w:rsidR="007A75C9" w:rsidRDefault="007009F2" w:rsidP="007009F2">
      <w:pPr>
        <w:pStyle w:val="Titredeniveau1"/>
        <w:tabs>
          <w:tab w:val="clear" w:pos="567"/>
          <w:tab w:val="left" w:pos="0"/>
        </w:tabs>
        <w:rPr>
          <w:b w:val="0"/>
        </w:rPr>
      </w:pPr>
      <w:r>
        <w:rPr>
          <w:b w:val="0"/>
        </w:rPr>
        <w:t>Afin de pouvoir extraire les propriétés géométriques de chaque section, une étape de seuillage est</w:t>
      </w:r>
      <w:r w:rsidR="007A09FF">
        <w:rPr>
          <w:b w:val="0"/>
        </w:rPr>
        <w:t xml:space="preserve"> donc</w:t>
      </w:r>
      <w:r>
        <w:rPr>
          <w:b w:val="0"/>
        </w:rPr>
        <w:t xml:space="preserve"> </w:t>
      </w:r>
      <w:r w:rsidR="007A09FF">
        <w:rPr>
          <w:b w:val="0"/>
        </w:rPr>
        <w:t>nécessaire</w:t>
      </w:r>
      <w:r>
        <w:rPr>
          <w:b w:val="0"/>
        </w:rPr>
        <w:t xml:space="preserve">. Elle </w:t>
      </w:r>
      <w:r w:rsidR="00406E78" w:rsidRPr="0012239E">
        <w:rPr>
          <w:b w:val="0"/>
        </w:rPr>
        <w:t xml:space="preserve">consiste </w:t>
      </w:r>
      <w:r>
        <w:rPr>
          <w:b w:val="0"/>
        </w:rPr>
        <w:t xml:space="preserve">à discriminer dans les niveaux de gris la limite correspondant à la présence ou l’absence de matière dans un voxel. </w:t>
      </w:r>
      <w:r w:rsidR="00442209">
        <w:rPr>
          <w:b w:val="0"/>
        </w:rPr>
        <w:t xml:space="preserve">Le seuillage a été déterminé de manière à obtenir, en moyenne pour toutes les sections, le </w:t>
      </w:r>
      <w:r w:rsidR="00DA054B">
        <w:rPr>
          <w:b w:val="0"/>
        </w:rPr>
        <w:t>taux</w:t>
      </w:r>
      <w:r w:rsidR="00442209">
        <w:rPr>
          <w:b w:val="0"/>
        </w:rPr>
        <w:t xml:space="preserve"> de </w:t>
      </w:r>
      <w:r w:rsidR="00DA054B">
        <w:rPr>
          <w:b w:val="0"/>
        </w:rPr>
        <w:t xml:space="preserve">26% de </w:t>
      </w:r>
      <w:r w:rsidR="00442209">
        <w:rPr>
          <w:b w:val="0"/>
        </w:rPr>
        <w:t>porosité observé en microscopie optique.</w:t>
      </w:r>
    </w:p>
    <w:p w:rsidR="00442209" w:rsidRDefault="00442209" w:rsidP="00442209">
      <w:pPr>
        <w:pStyle w:val="Titredeniveau1"/>
        <w:keepNext/>
        <w:tabs>
          <w:tab w:val="clear" w:pos="567"/>
          <w:tab w:val="left" w:pos="0"/>
        </w:tabs>
        <w:jc w:val="center"/>
      </w:pPr>
      <w:r>
        <w:rPr>
          <w:b w:val="0"/>
          <w:noProof/>
        </w:rPr>
        <w:drawing>
          <wp:inline distT="0" distB="0" distL="0" distR="0" wp14:anchorId="6C296C69">
            <wp:extent cx="3600000" cy="1882791"/>
            <wp:effectExtent l="0" t="0" r="635"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1882791"/>
                    </a:xfrm>
                    <a:prstGeom prst="rect">
                      <a:avLst/>
                    </a:prstGeom>
                    <a:noFill/>
                  </pic:spPr>
                </pic:pic>
              </a:graphicData>
            </a:graphic>
          </wp:inline>
        </w:drawing>
      </w:r>
    </w:p>
    <w:p w:rsidR="00442209" w:rsidRPr="00442209" w:rsidRDefault="00442209" w:rsidP="00442209">
      <w:pPr>
        <w:pStyle w:val="Lgende"/>
        <w:jc w:val="center"/>
        <w:rPr>
          <w:b/>
          <w:color w:val="auto"/>
          <w:sz w:val="20"/>
        </w:rPr>
      </w:pPr>
      <w:bookmarkStart w:id="2" w:name="_Ref137733125"/>
      <w:r w:rsidRPr="00442209">
        <w:rPr>
          <w:color w:val="auto"/>
          <w:sz w:val="20"/>
        </w:rPr>
        <w:t xml:space="preserve">Figure </w:t>
      </w:r>
      <w:r w:rsidRPr="00442209">
        <w:rPr>
          <w:color w:val="auto"/>
          <w:sz w:val="20"/>
        </w:rPr>
        <w:fldChar w:fldCharType="begin"/>
      </w:r>
      <w:r w:rsidRPr="00442209">
        <w:rPr>
          <w:color w:val="auto"/>
          <w:sz w:val="20"/>
        </w:rPr>
        <w:instrText xml:space="preserve"> SEQ Figure \* ARABIC </w:instrText>
      </w:r>
      <w:r w:rsidRPr="00442209">
        <w:rPr>
          <w:color w:val="auto"/>
          <w:sz w:val="20"/>
        </w:rPr>
        <w:fldChar w:fldCharType="separate"/>
      </w:r>
      <w:r w:rsidR="006022B4">
        <w:rPr>
          <w:noProof/>
          <w:color w:val="auto"/>
          <w:sz w:val="20"/>
        </w:rPr>
        <w:t>3</w:t>
      </w:r>
      <w:r w:rsidRPr="00442209">
        <w:rPr>
          <w:color w:val="auto"/>
          <w:sz w:val="20"/>
        </w:rPr>
        <w:fldChar w:fldCharType="end"/>
      </w:r>
      <w:bookmarkEnd w:id="2"/>
      <w:r w:rsidRPr="00442209">
        <w:rPr>
          <w:color w:val="auto"/>
          <w:sz w:val="20"/>
        </w:rPr>
        <w:t xml:space="preserve"> - Analyse par microtomographie RX</w:t>
      </w:r>
      <w:r w:rsidR="001D75B3">
        <w:rPr>
          <w:color w:val="auto"/>
          <w:sz w:val="20"/>
        </w:rPr>
        <w:t xml:space="preserve"> d’une </w:t>
      </w:r>
      <w:r w:rsidR="000D4700">
        <w:rPr>
          <w:color w:val="auto"/>
          <w:sz w:val="20"/>
        </w:rPr>
        <w:t>coupe</w:t>
      </w:r>
      <w:r w:rsidR="001D75B3">
        <w:rPr>
          <w:color w:val="auto"/>
          <w:sz w:val="20"/>
        </w:rPr>
        <w:t xml:space="preserve"> de la structure</w:t>
      </w:r>
      <w:r w:rsidRPr="00442209">
        <w:rPr>
          <w:color w:val="auto"/>
          <w:sz w:val="20"/>
        </w:rPr>
        <w:t>, puis seuillage</w:t>
      </w:r>
      <w:r w:rsidR="001D75B3">
        <w:rPr>
          <w:color w:val="auto"/>
          <w:sz w:val="20"/>
        </w:rPr>
        <w:t xml:space="preserve"> sur une </w:t>
      </w:r>
      <w:r w:rsidR="000D4700">
        <w:rPr>
          <w:color w:val="auto"/>
          <w:sz w:val="20"/>
        </w:rPr>
        <w:t>section de poutre</w:t>
      </w:r>
    </w:p>
    <w:p w:rsidR="007009F2" w:rsidRDefault="00481BB4" w:rsidP="007009F2">
      <w:pPr>
        <w:pStyle w:val="Titredeniveau1"/>
        <w:tabs>
          <w:tab w:val="clear" w:pos="567"/>
          <w:tab w:val="left" w:pos="0"/>
        </w:tabs>
        <w:rPr>
          <w:b w:val="0"/>
        </w:rPr>
      </w:pPr>
      <w:r>
        <w:rPr>
          <w:b w:val="0"/>
        </w:rPr>
        <w:t xml:space="preserve">Une fois le seuillage effectué, </w:t>
      </w:r>
      <w:r w:rsidR="007A09FF">
        <w:rPr>
          <w:b w:val="0"/>
        </w:rPr>
        <w:t xml:space="preserve">l’obtention des propriétés géométriques de chaque section de poutre est possible en calculant l’intersection du volume 3D reconstruit avec la section droite de chaque poutre. La direction normale à la section droite peut être obtenue soit en utilisant la position nominale des nœuds de la cellule DT élémentaire, soit en calculant de manière itérative une approximation </w:t>
      </w:r>
      <w:r w:rsidR="00626273" w:rsidRPr="0012239E">
        <w:rPr>
          <w:b w:val="0"/>
        </w:rPr>
        <w:t xml:space="preserve">par les </w:t>
      </w:r>
      <w:r w:rsidR="007A09FF">
        <w:rPr>
          <w:b w:val="0"/>
        </w:rPr>
        <w:t>moindres carrés des centres de gravité des sections. En pratique, un écart inférieur à 1° a été trouvé entre la direction nominale des poutres et l’interpolation par moindres carrés des données issues de la tomographie.</w:t>
      </w:r>
    </w:p>
    <w:p w:rsidR="00B34C4F" w:rsidRPr="0012239E" w:rsidRDefault="007A09FF" w:rsidP="00B34C4F">
      <w:pPr>
        <w:pStyle w:val="Titredeniveau1"/>
        <w:tabs>
          <w:tab w:val="clear" w:pos="567"/>
          <w:tab w:val="left" w:pos="0"/>
        </w:tabs>
        <w:rPr>
          <w:b w:val="0"/>
        </w:rPr>
      </w:pPr>
      <w:r>
        <w:rPr>
          <w:b w:val="0"/>
        </w:rPr>
        <w:lastRenderedPageBreak/>
        <w:t xml:space="preserve">L’intersection </w:t>
      </w:r>
      <w:r w:rsidR="00B34C4F">
        <w:rPr>
          <w:b w:val="0"/>
        </w:rPr>
        <w:t xml:space="preserve">du plan de section choisie avec chaque voxel </w:t>
      </w:r>
      <m:oMath>
        <m:r>
          <w:rPr>
            <w:rFonts w:ascii="Cambria Math" w:hAnsi="Cambria Math"/>
          </w:rPr>
          <m:t>(i,j,k)</m:t>
        </m:r>
      </m:oMath>
      <w:r w:rsidR="00B34C4F">
        <w:rPr>
          <w:b w:val="0"/>
        </w:rPr>
        <w:t xml:space="preserve"> de la reconstruction est calculée ; la surface intersectée est notée</w:t>
      </w:r>
      <w:r w:rsidR="00B34C4F" w:rsidRPr="00901347">
        <w:rPr>
          <w:b w:val="0"/>
        </w:rPr>
        <w:t xml:space="preserve"> </w:t>
      </w:r>
      <m:oMath>
        <m:sSub>
          <m:sSubPr>
            <m:ctrlPr>
              <w:rPr>
                <w:rFonts w:ascii="Cambria Math" w:hAnsi="Cambria Math"/>
                <w:b w:val="0"/>
                <w:i/>
              </w:rPr>
            </m:ctrlPr>
          </m:sSubPr>
          <m:e>
            <m:r>
              <w:rPr>
                <w:rFonts w:ascii="Cambria Math" w:hAnsi="Cambria Math"/>
              </w:rPr>
              <m:t>A</m:t>
            </m:r>
          </m:e>
          <m:sub>
            <m:r>
              <w:rPr>
                <w:rFonts w:ascii="Cambria Math" w:hAnsi="Cambria Math"/>
              </w:rPr>
              <m:t>ijk</m:t>
            </m:r>
          </m:sub>
        </m:sSub>
      </m:oMath>
      <w:r w:rsidR="00B34C4F" w:rsidRPr="00901347">
        <w:rPr>
          <w:b w:val="0"/>
        </w:rPr>
        <w:t>.</w:t>
      </w:r>
      <w:r w:rsidR="00B34C4F">
        <w:rPr>
          <w:b w:val="0"/>
        </w:rPr>
        <w:t xml:space="preserve"> </w:t>
      </w:r>
      <w:r>
        <w:rPr>
          <w:b w:val="0"/>
        </w:rPr>
        <w:t xml:space="preserve">Il est alors possible d’obtenir l’aire de </w:t>
      </w:r>
      <w:r w:rsidR="00B34C4F">
        <w:rPr>
          <w:b w:val="0"/>
        </w:rPr>
        <w:t>l’intersection entre le plan de coupe et le volume 3D en calculant la somme des surfaces intersectées pour chaque voxel, pondérée par le niveau de gris relatif </w:t>
      </w:r>
      <w:r w:rsidR="00B34C4F" w:rsidRPr="00901347">
        <w:rPr>
          <w:b w:val="0"/>
        </w:rPr>
        <w:t xml:space="preserve">: </w:t>
      </w:r>
      <m:oMath>
        <m:r>
          <w:rPr>
            <w:rFonts w:ascii="Cambria Math" w:hAnsi="Cambria Math"/>
          </w:rPr>
          <m:t>w</m:t>
        </m:r>
        <m:d>
          <m:dPr>
            <m:ctrlPr>
              <w:rPr>
                <w:rFonts w:ascii="Cambria Math" w:hAnsi="Cambria Math"/>
                <w:b w:val="0"/>
                <w:i/>
              </w:rPr>
            </m:ctrlPr>
          </m:dPr>
          <m:e>
            <m:r>
              <w:rPr>
                <w:rFonts w:ascii="Cambria Math" w:hAnsi="Cambria Math"/>
              </w:rPr>
              <m:t>i,j,k</m:t>
            </m:r>
          </m:e>
        </m:d>
        <m:r>
          <w:rPr>
            <w:rFonts w:ascii="Cambria Math" w:hAnsi="Cambria Math"/>
          </w:rPr>
          <m:t>=0</m:t>
        </m:r>
      </m:oMath>
      <w:r w:rsidR="00B34C4F">
        <w:rPr>
          <w:b w:val="0"/>
        </w:rPr>
        <w:t xml:space="preserve"> : pas de matière, </w:t>
      </w:r>
      <m:oMath>
        <m:r>
          <w:rPr>
            <w:rFonts w:ascii="Cambria Math" w:hAnsi="Cambria Math"/>
          </w:rPr>
          <m:t>w</m:t>
        </m:r>
        <m:d>
          <m:dPr>
            <m:ctrlPr>
              <w:rPr>
                <w:rFonts w:ascii="Cambria Math" w:hAnsi="Cambria Math"/>
                <w:b w:val="0"/>
                <w:i/>
              </w:rPr>
            </m:ctrlPr>
          </m:dPr>
          <m:e>
            <m:r>
              <w:rPr>
                <w:rFonts w:ascii="Cambria Math" w:hAnsi="Cambria Math"/>
              </w:rPr>
              <m:t>i,j,k</m:t>
            </m:r>
          </m:e>
        </m:d>
        <m:r>
          <w:rPr>
            <w:rFonts w:ascii="Cambria Math" w:hAnsi="Cambria Math"/>
          </w:rPr>
          <m:t>=1</m:t>
        </m:r>
      </m:oMath>
      <w:r w:rsidR="00B34C4F" w:rsidRPr="00901347">
        <w:rPr>
          <w:b w:val="0"/>
        </w:rPr>
        <w:t> :</w:t>
      </w:r>
      <w:r w:rsidR="00B34C4F">
        <w:rPr>
          <w:b w:val="0"/>
        </w:rPr>
        <w:t xml:space="preserve"> matière. La surface intersectée est </w:t>
      </w:r>
      <w:r w:rsidR="00B34C4F" w:rsidRPr="0012239E">
        <w:rPr>
          <w:b w:val="0"/>
        </w:rPr>
        <w:t xml:space="preserve">donc </w:t>
      </w:r>
      <w:r w:rsidR="008F618D" w:rsidRPr="0012239E">
        <w:rPr>
          <w:b w:val="0"/>
        </w:rPr>
        <w:t xml:space="preserve">calculée </w:t>
      </w:r>
      <w:r w:rsidR="00B34C4F" w:rsidRPr="0012239E">
        <w:rPr>
          <w:b w:val="0"/>
        </w:rPr>
        <w:t>comme </w:t>
      </w:r>
      <w:r w:rsidR="008F618D" w:rsidRPr="0012239E">
        <w:rPr>
          <w:b w:val="0"/>
        </w:rPr>
        <w:t xml:space="preserve">suit </w:t>
      </w:r>
      <w:r w:rsidR="00B34C4F" w:rsidRPr="0012239E">
        <w:rPr>
          <w:b w:val="0"/>
        </w:rPr>
        <w:t>:</w:t>
      </w:r>
    </w:p>
    <w:p w:rsidR="007A09FF" w:rsidRPr="00901347" w:rsidRDefault="00901347" w:rsidP="007009F2">
      <w:pPr>
        <w:pStyle w:val="Titredeniveau1"/>
        <w:tabs>
          <w:tab w:val="clear" w:pos="567"/>
          <w:tab w:val="left" w:pos="0"/>
        </w:tabs>
        <w:rPr>
          <w:b w:val="0"/>
        </w:rPr>
      </w:pPr>
      <m:oMathPara>
        <m:oMath>
          <m:r>
            <w:rPr>
              <w:rFonts w:ascii="Cambria Math" w:hAnsi="Cambria Math"/>
            </w:rPr>
            <m:t>A</m:t>
          </m:r>
          <m:d>
            <m:dPr>
              <m:ctrlPr>
                <w:rPr>
                  <w:rFonts w:ascii="Cambria Math" w:hAnsi="Cambria Math"/>
                  <w:b w:val="0"/>
                  <w:i/>
                </w:rPr>
              </m:ctrlPr>
            </m:dPr>
            <m:e>
              <m:r>
                <w:rPr>
                  <w:rFonts w:ascii="Cambria Math" w:hAnsi="Cambria Math"/>
                </w:rPr>
                <m:t>λ</m:t>
              </m:r>
            </m:e>
          </m:d>
          <m:r>
            <w:rPr>
              <w:rFonts w:ascii="Cambria Math" w:hAnsi="Cambria Math"/>
            </w:rPr>
            <m:t>=</m:t>
          </m:r>
          <m:nary>
            <m:naryPr>
              <m:chr m:val="∑"/>
              <m:limLoc m:val="undOvr"/>
              <m:supHide m:val="1"/>
              <m:ctrlPr>
                <w:rPr>
                  <w:rFonts w:ascii="Cambria Math" w:hAnsi="Cambria Math"/>
                  <w:b w:val="0"/>
                  <w:i/>
                </w:rPr>
              </m:ctrlPr>
            </m:naryPr>
            <m:sub>
              <m:r>
                <m:rPr>
                  <m:nor/>
                </m:rPr>
                <w:rPr>
                  <w:rFonts w:ascii="Cambria Math" w:hAnsi="Cambria Math"/>
                  <w:b w:val="0"/>
                </w:rPr>
                <m:t>voxels</m:t>
              </m:r>
              <m:r>
                <w:rPr>
                  <w:rFonts w:ascii="Cambria Math" w:hAnsi="Cambria Math"/>
                </w:rPr>
                <m:t xml:space="preserve"> (i,j,k)</m:t>
              </m:r>
            </m:sub>
            <m:sup/>
            <m:e>
              <m:r>
                <w:rPr>
                  <w:rFonts w:ascii="Cambria Math" w:hAnsi="Cambria Math"/>
                </w:rPr>
                <m:t>w</m:t>
              </m:r>
              <m:d>
                <m:dPr>
                  <m:ctrlPr>
                    <w:rPr>
                      <w:rFonts w:ascii="Cambria Math" w:hAnsi="Cambria Math"/>
                      <w:b w:val="0"/>
                      <w:i/>
                    </w:rPr>
                  </m:ctrlPr>
                </m:dPr>
                <m:e>
                  <m:r>
                    <w:rPr>
                      <w:rFonts w:ascii="Cambria Math" w:hAnsi="Cambria Math"/>
                    </w:rPr>
                    <m:t>i,j,k</m:t>
                  </m:r>
                </m:e>
              </m:d>
              <m:sSub>
                <m:sSubPr>
                  <m:ctrlPr>
                    <w:rPr>
                      <w:rFonts w:ascii="Cambria Math" w:hAnsi="Cambria Math"/>
                      <w:b w:val="0"/>
                      <w:i/>
                    </w:rPr>
                  </m:ctrlPr>
                </m:sSubPr>
                <m:e>
                  <m:r>
                    <w:rPr>
                      <w:rFonts w:ascii="Cambria Math" w:hAnsi="Cambria Math"/>
                    </w:rPr>
                    <m:t xml:space="preserve"> A</m:t>
                  </m:r>
                </m:e>
                <m:sub>
                  <m:r>
                    <w:rPr>
                      <w:rFonts w:ascii="Cambria Math" w:hAnsi="Cambria Math"/>
                    </w:rPr>
                    <m:t>ijk</m:t>
                  </m:r>
                </m:sub>
              </m:sSub>
            </m:e>
          </m:nary>
        </m:oMath>
      </m:oMathPara>
    </w:p>
    <w:p w:rsidR="00B34C4F" w:rsidRDefault="00B34C4F" w:rsidP="007009F2">
      <w:pPr>
        <w:pStyle w:val="Titredeniveau1"/>
        <w:tabs>
          <w:tab w:val="clear" w:pos="567"/>
          <w:tab w:val="left" w:pos="0"/>
        </w:tabs>
        <w:rPr>
          <w:b w:val="0"/>
        </w:rPr>
      </w:pPr>
      <w:r>
        <w:rPr>
          <w:b w:val="0"/>
        </w:rPr>
        <w:t xml:space="preserve">Il est également possible d’obtenir le centre de gravité de l’intersection de chaque voxel, noté </w:t>
      </w:r>
      <m:oMath>
        <m:sSub>
          <m:sSubPr>
            <m:ctrlPr>
              <w:rPr>
                <w:rFonts w:ascii="Cambria Math" w:hAnsi="Cambria Math"/>
                <w:b w:val="0"/>
                <w:i/>
              </w:rPr>
            </m:ctrlPr>
          </m:sSubPr>
          <m:e>
            <m:r>
              <w:rPr>
                <w:rFonts w:ascii="Cambria Math" w:hAnsi="Cambria Math"/>
              </w:rPr>
              <m:t>G</m:t>
            </m:r>
          </m:e>
          <m:sub>
            <m:r>
              <w:rPr>
                <w:rFonts w:ascii="Cambria Math" w:hAnsi="Cambria Math"/>
              </w:rPr>
              <m:t>ijk</m:t>
            </m:r>
          </m:sub>
        </m:sSub>
      </m:oMath>
      <w:r>
        <w:rPr>
          <w:b w:val="0"/>
        </w:rPr>
        <w:t>, et par suite le centre de gravité de l’intersection entre le plan de coupe et le volume 3D reconstruit :</w:t>
      </w:r>
    </w:p>
    <w:p w:rsidR="00B34C4F" w:rsidRPr="00901347" w:rsidRDefault="00D02633" w:rsidP="007009F2">
      <w:pPr>
        <w:pStyle w:val="Titredeniveau1"/>
        <w:tabs>
          <w:tab w:val="clear" w:pos="567"/>
          <w:tab w:val="left" w:pos="0"/>
        </w:tabs>
        <w:rPr>
          <w:b w:val="0"/>
        </w:rPr>
      </w:pPr>
      <m:oMathPara>
        <m:oMath>
          <m:acc>
            <m:accPr>
              <m:chr m:val="⃗"/>
              <m:ctrlPr>
                <w:rPr>
                  <w:rFonts w:ascii="Cambria Math" w:hAnsi="Cambria Math"/>
                  <w:b w:val="0"/>
                  <w:i/>
                </w:rPr>
              </m:ctrlPr>
            </m:accPr>
            <m:e>
              <m:r>
                <w:rPr>
                  <w:rFonts w:ascii="Cambria Math" w:hAnsi="Cambria Math"/>
                </w:rPr>
                <m:t>OG</m:t>
              </m:r>
            </m:e>
          </m:acc>
          <m:d>
            <m:dPr>
              <m:ctrlPr>
                <w:rPr>
                  <w:rFonts w:ascii="Cambria Math" w:hAnsi="Cambria Math"/>
                  <w:b w:val="0"/>
                  <w:i/>
                </w:rPr>
              </m:ctrlPr>
            </m:dPr>
            <m:e>
              <m:r>
                <w:rPr>
                  <w:rFonts w:ascii="Cambria Math" w:hAnsi="Cambria Math"/>
                </w:rPr>
                <m:t>λ</m:t>
              </m:r>
            </m:e>
          </m:d>
          <m:r>
            <w:rPr>
              <w:rFonts w:ascii="Cambria Math" w:hAnsi="Cambria Math"/>
            </w:rPr>
            <m:t>=</m:t>
          </m:r>
          <m:f>
            <m:fPr>
              <m:ctrlPr>
                <w:rPr>
                  <w:rFonts w:ascii="Cambria Math" w:hAnsi="Cambria Math"/>
                  <w:b w:val="0"/>
                  <w:i/>
                </w:rPr>
              </m:ctrlPr>
            </m:fPr>
            <m:num>
              <m:nary>
                <m:naryPr>
                  <m:chr m:val="∑"/>
                  <m:limLoc m:val="undOvr"/>
                  <m:supHide m:val="1"/>
                  <m:ctrlPr>
                    <w:rPr>
                      <w:rFonts w:ascii="Cambria Math" w:hAnsi="Cambria Math"/>
                      <w:b w:val="0"/>
                      <w:i/>
                    </w:rPr>
                  </m:ctrlPr>
                </m:naryPr>
                <m:sub>
                  <m:r>
                    <w:rPr>
                      <w:rFonts w:ascii="Cambria Math" w:hAnsi="Cambria Math"/>
                    </w:rPr>
                    <m:t>voxels (i,j,k)</m:t>
                  </m:r>
                </m:sub>
                <m:sup/>
                <m:e>
                  <m:d>
                    <m:dPr>
                      <m:ctrlPr>
                        <w:rPr>
                          <w:rFonts w:ascii="Cambria Math" w:hAnsi="Cambria Math"/>
                          <w:b w:val="0"/>
                          <w:i/>
                        </w:rPr>
                      </m:ctrlPr>
                    </m:dPr>
                    <m:e>
                      <m:r>
                        <w:rPr>
                          <w:rFonts w:ascii="Cambria Math" w:hAnsi="Cambria Math"/>
                        </w:rPr>
                        <m:t>w</m:t>
                      </m:r>
                      <m:d>
                        <m:dPr>
                          <m:ctrlPr>
                            <w:rPr>
                              <w:rFonts w:ascii="Cambria Math" w:hAnsi="Cambria Math"/>
                              <w:b w:val="0"/>
                              <w:i/>
                            </w:rPr>
                          </m:ctrlPr>
                        </m:dPr>
                        <m:e>
                          <m:r>
                            <w:rPr>
                              <w:rFonts w:ascii="Cambria Math" w:hAnsi="Cambria Math"/>
                            </w:rPr>
                            <m:t>i,j,k</m:t>
                          </m:r>
                        </m:e>
                      </m:d>
                      <m:sSub>
                        <m:sSubPr>
                          <m:ctrlPr>
                            <w:rPr>
                              <w:rFonts w:ascii="Cambria Math" w:hAnsi="Cambria Math"/>
                              <w:b w:val="0"/>
                              <w:i/>
                            </w:rPr>
                          </m:ctrlPr>
                        </m:sSubPr>
                        <m:e>
                          <m:sSub>
                            <m:sSubPr>
                              <m:ctrlPr>
                                <w:rPr>
                                  <w:rFonts w:ascii="Cambria Math" w:hAnsi="Cambria Math"/>
                                  <w:b w:val="0"/>
                                  <w:i/>
                                </w:rPr>
                              </m:ctrlPr>
                            </m:sSubPr>
                            <m:e>
                              <m:r>
                                <w:rPr>
                                  <w:rFonts w:ascii="Cambria Math" w:hAnsi="Cambria Math"/>
                                </w:rPr>
                                <m:t xml:space="preserve"> A</m:t>
                              </m:r>
                            </m:e>
                            <m:sub>
                              <m:r>
                                <w:rPr>
                                  <w:rFonts w:ascii="Cambria Math" w:hAnsi="Cambria Math"/>
                                </w:rPr>
                                <m:t>ijk</m:t>
                              </m:r>
                            </m:sub>
                          </m:sSub>
                          <m:r>
                            <w:rPr>
                              <w:rFonts w:ascii="Cambria Math" w:hAnsi="Cambria Math"/>
                            </w:rPr>
                            <m:t xml:space="preserve"> </m:t>
                          </m:r>
                          <m:acc>
                            <m:accPr>
                              <m:chr m:val="⃗"/>
                              <m:ctrlPr>
                                <w:rPr>
                                  <w:rFonts w:ascii="Cambria Math" w:hAnsi="Cambria Math"/>
                                  <w:b w:val="0"/>
                                  <w:i/>
                                </w:rPr>
                              </m:ctrlPr>
                            </m:accPr>
                            <m:e>
                              <m:r>
                                <w:rPr>
                                  <w:rFonts w:ascii="Cambria Math" w:hAnsi="Cambria Math"/>
                                </w:rPr>
                                <m:t>OG</m:t>
                              </m:r>
                            </m:e>
                          </m:acc>
                        </m:e>
                        <m:sub>
                          <m:r>
                            <w:rPr>
                              <w:rFonts w:ascii="Cambria Math" w:hAnsi="Cambria Math"/>
                            </w:rPr>
                            <m:t>ijk</m:t>
                          </m:r>
                        </m:sub>
                      </m:sSub>
                    </m:e>
                  </m:d>
                </m:e>
              </m:nary>
            </m:num>
            <m:den>
              <m:nary>
                <m:naryPr>
                  <m:chr m:val="∑"/>
                  <m:limLoc m:val="undOvr"/>
                  <m:supHide m:val="1"/>
                  <m:ctrlPr>
                    <w:rPr>
                      <w:rFonts w:ascii="Cambria Math" w:hAnsi="Cambria Math"/>
                      <w:b w:val="0"/>
                      <w:i/>
                    </w:rPr>
                  </m:ctrlPr>
                </m:naryPr>
                <m:sub>
                  <m:r>
                    <m:rPr>
                      <m:nor/>
                    </m:rPr>
                    <w:rPr>
                      <w:rFonts w:ascii="Cambria Math" w:hAnsi="Cambria Math"/>
                      <w:b w:val="0"/>
                    </w:rPr>
                    <m:t>voxels</m:t>
                  </m:r>
                  <m:r>
                    <w:rPr>
                      <w:rFonts w:ascii="Cambria Math" w:hAnsi="Cambria Math"/>
                    </w:rPr>
                    <m:t xml:space="preserve"> (i,j,k)</m:t>
                  </m:r>
                </m:sub>
                <m:sup/>
                <m:e>
                  <m:d>
                    <m:dPr>
                      <m:ctrlPr>
                        <w:rPr>
                          <w:rFonts w:ascii="Cambria Math" w:hAnsi="Cambria Math"/>
                          <w:b w:val="0"/>
                          <w:i/>
                        </w:rPr>
                      </m:ctrlPr>
                    </m:dPr>
                    <m:e>
                      <m:r>
                        <w:rPr>
                          <w:rFonts w:ascii="Cambria Math" w:hAnsi="Cambria Math"/>
                        </w:rPr>
                        <m:t>w</m:t>
                      </m:r>
                      <m:d>
                        <m:dPr>
                          <m:ctrlPr>
                            <w:rPr>
                              <w:rFonts w:ascii="Cambria Math" w:hAnsi="Cambria Math"/>
                              <w:b w:val="0"/>
                              <w:i/>
                            </w:rPr>
                          </m:ctrlPr>
                        </m:dPr>
                        <m:e>
                          <m:r>
                            <w:rPr>
                              <w:rFonts w:ascii="Cambria Math" w:hAnsi="Cambria Math"/>
                            </w:rPr>
                            <m:t>i,j,k</m:t>
                          </m:r>
                        </m:e>
                      </m:d>
                      <m:sSub>
                        <m:sSubPr>
                          <m:ctrlPr>
                            <w:rPr>
                              <w:rFonts w:ascii="Cambria Math" w:hAnsi="Cambria Math"/>
                              <w:b w:val="0"/>
                              <w:i/>
                            </w:rPr>
                          </m:ctrlPr>
                        </m:sSubPr>
                        <m:e>
                          <m:r>
                            <w:rPr>
                              <w:rFonts w:ascii="Cambria Math" w:hAnsi="Cambria Math"/>
                            </w:rPr>
                            <m:t xml:space="preserve"> A</m:t>
                          </m:r>
                        </m:e>
                        <m:sub>
                          <m:r>
                            <w:rPr>
                              <w:rFonts w:ascii="Cambria Math" w:hAnsi="Cambria Math"/>
                            </w:rPr>
                            <m:t>ijk</m:t>
                          </m:r>
                        </m:sub>
                      </m:sSub>
                    </m:e>
                  </m:d>
                </m:e>
              </m:nary>
            </m:den>
          </m:f>
        </m:oMath>
      </m:oMathPara>
    </w:p>
    <w:p w:rsidR="007009F2" w:rsidRDefault="002B018C" w:rsidP="007009F2">
      <w:pPr>
        <w:pStyle w:val="Titredeniveau1"/>
        <w:tabs>
          <w:tab w:val="clear" w:pos="567"/>
          <w:tab w:val="left" w:pos="0"/>
        </w:tabs>
        <w:rPr>
          <w:b w:val="0"/>
        </w:rPr>
      </w:pPr>
      <w:r>
        <w:rPr>
          <w:b w:val="0"/>
        </w:rPr>
        <w:t xml:space="preserve">De manière similaire, il est possible de calculer pour chaque voxel les moments </w:t>
      </w:r>
      <w:r w:rsidR="008F618D" w:rsidRPr="0012239E">
        <w:rPr>
          <w:b w:val="0"/>
        </w:rPr>
        <w:t xml:space="preserve">quadratiques </w:t>
      </w:r>
      <w:r w:rsidRPr="0012239E">
        <w:rPr>
          <w:b w:val="0"/>
        </w:rPr>
        <w:t xml:space="preserve">et </w:t>
      </w:r>
      <w:r w:rsidR="008F618D" w:rsidRPr="0012239E">
        <w:rPr>
          <w:b w:val="0"/>
        </w:rPr>
        <w:t xml:space="preserve">les moments </w:t>
      </w:r>
      <w:r w:rsidRPr="0012239E">
        <w:rPr>
          <w:b w:val="0"/>
        </w:rPr>
        <w:t>produit</w:t>
      </w:r>
      <w:r>
        <w:rPr>
          <w:b w:val="0"/>
        </w:rPr>
        <w:t xml:space="preserve">s de la surface intersectée, et par conséquent l’opérateur d’inertie de la section intersection entre le plan de coupe et les données tomographiques seuillées. Les résultats des surfaces et des moments </w:t>
      </w:r>
      <w:r w:rsidR="008F618D" w:rsidRPr="0012239E">
        <w:rPr>
          <w:b w:val="0"/>
        </w:rPr>
        <w:t xml:space="preserve">quadratiques </w:t>
      </w:r>
      <w:r>
        <w:rPr>
          <w:b w:val="0"/>
        </w:rPr>
        <w:t xml:space="preserve">obtenus sont comparés aux valeurs de la géométrie nominales sur les graphes de la </w:t>
      </w:r>
      <w:r w:rsidR="006022B4">
        <w:rPr>
          <w:b w:val="0"/>
        </w:rPr>
        <w:fldChar w:fldCharType="begin"/>
      </w:r>
      <w:r w:rsidR="006022B4">
        <w:rPr>
          <w:b w:val="0"/>
        </w:rPr>
        <w:instrText xml:space="preserve"> REF _Ref137735754 \h  \* MERGEFORMAT </w:instrText>
      </w:r>
      <w:r w:rsidR="006022B4">
        <w:rPr>
          <w:b w:val="0"/>
        </w:rPr>
      </w:r>
      <w:r w:rsidR="006022B4">
        <w:rPr>
          <w:b w:val="0"/>
        </w:rPr>
        <w:fldChar w:fldCharType="separate"/>
      </w:r>
      <w:r w:rsidR="006022B4" w:rsidRPr="006022B4">
        <w:rPr>
          <w:b w:val="0"/>
        </w:rPr>
        <w:t>Figure 4</w:t>
      </w:r>
      <w:r w:rsidR="006022B4">
        <w:rPr>
          <w:b w:val="0"/>
        </w:rPr>
        <w:fldChar w:fldCharType="end"/>
      </w:r>
      <w:r w:rsidR="006022B4">
        <w:rPr>
          <w:b w:val="0"/>
        </w:rPr>
        <w:t>.</w:t>
      </w:r>
      <w:r w:rsidR="002C616E">
        <w:rPr>
          <w:b w:val="0"/>
        </w:rPr>
        <w:t xml:space="preserve"> Par rapport aux données nominales, l’aire des sections reconstruites est inférieure d’environ 26.2%, tandis que les moments </w:t>
      </w:r>
      <w:r w:rsidR="008F618D" w:rsidRPr="0012239E">
        <w:rPr>
          <w:b w:val="0"/>
        </w:rPr>
        <w:t xml:space="preserve">quadratiques </w:t>
      </w:r>
      <w:r w:rsidR="002C616E">
        <w:rPr>
          <w:b w:val="0"/>
        </w:rPr>
        <w:t>calculés sont inférieurs d’environ 35.7% en moyenne.</w:t>
      </w:r>
    </w:p>
    <w:p w:rsidR="006022B4" w:rsidRDefault="002B018C" w:rsidP="006022B4">
      <w:pPr>
        <w:pStyle w:val="Titredeniveau1"/>
        <w:keepNext/>
        <w:tabs>
          <w:tab w:val="clear" w:pos="567"/>
          <w:tab w:val="left" w:pos="0"/>
        </w:tabs>
        <w:jc w:val="center"/>
      </w:pPr>
      <w:r>
        <w:rPr>
          <w:b w:val="0"/>
          <w:noProof/>
        </w:rPr>
        <w:drawing>
          <wp:inline distT="0" distB="0" distL="0" distR="0" wp14:anchorId="7E6A2BE5">
            <wp:extent cx="5400000" cy="271105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2711052"/>
                    </a:xfrm>
                    <a:prstGeom prst="rect">
                      <a:avLst/>
                    </a:prstGeom>
                    <a:noFill/>
                  </pic:spPr>
                </pic:pic>
              </a:graphicData>
            </a:graphic>
          </wp:inline>
        </w:drawing>
      </w:r>
    </w:p>
    <w:p w:rsidR="002B018C" w:rsidRPr="006022B4" w:rsidRDefault="006022B4" w:rsidP="006022B4">
      <w:pPr>
        <w:pStyle w:val="Lgende"/>
        <w:jc w:val="center"/>
        <w:rPr>
          <w:b/>
          <w:color w:val="auto"/>
          <w:sz w:val="20"/>
        </w:rPr>
      </w:pPr>
      <w:bookmarkStart w:id="3" w:name="_Ref137735754"/>
      <w:r w:rsidRPr="006022B4">
        <w:rPr>
          <w:color w:val="auto"/>
          <w:sz w:val="20"/>
        </w:rPr>
        <w:t xml:space="preserve">Figure </w:t>
      </w:r>
      <w:r w:rsidRPr="006022B4">
        <w:rPr>
          <w:color w:val="auto"/>
          <w:sz w:val="20"/>
        </w:rPr>
        <w:fldChar w:fldCharType="begin"/>
      </w:r>
      <w:r w:rsidRPr="006022B4">
        <w:rPr>
          <w:color w:val="auto"/>
          <w:sz w:val="20"/>
        </w:rPr>
        <w:instrText xml:space="preserve"> SEQ Figure \* ARABIC </w:instrText>
      </w:r>
      <w:r w:rsidRPr="006022B4">
        <w:rPr>
          <w:color w:val="auto"/>
          <w:sz w:val="20"/>
        </w:rPr>
        <w:fldChar w:fldCharType="separate"/>
      </w:r>
      <w:r w:rsidRPr="006022B4">
        <w:rPr>
          <w:noProof/>
          <w:color w:val="auto"/>
          <w:sz w:val="20"/>
        </w:rPr>
        <w:t>4</w:t>
      </w:r>
      <w:r w:rsidRPr="006022B4">
        <w:rPr>
          <w:color w:val="auto"/>
          <w:sz w:val="20"/>
        </w:rPr>
        <w:fldChar w:fldCharType="end"/>
      </w:r>
      <w:bookmarkEnd w:id="3"/>
      <w:r w:rsidRPr="006022B4">
        <w:rPr>
          <w:color w:val="auto"/>
          <w:sz w:val="20"/>
        </w:rPr>
        <w:t xml:space="preserve"> - Propriétés géométriques de section calculées à partir des données tomographiques reconstruites</w:t>
      </w:r>
    </w:p>
    <w:p w:rsidR="002B018C" w:rsidRDefault="002E5037" w:rsidP="007009F2">
      <w:pPr>
        <w:pStyle w:val="Titredeniveau1"/>
        <w:tabs>
          <w:tab w:val="clear" w:pos="567"/>
          <w:tab w:val="left" w:pos="0"/>
        </w:tabs>
        <w:rPr>
          <w:b w:val="0"/>
        </w:rPr>
      </w:pPr>
      <w:r>
        <w:rPr>
          <w:b w:val="0"/>
        </w:rPr>
        <w:t>Le calcul des propriétés géométriques permet de construire un modèle éléments finis avec les données directement issues de la reconstruction tomographique. Les résultats du modèle mis à jour sont donnés dans le</w:t>
      </w:r>
      <w:r w:rsidR="00A11434" w:rsidRPr="00A11434">
        <w:rPr>
          <w:b w:val="0"/>
        </w:rPr>
        <w:t xml:space="preserve">s </w:t>
      </w:r>
      <w:r w:rsidR="00A11434" w:rsidRPr="00A11434">
        <w:rPr>
          <w:b w:val="0"/>
        </w:rPr>
        <w:fldChar w:fldCharType="begin"/>
      </w:r>
      <w:r w:rsidR="00A11434" w:rsidRPr="00A11434">
        <w:rPr>
          <w:b w:val="0"/>
        </w:rPr>
        <w:instrText xml:space="preserve"> REF _Ref137736838 \h </w:instrText>
      </w:r>
      <w:r w:rsidR="00A11434">
        <w:rPr>
          <w:b w:val="0"/>
        </w:rPr>
        <w:instrText xml:space="preserve"> \* MERGEFORMAT </w:instrText>
      </w:r>
      <w:r w:rsidR="00A11434" w:rsidRPr="00A11434">
        <w:rPr>
          <w:b w:val="0"/>
        </w:rPr>
      </w:r>
      <w:r w:rsidR="00A11434" w:rsidRPr="00A11434">
        <w:rPr>
          <w:b w:val="0"/>
        </w:rPr>
        <w:fldChar w:fldCharType="separate"/>
      </w:r>
      <w:r w:rsidR="00A11434" w:rsidRPr="00A11434">
        <w:rPr>
          <w:b w:val="0"/>
        </w:rPr>
        <w:t>Tableau 4</w:t>
      </w:r>
      <w:r w:rsidR="00A11434" w:rsidRPr="00A11434">
        <w:rPr>
          <w:b w:val="0"/>
        </w:rPr>
        <w:fldChar w:fldCharType="end"/>
      </w:r>
      <w:r w:rsidR="00A11434" w:rsidRPr="00A11434">
        <w:rPr>
          <w:b w:val="0"/>
        </w:rPr>
        <w:t xml:space="preserve"> et </w:t>
      </w:r>
      <w:r w:rsidR="00A11434" w:rsidRPr="00A11434">
        <w:rPr>
          <w:b w:val="0"/>
        </w:rPr>
        <w:fldChar w:fldCharType="begin"/>
      </w:r>
      <w:r w:rsidR="00A11434" w:rsidRPr="00A11434">
        <w:rPr>
          <w:b w:val="0"/>
        </w:rPr>
        <w:instrText xml:space="preserve"> REF _Ref137736849 \h </w:instrText>
      </w:r>
      <w:r w:rsidR="00A11434">
        <w:rPr>
          <w:b w:val="0"/>
        </w:rPr>
        <w:instrText xml:space="preserve"> \* MERGEFORMAT </w:instrText>
      </w:r>
      <w:r w:rsidR="00A11434" w:rsidRPr="00A11434">
        <w:rPr>
          <w:b w:val="0"/>
        </w:rPr>
      </w:r>
      <w:r w:rsidR="00A11434" w:rsidRPr="00A11434">
        <w:rPr>
          <w:b w:val="0"/>
        </w:rPr>
        <w:fldChar w:fldCharType="separate"/>
      </w:r>
      <w:r w:rsidR="00A11434" w:rsidRPr="00A11434">
        <w:rPr>
          <w:b w:val="0"/>
        </w:rPr>
        <w:t>Tableau 5</w:t>
      </w:r>
      <w:r w:rsidR="00A11434" w:rsidRPr="00A11434">
        <w:rPr>
          <w:b w:val="0"/>
        </w:rPr>
        <w:fldChar w:fldCharType="end"/>
      </w:r>
      <w:r w:rsidR="00A11434" w:rsidRPr="00A11434">
        <w:rPr>
          <w:b w:val="0"/>
        </w:rPr>
        <w:t>.</w:t>
      </w:r>
      <w:r w:rsidR="00691205">
        <w:rPr>
          <w:b w:val="0"/>
        </w:rPr>
        <w:t xml:space="preserve"> </w:t>
      </w:r>
      <w:r w:rsidR="00691205" w:rsidRPr="0012239E">
        <w:rPr>
          <w:b w:val="0"/>
        </w:rPr>
        <w:t>L</w:t>
      </w:r>
      <w:r w:rsidR="00BA7EAD" w:rsidRPr="0012239E">
        <w:rPr>
          <w:b w:val="0"/>
        </w:rPr>
        <w:t xml:space="preserve">es </w:t>
      </w:r>
      <w:r w:rsidR="00691205" w:rsidRPr="0012239E">
        <w:rPr>
          <w:b w:val="0"/>
        </w:rPr>
        <w:t>écart</w:t>
      </w:r>
      <w:r w:rsidR="00BA7EAD" w:rsidRPr="0012239E">
        <w:rPr>
          <w:b w:val="0"/>
        </w:rPr>
        <w:t>s</w:t>
      </w:r>
      <w:r w:rsidR="00691205" w:rsidRPr="0012239E">
        <w:rPr>
          <w:b w:val="0"/>
        </w:rPr>
        <w:t xml:space="preserve"> sur la raideur </w:t>
      </w:r>
      <w:r w:rsidR="00691205">
        <w:rPr>
          <w:b w:val="0"/>
        </w:rPr>
        <w:t xml:space="preserve">statique et sur les fréquences propres ont été considérablement </w:t>
      </w:r>
      <w:r w:rsidR="00691205" w:rsidRPr="0012239E">
        <w:rPr>
          <w:b w:val="0"/>
        </w:rPr>
        <w:t>réduit</w:t>
      </w:r>
      <w:r w:rsidR="00BA7EAD" w:rsidRPr="0012239E">
        <w:rPr>
          <w:b w:val="0"/>
        </w:rPr>
        <w:t>s</w:t>
      </w:r>
      <w:r w:rsidR="00CB7B35" w:rsidRPr="0012239E">
        <w:rPr>
          <w:b w:val="0"/>
        </w:rPr>
        <w:t xml:space="preserve"> </w:t>
      </w:r>
      <w:r w:rsidR="00CB7B35">
        <w:rPr>
          <w:b w:val="0"/>
        </w:rPr>
        <w:t>par la prise en compte de la distribution réelle de matière sur la pièce étudiée.</w:t>
      </w:r>
    </w:p>
    <w:p w:rsidR="007916C4" w:rsidRDefault="007916C4" w:rsidP="007009F2">
      <w:pPr>
        <w:pStyle w:val="Titredeniveau1"/>
        <w:tabs>
          <w:tab w:val="clear" w:pos="567"/>
          <w:tab w:val="left" w:pos="0"/>
        </w:tabs>
        <w:rPr>
          <w:b w:val="0"/>
          <w:highlight w:val="yellow"/>
        </w:rPr>
      </w:pPr>
      <w:bookmarkStart w:id="4" w:name="_GoBack"/>
      <w:bookmarkEnd w:id="4"/>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5"/>
        <w:gridCol w:w="1876"/>
        <w:gridCol w:w="1063"/>
        <w:gridCol w:w="2432"/>
        <w:gridCol w:w="966"/>
      </w:tblGrid>
      <w:tr w:rsidR="00B6150D" w:rsidRPr="008C11B0" w:rsidTr="00B6150D">
        <w:trPr>
          <w:jc w:val="center"/>
        </w:trPr>
        <w:tc>
          <w:tcPr>
            <w:tcW w:w="1455" w:type="dxa"/>
          </w:tcPr>
          <w:p w:rsidR="00B6150D" w:rsidRPr="00702BFD" w:rsidRDefault="00B6150D" w:rsidP="00B6150D">
            <w:pPr>
              <w:pStyle w:val="Resume"/>
              <w:jc w:val="center"/>
              <w:rPr>
                <w:rFonts w:ascii="Times New Roman" w:hAnsi="Times New Roman"/>
                <w:szCs w:val="18"/>
              </w:rPr>
            </w:pPr>
            <w:r>
              <w:rPr>
                <w:rFonts w:ascii="Times New Roman" w:hAnsi="Times New Roman"/>
                <w:szCs w:val="18"/>
              </w:rPr>
              <w:lastRenderedPageBreak/>
              <w:t>Raideur mesurée [N/mm]</w:t>
            </w:r>
          </w:p>
        </w:tc>
        <w:tc>
          <w:tcPr>
            <w:tcW w:w="1876" w:type="dxa"/>
          </w:tcPr>
          <w:p w:rsidR="00B6150D" w:rsidRPr="00702BFD" w:rsidRDefault="00B6150D" w:rsidP="00B6150D">
            <w:pPr>
              <w:pStyle w:val="Resume"/>
              <w:jc w:val="center"/>
              <w:rPr>
                <w:rFonts w:ascii="Times New Roman" w:hAnsi="Times New Roman"/>
                <w:szCs w:val="18"/>
              </w:rPr>
            </w:pPr>
            <w:r>
              <w:rPr>
                <w:rFonts w:ascii="Times New Roman" w:hAnsi="Times New Roman"/>
                <w:szCs w:val="18"/>
              </w:rPr>
              <w:t>Raideur du</w:t>
            </w:r>
            <w:r>
              <w:rPr>
                <w:rFonts w:ascii="Times New Roman" w:hAnsi="Times New Roman"/>
                <w:szCs w:val="18"/>
              </w:rPr>
              <w:br/>
              <w:t>modèle nominal</w:t>
            </w:r>
            <w:r>
              <w:rPr>
                <w:rFonts w:ascii="Times New Roman" w:hAnsi="Times New Roman"/>
                <w:szCs w:val="18"/>
              </w:rPr>
              <w:br/>
              <w:t>[N/mm]</w:t>
            </w:r>
          </w:p>
        </w:tc>
        <w:tc>
          <w:tcPr>
            <w:tcW w:w="1063" w:type="dxa"/>
            <w:vAlign w:val="center"/>
          </w:tcPr>
          <w:p w:rsidR="00B6150D" w:rsidRPr="00330883" w:rsidRDefault="00B6150D" w:rsidP="00B6150D">
            <w:pPr>
              <w:pStyle w:val="Resume"/>
              <w:jc w:val="center"/>
              <w:rPr>
                <w:rFonts w:ascii="Times New Roman" w:hAnsi="Times New Roman"/>
                <w:i/>
                <w:sz w:val="18"/>
                <w:szCs w:val="18"/>
              </w:rPr>
            </w:pPr>
            <w:r w:rsidRPr="00330883">
              <w:rPr>
                <w:rFonts w:ascii="Times New Roman" w:hAnsi="Times New Roman"/>
                <w:i/>
                <w:sz w:val="18"/>
                <w:szCs w:val="18"/>
              </w:rPr>
              <w:t>Ecart relatif</w:t>
            </w:r>
          </w:p>
        </w:tc>
        <w:tc>
          <w:tcPr>
            <w:tcW w:w="2432" w:type="dxa"/>
          </w:tcPr>
          <w:p w:rsidR="00B6150D" w:rsidRPr="00702BFD" w:rsidRDefault="00B6150D" w:rsidP="00B6150D">
            <w:pPr>
              <w:pStyle w:val="Resume"/>
              <w:jc w:val="center"/>
              <w:rPr>
                <w:rFonts w:ascii="Times New Roman" w:hAnsi="Times New Roman"/>
                <w:szCs w:val="18"/>
              </w:rPr>
            </w:pPr>
            <w:r>
              <w:rPr>
                <w:rFonts w:ascii="Times New Roman" w:hAnsi="Times New Roman"/>
                <w:szCs w:val="18"/>
              </w:rPr>
              <w:t>Raideur du</w:t>
            </w:r>
            <w:r>
              <w:rPr>
                <w:rFonts w:ascii="Times New Roman" w:hAnsi="Times New Roman"/>
                <w:szCs w:val="18"/>
              </w:rPr>
              <w:br/>
              <w:t>jumeau géométrique</w:t>
            </w:r>
            <w:r>
              <w:rPr>
                <w:rFonts w:ascii="Times New Roman" w:hAnsi="Times New Roman"/>
                <w:szCs w:val="18"/>
              </w:rPr>
              <w:br/>
              <w:t>[N/mm]</w:t>
            </w:r>
          </w:p>
        </w:tc>
        <w:tc>
          <w:tcPr>
            <w:tcW w:w="966" w:type="dxa"/>
            <w:vAlign w:val="center"/>
          </w:tcPr>
          <w:p w:rsidR="00B6150D" w:rsidRPr="00330883" w:rsidRDefault="00B6150D" w:rsidP="00B6150D">
            <w:pPr>
              <w:pStyle w:val="Resume"/>
              <w:jc w:val="center"/>
              <w:rPr>
                <w:rFonts w:ascii="Times New Roman" w:hAnsi="Times New Roman"/>
                <w:i/>
                <w:sz w:val="18"/>
                <w:szCs w:val="18"/>
              </w:rPr>
            </w:pPr>
            <w:r w:rsidRPr="00330883">
              <w:rPr>
                <w:rFonts w:ascii="Times New Roman" w:hAnsi="Times New Roman"/>
                <w:i/>
                <w:sz w:val="18"/>
                <w:szCs w:val="18"/>
              </w:rPr>
              <w:t>Ecart relatif</w:t>
            </w:r>
          </w:p>
        </w:tc>
      </w:tr>
      <w:tr w:rsidR="00B6150D" w:rsidRPr="008C11B0" w:rsidTr="00B6150D">
        <w:trPr>
          <w:jc w:val="center"/>
        </w:trPr>
        <w:tc>
          <w:tcPr>
            <w:tcW w:w="1455" w:type="dxa"/>
          </w:tcPr>
          <w:p w:rsidR="00B6150D" w:rsidRPr="008C11B0" w:rsidRDefault="00B6150D" w:rsidP="00B6150D">
            <w:pPr>
              <w:pStyle w:val="Resume"/>
              <w:jc w:val="center"/>
              <w:rPr>
                <w:rFonts w:ascii="Times New Roman" w:hAnsi="Times New Roman"/>
                <w:szCs w:val="18"/>
              </w:rPr>
            </w:pPr>
            <w:r>
              <w:rPr>
                <w:rFonts w:ascii="Times New Roman" w:hAnsi="Times New Roman"/>
                <w:szCs w:val="18"/>
              </w:rPr>
              <w:t>34.48</w:t>
            </w:r>
          </w:p>
        </w:tc>
        <w:tc>
          <w:tcPr>
            <w:tcW w:w="1876" w:type="dxa"/>
          </w:tcPr>
          <w:p w:rsidR="00B6150D" w:rsidRPr="008C11B0" w:rsidRDefault="00B6150D" w:rsidP="00B6150D">
            <w:pPr>
              <w:pStyle w:val="Resume"/>
              <w:jc w:val="center"/>
              <w:rPr>
                <w:rFonts w:ascii="Times New Roman" w:hAnsi="Times New Roman"/>
                <w:szCs w:val="18"/>
              </w:rPr>
            </w:pPr>
            <w:r>
              <w:rPr>
                <w:rFonts w:ascii="Times New Roman" w:hAnsi="Times New Roman"/>
                <w:szCs w:val="18"/>
              </w:rPr>
              <w:t>70.42</w:t>
            </w:r>
          </w:p>
        </w:tc>
        <w:tc>
          <w:tcPr>
            <w:tcW w:w="1063" w:type="dxa"/>
          </w:tcPr>
          <w:p w:rsidR="00B6150D" w:rsidRPr="00330883" w:rsidRDefault="00B6150D" w:rsidP="00B6150D">
            <w:pPr>
              <w:pStyle w:val="Resume"/>
              <w:jc w:val="center"/>
              <w:rPr>
                <w:rFonts w:ascii="Times New Roman" w:hAnsi="Times New Roman"/>
                <w:i/>
                <w:sz w:val="18"/>
                <w:szCs w:val="18"/>
              </w:rPr>
            </w:pPr>
            <w:r w:rsidRPr="00330883">
              <w:rPr>
                <w:rFonts w:ascii="Times New Roman" w:hAnsi="Times New Roman"/>
                <w:i/>
                <w:sz w:val="18"/>
                <w:szCs w:val="18"/>
              </w:rPr>
              <w:t>+104.2%</w:t>
            </w:r>
          </w:p>
        </w:tc>
        <w:tc>
          <w:tcPr>
            <w:tcW w:w="2432" w:type="dxa"/>
          </w:tcPr>
          <w:p w:rsidR="00B6150D" w:rsidRDefault="00B6150D" w:rsidP="00B6150D">
            <w:pPr>
              <w:pStyle w:val="Resume"/>
              <w:jc w:val="center"/>
              <w:rPr>
                <w:rFonts w:ascii="Times New Roman" w:hAnsi="Times New Roman"/>
                <w:szCs w:val="18"/>
              </w:rPr>
            </w:pPr>
            <w:r>
              <w:rPr>
                <w:rFonts w:ascii="Times New Roman" w:hAnsi="Times New Roman"/>
                <w:szCs w:val="18"/>
              </w:rPr>
              <w:t>38.17</w:t>
            </w:r>
          </w:p>
        </w:tc>
        <w:tc>
          <w:tcPr>
            <w:tcW w:w="966" w:type="dxa"/>
          </w:tcPr>
          <w:p w:rsidR="00B6150D" w:rsidRPr="00330883" w:rsidRDefault="00B6150D" w:rsidP="00330883">
            <w:pPr>
              <w:pStyle w:val="Resume"/>
              <w:keepNext/>
              <w:jc w:val="center"/>
              <w:rPr>
                <w:rFonts w:ascii="Times New Roman" w:hAnsi="Times New Roman"/>
                <w:i/>
                <w:sz w:val="18"/>
                <w:szCs w:val="18"/>
              </w:rPr>
            </w:pPr>
            <w:r w:rsidRPr="00330883">
              <w:rPr>
                <w:rFonts w:ascii="Times New Roman" w:hAnsi="Times New Roman"/>
                <w:i/>
                <w:sz w:val="18"/>
                <w:szCs w:val="18"/>
              </w:rPr>
              <w:t>+10.7%</w:t>
            </w:r>
          </w:p>
        </w:tc>
      </w:tr>
    </w:tbl>
    <w:p w:rsidR="002E5037" w:rsidRDefault="00330883" w:rsidP="00330883">
      <w:pPr>
        <w:pStyle w:val="Lgende"/>
        <w:jc w:val="center"/>
        <w:rPr>
          <w:color w:val="auto"/>
          <w:sz w:val="20"/>
        </w:rPr>
      </w:pPr>
      <w:bookmarkStart w:id="5" w:name="_Ref137736838"/>
      <w:r w:rsidRPr="00330883">
        <w:rPr>
          <w:color w:val="auto"/>
          <w:sz w:val="20"/>
        </w:rPr>
        <w:t xml:space="preserve">Tableau </w:t>
      </w:r>
      <w:r w:rsidRPr="00330883">
        <w:rPr>
          <w:color w:val="auto"/>
          <w:sz w:val="20"/>
        </w:rPr>
        <w:fldChar w:fldCharType="begin"/>
      </w:r>
      <w:r w:rsidRPr="00330883">
        <w:rPr>
          <w:color w:val="auto"/>
          <w:sz w:val="20"/>
        </w:rPr>
        <w:instrText xml:space="preserve"> SEQ Tableau \* ARABIC </w:instrText>
      </w:r>
      <w:r w:rsidRPr="00330883">
        <w:rPr>
          <w:color w:val="auto"/>
          <w:sz w:val="20"/>
        </w:rPr>
        <w:fldChar w:fldCharType="separate"/>
      </w:r>
      <w:r w:rsidR="00A11434">
        <w:rPr>
          <w:noProof/>
          <w:color w:val="auto"/>
          <w:sz w:val="20"/>
        </w:rPr>
        <w:t>4</w:t>
      </w:r>
      <w:r w:rsidRPr="00330883">
        <w:rPr>
          <w:color w:val="auto"/>
          <w:sz w:val="20"/>
        </w:rPr>
        <w:fldChar w:fldCharType="end"/>
      </w:r>
      <w:bookmarkEnd w:id="5"/>
      <w:r w:rsidRPr="00330883">
        <w:rPr>
          <w:color w:val="auto"/>
          <w:sz w:val="20"/>
        </w:rPr>
        <w:t xml:space="preserve"> - Comparaison des raideurs statiques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1184"/>
        <w:gridCol w:w="1080"/>
        <w:gridCol w:w="1276"/>
        <w:gridCol w:w="803"/>
        <w:gridCol w:w="1216"/>
        <w:gridCol w:w="803"/>
      </w:tblGrid>
      <w:tr w:rsidR="00CA74D1" w:rsidRPr="008C11B0" w:rsidTr="008C1453">
        <w:trPr>
          <w:jc w:val="center"/>
        </w:trPr>
        <w:tc>
          <w:tcPr>
            <w:tcW w:w="708" w:type="dxa"/>
            <w:vAlign w:val="center"/>
          </w:tcPr>
          <w:p w:rsidR="00CA74D1" w:rsidRPr="00702BFD" w:rsidRDefault="00CA74D1" w:rsidP="005A0EAB">
            <w:pPr>
              <w:pStyle w:val="Resume"/>
              <w:jc w:val="center"/>
              <w:rPr>
                <w:rFonts w:ascii="Times New Roman" w:hAnsi="Times New Roman"/>
                <w:szCs w:val="18"/>
              </w:rPr>
            </w:pPr>
            <w:r>
              <w:rPr>
                <w:rFonts w:ascii="Times New Roman" w:hAnsi="Times New Roman"/>
                <w:szCs w:val="18"/>
              </w:rPr>
              <w:t>Mode</w:t>
            </w:r>
          </w:p>
        </w:tc>
        <w:tc>
          <w:tcPr>
            <w:tcW w:w="1184" w:type="dxa"/>
            <w:vAlign w:val="center"/>
          </w:tcPr>
          <w:p w:rsidR="00CA74D1" w:rsidRPr="00702BFD" w:rsidRDefault="00CA74D1" w:rsidP="005A0EAB">
            <w:pPr>
              <w:pStyle w:val="Resume"/>
              <w:jc w:val="center"/>
              <w:rPr>
                <w:rFonts w:ascii="Times New Roman" w:hAnsi="Times New Roman"/>
                <w:szCs w:val="18"/>
              </w:rPr>
            </w:pPr>
            <w:r>
              <w:rPr>
                <w:rFonts w:ascii="Times New Roman" w:hAnsi="Times New Roman"/>
                <w:szCs w:val="18"/>
              </w:rPr>
              <w:t>Description du mode</w:t>
            </w:r>
          </w:p>
        </w:tc>
        <w:tc>
          <w:tcPr>
            <w:tcW w:w="1080" w:type="dxa"/>
          </w:tcPr>
          <w:p w:rsidR="00CA74D1" w:rsidRDefault="00CA74D1" w:rsidP="005A0EAB">
            <w:pPr>
              <w:pStyle w:val="Resume"/>
              <w:jc w:val="center"/>
              <w:rPr>
                <w:rFonts w:ascii="Times New Roman" w:hAnsi="Times New Roman"/>
                <w:szCs w:val="18"/>
              </w:rPr>
            </w:pPr>
            <w:r>
              <w:rPr>
                <w:rFonts w:ascii="Times New Roman" w:hAnsi="Times New Roman"/>
                <w:szCs w:val="18"/>
              </w:rPr>
              <w:t>Fréquence propre mesurée</w:t>
            </w:r>
            <w:r>
              <w:rPr>
                <w:rFonts w:ascii="Times New Roman" w:hAnsi="Times New Roman"/>
                <w:szCs w:val="18"/>
              </w:rPr>
              <w:br/>
              <w:t>[Hz]</w:t>
            </w:r>
          </w:p>
        </w:tc>
        <w:tc>
          <w:tcPr>
            <w:tcW w:w="1276" w:type="dxa"/>
          </w:tcPr>
          <w:p w:rsidR="00CA74D1" w:rsidRPr="00702BFD" w:rsidRDefault="00CA74D1" w:rsidP="005A0EAB">
            <w:pPr>
              <w:pStyle w:val="Resume"/>
              <w:jc w:val="center"/>
              <w:rPr>
                <w:rFonts w:ascii="Times New Roman" w:hAnsi="Times New Roman"/>
                <w:szCs w:val="18"/>
              </w:rPr>
            </w:pPr>
            <w:r>
              <w:rPr>
                <w:rFonts w:ascii="Times New Roman" w:hAnsi="Times New Roman"/>
                <w:szCs w:val="18"/>
              </w:rPr>
              <w:t>Fréquence propre du modèle nominal</w:t>
            </w:r>
            <w:r>
              <w:rPr>
                <w:rFonts w:ascii="Times New Roman" w:hAnsi="Times New Roman"/>
                <w:szCs w:val="18"/>
              </w:rPr>
              <w:br/>
              <w:t>[Hz]</w:t>
            </w:r>
          </w:p>
        </w:tc>
        <w:tc>
          <w:tcPr>
            <w:tcW w:w="803" w:type="dxa"/>
            <w:vAlign w:val="center"/>
          </w:tcPr>
          <w:p w:rsidR="00CA74D1" w:rsidRPr="00330883" w:rsidRDefault="00CA74D1" w:rsidP="005A0EAB">
            <w:pPr>
              <w:pStyle w:val="Resume"/>
              <w:jc w:val="center"/>
              <w:rPr>
                <w:rFonts w:ascii="Times New Roman" w:hAnsi="Times New Roman"/>
                <w:i/>
                <w:sz w:val="18"/>
                <w:szCs w:val="18"/>
              </w:rPr>
            </w:pPr>
            <w:r w:rsidRPr="00330883">
              <w:rPr>
                <w:rFonts w:ascii="Times New Roman" w:hAnsi="Times New Roman"/>
                <w:i/>
                <w:sz w:val="18"/>
                <w:szCs w:val="18"/>
              </w:rPr>
              <w:t>Ecart relatif</w:t>
            </w:r>
          </w:p>
        </w:tc>
        <w:tc>
          <w:tcPr>
            <w:tcW w:w="1216" w:type="dxa"/>
          </w:tcPr>
          <w:p w:rsidR="00CA74D1" w:rsidRPr="00330883" w:rsidRDefault="00CA74D1" w:rsidP="005A0EAB">
            <w:pPr>
              <w:pStyle w:val="Resume"/>
              <w:jc w:val="center"/>
              <w:rPr>
                <w:rFonts w:ascii="Times New Roman" w:hAnsi="Times New Roman"/>
                <w:i/>
                <w:sz w:val="18"/>
                <w:szCs w:val="18"/>
              </w:rPr>
            </w:pPr>
            <w:r>
              <w:rPr>
                <w:rFonts w:ascii="Times New Roman" w:hAnsi="Times New Roman"/>
                <w:szCs w:val="18"/>
              </w:rPr>
              <w:t>Fréquence propre du jumeau géométrique</w:t>
            </w:r>
            <w:r>
              <w:rPr>
                <w:rFonts w:ascii="Times New Roman" w:hAnsi="Times New Roman"/>
                <w:szCs w:val="18"/>
              </w:rPr>
              <w:br/>
              <w:t>[Hz]</w:t>
            </w:r>
          </w:p>
        </w:tc>
        <w:tc>
          <w:tcPr>
            <w:tcW w:w="803" w:type="dxa"/>
            <w:vAlign w:val="center"/>
          </w:tcPr>
          <w:p w:rsidR="00CA74D1" w:rsidRPr="00330883" w:rsidRDefault="00CA74D1" w:rsidP="005A0EAB">
            <w:pPr>
              <w:pStyle w:val="Resume"/>
              <w:jc w:val="center"/>
              <w:rPr>
                <w:rFonts w:ascii="Times New Roman" w:hAnsi="Times New Roman"/>
                <w:i/>
                <w:sz w:val="18"/>
                <w:szCs w:val="18"/>
              </w:rPr>
            </w:pPr>
            <w:r w:rsidRPr="00330883">
              <w:rPr>
                <w:rFonts w:ascii="Times New Roman" w:hAnsi="Times New Roman"/>
                <w:i/>
                <w:sz w:val="18"/>
                <w:szCs w:val="18"/>
              </w:rPr>
              <w:t>Ecart relatif</w:t>
            </w:r>
          </w:p>
        </w:tc>
      </w:tr>
      <w:tr w:rsidR="00CA74D1" w:rsidRPr="008C11B0" w:rsidTr="008C1453">
        <w:trPr>
          <w:jc w:val="center"/>
        </w:trPr>
        <w:tc>
          <w:tcPr>
            <w:tcW w:w="708" w:type="dxa"/>
          </w:tcPr>
          <w:p w:rsidR="00CA74D1" w:rsidRPr="008C11B0" w:rsidRDefault="00CA74D1" w:rsidP="005A0EAB">
            <w:pPr>
              <w:pStyle w:val="Resume"/>
              <w:jc w:val="center"/>
              <w:rPr>
                <w:rFonts w:ascii="Times New Roman" w:hAnsi="Times New Roman"/>
                <w:szCs w:val="18"/>
              </w:rPr>
            </w:pPr>
            <w:r>
              <w:rPr>
                <w:rFonts w:ascii="Times New Roman" w:hAnsi="Times New Roman"/>
                <w:szCs w:val="18"/>
              </w:rPr>
              <w:t>1</w:t>
            </w:r>
          </w:p>
        </w:tc>
        <w:tc>
          <w:tcPr>
            <w:tcW w:w="1184" w:type="dxa"/>
          </w:tcPr>
          <w:p w:rsidR="00CA74D1" w:rsidRPr="008C11B0" w:rsidRDefault="00CA74D1" w:rsidP="005A0EAB">
            <w:pPr>
              <w:pStyle w:val="Resume"/>
              <w:jc w:val="center"/>
              <w:rPr>
                <w:rFonts w:ascii="Times New Roman" w:hAnsi="Times New Roman"/>
                <w:szCs w:val="18"/>
              </w:rPr>
            </w:pPr>
            <w:r>
              <w:rPr>
                <w:rFonts w:ascii="Times New Roman" w:hAnsi="Times New Roman"/>
                <w:szCs w:val="18"/>
              </w:rPr>
              <w:t>Flexion 1</w:t>
            </w:r>
          </w:p>
        </w:tc>
        <w:tc>
          <w:tcPr>
            <w:tcW w:w="1080" w:type="dxa"/>
          </w:tcPr>
          <w:p w:rsidR="00CA74D1" w:rsidRDefault="00CA74D1" w:rsidP="005A0EAB">
            <w:pPr>
              <w:pStyle w:val="Resume"/>
              <w:keepNext/>
              <w:jc w:val="center"/>
              <w:rPr>
                <w:rFonts w:ascii="Times New Roman" w:hAnsi="Times New Roman"/>
                <w:szCs w:val="18"/>
              </w:rPr>
            </w:pPr>
            <w:r>
              <w:rPr>
                <w:rFonts w:ascii="Times New Roman" w:hAnsi="Times New Roman"/>
                <w:szCs w:val="18"/>
              </w:rPr>
              <w:t>265.8</w:t>
            </w:r>
          </w:p>
        </w:tc>
        <w:tc>
          <w:tcPr>
            <w:tcW w:w="1276" w:type="dxa"/>
          </w:tcPr>
          <w:p w:rsidR="00CA74D1" w:rsidRPr="008C11B0" w:rsidRDefault="00CA74D1" w:rsidP="005A0EAB">
            <w:pPr>
              <w:pStyle w:val="Resume"/>
              <w:jc w:val="center"/>
              <w:rPr>
                <w:rFonts w:ascii="Times New Roman" w:hAnsi="Times New Roman"/>
                <w:szCs w:val="18"/>
              </w:rPr>
            </w:pPr>
            <w:r>
              <w:rPr>
                <w:rFonts w:ascii="Times New Roman" w:hAnsi="Times New Roman"/>
                <w:szCs w:val="18"/>
              </w:rPr>
              <w:t>299.5</w:t>
            </w:r>
          </w:p>
        </w:tc>
        <w:tc>
          <w:tcPr>
            <w:tcW w:w="803" w:type="dxa"/>
          </w:tcPr>
          <w:p w:rsidR="00CA74D1" w:rsidRPr="00330883" w:rsidRDefault="00CA74D1" w:rsidP="005A0EAB">
            <w:pPr>
              <w:pStyle w:val="Resume"/>
              <w:keepNext/>
              <w:jc w:val="center"/>
              <w:rPr>
                <w:rFonts w:ascii="Times New Roman" w:hAnsi="Times New Roman"/>
                <w:i/>
                <w:sz w:val="18"/>
                <w:szCs w:val="18"/>
              </w:rPr>
            </w:pPr>
            <w:r w:rsidRPr="00330883">
              <w:rPr>
                <w:rFonts w:ascii="Times New Roman" w:hAnsi="Times New Roman"/>
                <w:i/>
                <w:sz w:val="18"/>
                <w:szCs w:val="18"/>
              </w:rPr>
              <w:t>+12.7%</w:t>
            </w:r>
          </w:p>
        </w:tc>
        <w:tc>
          <w:tcPr>
            <w:tcW w:w="1216" w:type="dxa"/>
          </w:tcPr>
          <w:p w:rsidR="00CA74D1" w:rsidRPr="00CA74D1" w:rsidRDefault="00CA74D1" w:rsidP="005A0EAB">
            <w:pPr>
              <w:pStyle w:val="Resume"/>
              <w:keepNext/>
              <w:jc w:val="center"/>
              <w:rPr>
                <w:rFonts w:ascii="Times New Roman" w:hAnsi="Times New Roman"/>
                <w:sz w:val="18"/>
                <w:szCs w:val="18"/>
              </w:rPr>
            </w:pPr>
            <w:r>
              <w:rPr>
                <w:rFonts w:ascii="Times New Roman" w:hAnsi="Times New Roman"/>
                <w:sz w:val="18"/>
                <w:szCs w:val="18"/>
              </w:rPr>
              <w:t>258.2</w:t>
            </w:r>
          </w:p>
        </w:tc>
        <w:tc>
          <w:tcPr>
            <w:tcW w:w="803" w:type="dxa"/>
          </w:tcPr>
          <w:p w:rsidR="00CA74D1" w:rsidRPr="00330883" w:rsidRDefault="00CA74D1" w:rsidP="005A0EAB">
            <w:pPr>
              <w:pStyle w:val="Resume"/>
              <w:keepNext/>
              <w:jc w:val="center"/>
              <w:rPr>
                <w:rFonts w:ascii="Times New Roman" w:hAnsi="Times New Roman"/>
                <w:i/>
                <w:sz w:val="18"/>
                <w:szCs w:val="18"/>
              </w:rPr>
            </w:pPr>
            <w:r>
              <w:rPr>
                <w:rFonts w:ascii="Times New Roman" w:hAnsi="Times New Roman"/>
                <w:i/>
                <w:sz w:val="18"/>
                <w:szCs w:val="18"/>
              </w:rPr>
              <w:t>-2.9%</w:t>
            </w:r>
          </w:p>
        </w:tc>
      </w:tr>
      <w:tr w:rsidR="00CA74D1" w:rsidRPr="008C11B0" w:rsidTr="008C1453">
        <w:trPr>
          <w:jc w:val="center"/>
        </w:trPr>
        <w:tc>
          <w:tcPr>
            <w:tcW w:w="708" w:type="dxa"/>
          </w:tcPr>
          <w:p w:rsidR="00CA74D1" w:rsidRDefault="00CA74D1" w:rsidP="005A0EAB">
            <w:pPr>
              <w:pStyle w:val="Resume"/>
              <w:jc w:val="center"/>
              <w:rPr>
                <w:rFonts w:ascii="Times New Roman" w:hAnsi="Times New Roman"/>
                <w:szCs w:val="18"/>
              </w:rPr>
            </w:pPr>
            <w:r>
              <w:rPr>
                <w:rFonts w:ascii="Times New Roman" w:hAnsi="Times New Roman"/>
                <w:szCs w:val="18"/>
              </w:rPr>
              <w:t>2</w:t>
            </w:r>
          </w:p>
        </w:tc>
        <w:tc>
          <w:tcPr>
            <w:tcW w:w="1184" w:type="dxa"/>
          </w:tcPr>
          <w:p w:rsidR="00CA74D1" w:rsidRDefault="00CA74D1" w:rsidP="005A0EAB">
            <w:pPr>
              <w:pStyle w:val="Resume"/>
              <w:jc w:val="center"/>
              <w:rPr>
                <w:rFonts w:ascii="Times New Roman" w:hAnsi="Times New Roman"/>
                <w:szCs w:val="18"/>
              </w:rPr>
            </w:pPr>
            <w:r>
              <w:rPr>
                <w:rFonts w:ascii="Times New Roman" w:hAnsi="Times New Roman"/>
                <w:szCs w:val="18"/>
              </w:rPr>
              <w:t>Torsion 1</w:t>
            </w:r>
          </w:p>
        </w:tc>
        <w:tc>
          <w:tcPr>
            <w:tcW w:w="1080" w:type="dxa"/>
          </w:tcPr>
          <w:p w:rsidR="00CA74D1" w:rsidRDefault="00CA74D1" w:rsidP="005A0EAB">
            <w:pPr>
              <w:pStyle w:val="Resume"/>
              <w:keepNext/>
              <w:jc w:val="center"/>
              <w:rPr>
                <w:rFonts w:ascii="Times New Roman" w:hAnsi="Times New Roman"/>
                <w:szCs w:val="18"/>
              </w:rPr>
            </w:pPr>
            <w:r>
              <w:rPr>
                <w:rFonts w:ascii="Times New Roman" w:hAnsi="Times New Roman"/>
                <w:szCs w:val="18"/>
              </w:rPr>
              <w:t>768.1</w:t>
            </w:r>
          </w:p>
        </w:tc>
        <w:tc>
          <w:tcPr>
            <w:tcW w:w="1276" w:type="dxa"/>
          </w:tcPr>
          <w:p w:rsidR="00CA74D1" w:rsidRDefault="00CA74D1" w:rsidP="005A0EAB">
            <w:pPr>
              <w:pStyle w:val="Resume"/>
              <w:jc w:val="center"/>
              <w:rPr>
                <w:rFonts w:ascii="Times New Roman" w:hAnsi="Times New Roman"/>
                <w:szCs w:val="18"/>
              </w:rPr>
            </w:pPr>
            <w:r>
              <w:rPr>
                <w:rFonts w:ascii="Times New Roman" w:hAnsi="Times New Roman"/>
                <w:szCs w:val="18"/>
              </w:rPr>
              <w:t>855.3</w:t>
            </w:r>
          </w:p>
        </w:tc>
        <w:tc>
          <w:tcPr>
            <w:tcW w:w="803" w:type="dxa"/>
          </w:tcPr>
          <w:p w:rsidR="00CA74D1" w:rsidRPr="00330883" w:rsidRDefault="00CA74D1" w:rsidP="005A0EAB">
            <w:pPr>
              <w:pStyle w:val="Resume"/>
              <w:keepNext/>
              <w:jc w:val="center"/>
              <w:rPr>
                <w:rFonts w:ascii="Times New Roman" w:hAnsi="Times New Roman"/>
                <w:i/>
                <w:sz w:val="18"/>
                <w:szCs w:val="18"/>
              </w:rPr>
            </w:pPr>
            <w:r w:rsidRPr="00330883">
              <w:rPr>
                <w:rFonts w:ascii="Times New Roman" w:hAnsi="Times New Roman"/>
                <w:i/>
                <w:sz w:val="18"/>
                <w:szCs w:val="18"/>
              </w:rPr>
              <w:t>+11.4%</w:t>
            </w:r>
          </w:p>
        </w:tc>
        <w:tc>
          <w:tcPr>
            <w:tcW w:w="1216" w:type="dxa"/>
          </w:tcPr>
          <w:p w:rsidR="00CA74D1" w:rsidRPr="00CA74D1" w:rsidRDefault="00CA74D1" w:rsidP="005A0EAB">
            <w:pPr>
              <w:pStyle w:val="Resume"/>
              <w:keepNext/>
              <w:jc w:val="center"/>
              <w:rPr>
                <w:rFonts w:ascii="Times New Roman" w:hAnsi="Times New Roman"/>
                <w:sz w:val="18"/>
                <w:szCs w:val="18"/>
              </w:rPr>
            </w:pPr>
            <w:r>
              <w:rPr>
                <w:rFonts w:ascii="Times New Roman" w:hAnsi="Times New Roman"/>
                <w:sz w:val="18"/>
                <w:szCs w:val="18"/>
              </w:rPr>
              <w:t>794.7</w:t>
            </w:r>
          </w:p>
        </w:tc>
        <w:tc>
          <w:tcPr>
            <w:tcW w:w="803" w:type="dxa"/>
          </w:tcPr>
          <w:p w:rsidR="00CA74D1" w:rsidRPr="00330883" w:rsidRDefault="00CA74D1" w:rsidP="005A0EAB">
            <w:pPr>
              <w:pStyle w:val="Resume"/>
              <w:keepNext/>
              <w:jc w:val="center"/>
              <w:rPr>
                <w:rFonts w:ascii="Times New Roman" w:hAnsi="Times New Roman"/>
                <w:i/>
                <w:sz w:val="18"/>
                <w:szCs w:val="18"/>
              </w:rPr>
            </w:pPr>
            <w:r>
              <w:rPr>
                <w:rFonts w:ascii="Times New Roman" w:hAnsi="Times New Roman"/>
                <w:i/>
                <w:sz w:val="18"/>
                <w:szCs w:val="18"/>
              </w:rPr>
              <w:t>+3.5%</w:t>
            </w:r>
          </w:p>
        </w:tc>
      </w:tr>
      <w:tr w:rsidR="00CA74D1" w:rsidRPr="008C11B0" w:rsidTr="008C1453">
        <w:trPr>
          <w:jc w:val="center"/>
        </w:trPr>
        <w:tc>
          <w:tcPr>
            <w:tcW w:w="708" w:type="dxa"/>
          </w:tcPr>
          <w:p w:rsidR="00CA74D1" w:rsidRDefault="00CA74D1" w:rsidP="005A0EAB">
            <w:pPr>
              <w:pStyle w:val="Resume"/>
              <w:jc w:val="center"/>
              <w:rPr>
                <w:rFonts w:ascii="Times New Roman" w:hAnsi="Times New Roman"/>
                <w:szCs w:val="18"/>
              </w:rPr>
            </w:pPr>
            <w:r>
              <w:rPr>
                <w:rFonts w:ascii="Times New Roman" w:hAnsi="Times New Roman"/>
                <w:szCs w:val="18"/>
              </w:rPr>
              <w:t>3</w:t>
            </w:r>
          </w:p>
        </w:tc>
        <w:tc>
          <w:tcPr>
            <w:tcW w:w="1184" w:type="dxa"/>
          </w:tcPr>
          <w:p w:rsidR="00CA74D1" w:rsidRDefault="00CA74D1" w:rsidP="005A0EAB">
            <w:pPr>
              <w:pStyle w:val="Resume"/>
              <w:jc w:val="center"/>
              <w:rPr>
                <w:rFonts w:ascii="Times New Roman" w:hAnsi="Times New Roman"/>
                <w:szCs w:val="18"/>
              </w:rPr>
            </w:pPr>
            <w:r>
              <w:rPr>
                <w:rFonts w:ascii="Times New Roman" w:hAnsi="Times New Roman"/>
                <w:szCs w:val="18"/>
              </w:rPr>
              <w:t>Flexion 2</w:t>
            </w:r>
          </w:p>
        </w:tc>
        <w:tc>
          <w:tcPr>
            <w:tcW w:w="1080" w:type="dxa"/>
          </w:tcPr>
          <w:p w:rsidR="00CA74D1" w:rsidRDefault="00CA74D1" w:rsidP="005A0EAB">
            <w:pPr>
              <w:pStyle w:val="Resume"/>
              <w:keepNext/>
              <w:jc w:val="center"/>
              <w:rPr>
                <w:rFonts w:ascii="Times New Roman" w:hAnsi="Times New Roman"/>
                <w:szCs w:val="18"/>
              </w:rPr>
            </w:pPr>
            <w:r>
              <w:rPr>
                <w:rFonts w:ascii="Times New Roman" w:hAnsi="Times New Roman"/>
                <w:szCs w:val="18"/>
              </w:rPr>
              <w:t>843.7</w:t>
            </w:r>
          </w:p>
        </w:tc>
        <w:tc>
          <w:tcPr>
            <w:tcW w:w="1276" w:type="dxa"/>
          </w:tcPr>
          <w:p w:rsidR="00CA74D1" w:rsidRDefault="00CA74D1" w:rsidP="005A0EAB">
            <w:pPr>
              <w:pStyle w:val="Resume"/>
              <w:jc w:val="center"/>
              <w:rPr>
                <w:rFonts w:ascii="Times New Roman" w:hAnsi="Times New Roman"/>
                <w:szCs w:val="18"/>
              </w:rPr>
            </w:pPr>
            <w:r>
              <w:rPr>
                <w:rFonts w:ascii="Times New Roman" w:hAnsi="Times New Roman"/>
                <w:szCs w:val="18"/>
              </w:rPr>
              <w:t>925.9</w:t>
            </w:r>
          </w:p>
        </w:tc>
        <w:tc>
          <w:tcPr>
            <w:tcW w:w="803" w:type="dxa"/>
          </w:tcPr>
          <w:p w:rsidR="00CA74D1" w:rsidRPr="00330883" w:rsidRDefault="00CA74D1" w:rsidP="005A0EAB">
            <w:pPr>
              <w:pStyle w:val="Resume"/>
              <w:keepNext/>
              <w:jc w:val="center"/>
              <w:rPr>
                <w:rFonts w:ascii="Times New Roman" w:hAnsi="Times New Roman"/>
                <w:i/>
                <w:sz w:val="18"/>
                <w:szCs w:val="18"/>
              </w:rPr>
            </w:pPr>
            <w:r w:rsidRPr="00330883">
              <w:rPr>
                <w:rFonts w:ascii="Times New Roman" w:hAnsi="Times New Roman"/>
                <w:i/>
                <w:sz w:val="18"/>
                <w:szCs w:val="18"/>
              </w:rPr>
              <w:t>+9.7%</w:t>
            </w:r>
          </w:p>
        </w:tc>
        <w:tc>
          <w:tcPr>
            <w:tcW w:w="1216" w:type="dxa"/>
          </w:tcPr>
          <w:p w:rsidR="00CA74D1" w:rsidRPr="00CA74D1" w:rsidRDefault="00CA74D1" w:rsidP="005A0EAB">
            <w:pPr>
              <w:pStyle w:val="Resume"/>
              <w:keepNext/>
              <w:jc w:val="center"/>
              <w:rPr>
                <w:rFonts w:ascii="Times New Roman" w:hAnsi="Times New Roman"/>
                <w:sz w:val="18"/>
                <w:szCs w:val="18"/>
              </w:rPr>
            </w:pPr>
            <w:r>
              <w:rPr>
                <w:rFonts w:ascii="Times New Roman" w:hAnsi="Times New Roman"/>
                <w:sz w:val="18"/>
                <w:szCs w:val="18"/>
              </w:rPr>
              <w:t>806.6</w:t>
            </w:r>
          </w:p>
        </w:tc>
        <w:tc>
          <w:tcPr>
            <w:tcW w:w="803" w:type="dxa"/>
          </w:tcPr>
          <w:p w:rsidR="00CA74D1" w:rsidRPr="00330883" w:rsidRDefault="00CA74D1" w:rsidP="005A0EAB">
            <w:pPr>
              <w:pStyle w:val="Resume"/>
              <w:keepNext/>
              <w:jc w:val="center"/>
              <w:rPr>
                <w:rFonts w:ascii="Times New Roman" w:hAnsi="Times New Roman"/>
                <w:i/>
                <w:sz w:val="18"/>
                <w:szCs w:val="18"/>
              </w:rPr>
            </w:pPr>
            <w:r>
              <w:rPr>
                <w:rFonts w:ascii="Times New Roman" w:hAnsi="Times New Roman"/>
                <w:i/>
                <w:sz w:val="18"/>
                <w:szCs w:val="18"/>
              </w:rPr>
              <w:t>-4.4%</w:t>
            </w:r>
          </w:p>
        </w:tc>
      </w:tr>
      <w:tr w:rsidR="00CA74D1" w:rsidRPr="008C11B0" w:rsidTr="008C1453">
        <w:trPr>
          <w:jc w:val="center"/>
        </w:trPr>
        <w:tc>
          <w:tcPr>
            <w:tcW w:w="708" w:type="dxa"/>
          </w:tcPr>
          <w:p w:rsidR="00CA74D1" w:rsidRDefault="00CA74D1" w:rsidP="005A0EAB">
            <w:pPr>
              <w:pStyle w:val="Resume"/>
              <w:jc w:val="center"/>
              <w:rPr>
                <w:rFonts w:ascii="Times New Roman" w:hAnsi="Times New Roman"/>
                <w:szCs w:val="18"/>
              </w:rPr>
            </w:pPr>
            <w:r>
              <w:rPr>
                <w:rFonts w:ascii="Times New Roman" w:hAnsi="Times New Roman"/>
                <w:szCs w:val="18"/>
              </w:rPr>
              <w:t>4</w:t>
            </w:r>
          </w:p>
        </w:tc>
        <w:tc>
          <w:tcPr>
            <w:tcW w:w="1184" w:type="dxa"/>
          </w:tcPr>
          <w:p w:rsidR="00CA74D1" w:rsidRDefault="00CA74D1" w:rsidP="005A0EAB">
            <w:pPr>
              <w:pStyle w:val="Resume"/>
              <w:jc w:val="center"/>
              <w:rPr>
                <w:rFonts w:ascii="Times New Roman" w:hAnsi="Times New Roman"/>
                <w:szCs w:val="18"/>
              </w:rPr>
            </w:pPr>
            <w:r>
              <w:rPr>
                <w:rFonts w:ascii="Times New Roman" w:hAnsi="Times New Roman"/>
                <w:szCs w:val="18"/>
              </w:rPr>
              <w:t>Flexion 3</w:t>
            </w:r>
          </w:p>
        </w:tc>
        <w:tc>
          <w:tcPr>
            <w:tcW w:w="1080" w:type="dxa"/>
          </w:tcPr>
          <w:p w:rsidR="00CA74D1" w:rsidRDefault="00CA74D1" w:rsidP="005A0EAB">
            <w:pPr>
              <w:pStyle w:val="Resume"/>
              <w:keepNext/>
              <w:jc w:val="center"/>
              <w:rPr>
                <w:rFonts w:ascii="Times New Roman" w:hAnsi="Times New Roman"/>
                <w:szCs w:val="18"/>
              </w:rPr>
            </w:pPr>
            <w:r>
              <w:rPr>
                <w:rFonts w:ascii="Times New Roman" w:hAnsi="Times New Roman"/>
                <w:szCs w:val="18"/>
              </w:rPr>
              <w:t>1476.4</w:t>
            </w:r>
          </w:p>
        </w:tc>
        <w:tc>
          <w:tcPr>
            <w:tcW w:w="1276" w:type="dxa"/>
          </w:tcPr>
          <w:p w:rsidR="00CA74D1" w:rsidRDefault="00CA74D1" w:rsidP="005A0EAB">
            <w:pPr>
              <w:pStyle w:val="Resume"/>
              <w:jc w:val="center"/>
              <w:rPr>
                <w:rFonts w:ascii="Times New Roman" w:hAnsi="Times New Roman"/>
                <w:szCs w:val="18"/>
              </w:rPr>
            </w:pPr>
            <w:r>
              <w:rPr>
                <w:rFonts w:ascii="Times New Roman" w:hAnsi="Times New Roman"/>
                <w:szCs w:val="18"/>
              </w:rPr>
              <w:t>1636.3</w:t>
            </w:r>
          </w:p>
        </w:tc>
        <w:tc>
          <w:tcPr>
            <w:tcW w:w="803" w:type="dxa"/>
          </w:tcPr>
          <w:p w:rsidR="00CA74D1" w:rsidRPr="00330883" w:rsidRDefault="00CA74D1" w:rsidP="005A0EAB">
            <w:pPr>
              <w:pStyle w:val="Resume"/>
              <w:keepNext/>
              <w:jc w:val="center"/>
              <w:rPr>
                <w:rFonts w:ascii="Times New Roman" w:hAnsi="Times New Roman"/>
                <w:i/>
                <w:sz w:val="18"/>
                <w:szCs w:val="18"/>
              </w:rPr>
            </w:pPr>
            <w:r w:rsidRPr="00330883">
              <w:rPr>
                <w:rFonts w:ascii="Times New Roman" w:hAnsi="Times New Roman"/>
                <w:i/>
                <w:sz w:val="18"/>
                <w:szCs w:val="18"/>
              </w:rPr>
              <w:t>+10.8%</w:t>
            </w:r>
          </w:p>
        </w:tc>
        <w:tc>
          <w:tcPr>
            <w:tcW w:w="1216" w:type="dxa"/>
          </w:tcPr>
          <w:p w:rsidR="00CA74D1" w:rsidRPr="00CA74D1" w:rsidRDefault="00CA74D1" w:rsidP="005A0EAB">
            <w:pPr>
              <w:pStyle w:val="Resume"/>
              <w:keepNext/>
              <w:jc w:val="center"/>
              <w:rPr>
                <w:rFonts w:ascii="Times New Roman" w:hAnsi="Times New Roman"/>
                <w:sz w:val="18"/>
                <w:szCs w:val="18"/>
              </w:rPr>
            </w:pPr>
            <w:r>
              <w:rPr>
                <w:rFonts w:ascii="Times New Roman" w:hAnsi="Times New Roman"/>
                <w:sz w:val="18"/>
                <w:szCs w:val="18"/>
              </w:rPr>
              <w:t>1406.7</w:t>
            </w:r>
          </w:p>
        </w:tc>
        <w:tc>
          <w:tcPr>
            <w:tcW w:w="803" w:type="dxa"/>
          </w:tcPr>
          <w:p w:rsidR="00CA74D1" w:rsidRPr="00330883" w:rsidRDefault="00CA74D1" w:rsidP="005A0EAB">
            <w:pPr>
              <w:pStyle w:val="Resume"/>
              <w:keepNext/>
              <w:jc w:val="center"/>
              <w:rPr>
                <w:rFonts w:ascii="Times New Roman" w:hAnsi="Times New Roman"/>
                <w:i/>
                <w:sz w:val="18"/>
                <w:szCs w:val="18"/>
              </w:rPr>
            </w:pPr>
            <w:r>
              <w:rPr>
                <w:rFonts w:ascii="Times New Roman" w:hAnsi="Times New Roman"/>
                <w:i/>
                <w:sz w:val="18"/>
                <w:szCs w:val="18"/>
              </w:rPr>
              <w:t>-4.7%</w:t>
            </w:r>
          </w:p>
        </w:tc>
      </w:tr>
      <w:tr w:rsidR="00CA74D1" w:rsidRPr="008C11B0" w:rsidTr="008C1453">
        <w:trPr>
          <w:jc w:val="center"/>
        </w:trPr>
        <w:tc>
          <w:tcPr>
            <w:tcW w:w="708" w:type="dxa"/>
          </w:tcPr>
          <w:p w:rsidR="00CA74D1" w:rsidRDefault="00CA74D1" w:rsidP="005A0EAB">
            <w:pPr>
              <w:pStyle w:val="Resume"/>
              <w:jc w:val="center"/>
              <w:rPr>
                <w:rFonts w:ascii="Times New Roman" w:hAnsi="Times New Roman"/>
                <w:szCs w:val="18"/>
              </w:rPr>
            </w:pPr>
            <w:r>
              <w:rPr>
                <w:rFonts w:ascii="Times New Roman" w:hAnsi="Times New Roman"/>
                <w:szCs w:val="18"/>
              </w:rPr>
              <w:t>5</w:t>
            </w:r>
          </w:p>
        </w:tc>
        <w:tc>
          <w:tcPr>
            <w:tcW w:w="1184" w:type="dxa"/>
          </w:tcPr>
          <w:p w:rsidR="00CA74D1" w:rsidRDefault="00CA74D1" w:rsidP="005A0EAB">
            <w:pPr>
              <w:pStyle w:val="Resume"/>
              <w:jc w:val="center"/>
              <w:rPr>
                <w:rFonts w:ascii="Times New Roman" w:hAnsi="Times New Roman"/>
                <w:szCs w:val="18"/>
              </w:rPr>
            </w:pPr>
            <w:r>
              <w:rPr>
                <w:rFonts w:ascii="Times New Roman" w:hAnsi="Times New Roman"/>
                <w:szCs w:val="18"/>
              </w:rPr>
              <w:t>Flexion 4</w:t>
            </w:r>
          </w:p>
        </w:tc>
        <w:tc>
          <w:tcPr>
            <w:tcW w:w="1080" w:type="dxa"/>
          </w:tcPr>
          <w:p w:rsidR="00CA74D1" w:rsidRDefault="00CA74D1" w:rsidP="005A0EAB">
            <w:pPr>
              <w:pStyle w:val="Resume"/>
              <w:keepNext/>
              <w:jc w:val="center"/>
              <w:rPr>
                <w:rFonts w:ascii="Times New Roman" w:hAnsi="Times New Roman"/>
                <w:szCs w:val="18"/>
              </w:rPr>
            </w:pPr>
            <w:r>
              <w:rPr>
                <w:rFonts w:ascii="Times New Roman" w:hAnsi="Times New Roman"/>
                <w:szCs w:val="18"/>
              </w:rPr>
              <w:t>2132.1</w:t>
            </w:r>
          </w:p>
        </w:tc>
        <w:tc>
          <w:tcPr>
            <w:tcW w:w="1276" w:type="dxa"/>
          </w:tcPr>
          <w:p w:rsidR="00CA74D1" w:rsidRDefault="00CA74D1" w:rsidP="005A0EAB">
            <w:pPr>
              <w:pStyle w:val="Resume"/>
              <w:jc w:val="center"/>
              <w:rPr>
                <w:rFonts w:ascii="Times New Roman" w:hAnsi="Times New Roman"/>
                <w:szCs w:val="18"/>
              </w:rPr>
            </w:pPr>
            <w:r>
              <w:rPr>
                <w:rFonts w:ascii="Times New Roman" w:hAnsi="Times New Roman"/>
                <w:szCs w:val="18"/>
              </w:rPr>
              <w:t>2364.7</w:t>
            </w:r>
          </w:p>
        </w:tc>
        <w:tc>
          <w:tcPr>
            <w:tcW w:w="803" w:type="dxa"/>
          </w:tcPr>
          <w:p w:rsidR="00CA74D1" w:rsidRPr="00330883" w:rsidRDefault="00CA74D1" w:rsidP="005A0EAB">
            <w:pPr>
              <w:pStyle w:val="Resume"/>
              <w:keepNext/>
              <w:jc w:val="center"/>
              <w:rPr>
                <w:rFonts w:ascii="Times New Roman" w:hAnsi="Times New Roman"/>
                <w:i/>
                <w:sz w:val="18"/>
                <w:szCs w:val="18"/>
              </w:rPr>
            </w:pPr>
            <w:r w:rsidRPr="00330883">
              <w:rPr>
                <w:rFonts w:ascii="Times New Roman" w:hAnsi="Times New Roman"/>
                <w:i/>
                <w:sz w:val="18"/>
                <w:szCs w:val="18"/>
              </w:rPr>
              <w:t>+10.9%</w:t>
            </w:r>
          </w:p>
        </w:tc>
        <w:tc>
          <w:tcPr>
            <w:tcW w:w="1216" w:type="dxa"/>
          </w:tcPr>
          <w:p w:rsidR="00CA74D1" w:rsidRPr="00CA74D1" w:rsidRDefault="00CA74D1" w:rsidP="005A0EAB">
            <w:pPr>
              <w:pStyle w:val="Resume"/>
              <w:keepNext/>
              <w:jc w:val="center"/>
              <w:rPr>
                <w:rFonts w:ascii="Times New Roman" w:hAnsi="Times New Roman"/>
                <w:sz w:val="18"/>
                <w:szCs w:val="18"/>
              </w:rPr>
            </w:pPr>
            <w:r>
              <w:rPr>
                <w:rFonts w:ascii="Times New Roman" w:hAnsi="Times New Roman"/>
                <w:sz w:val="18"/>
                <w:szCs w:val="18"/>
              </w:rPr>
              <w:t>2059.3</w:t>
            </w:r>
          </w:p>
        </w:tc>
        <w:tc>
          <w:tcPr>
            <w:tcW w:w="803" w:type="dxa"/>
          </w:tcPr>
          <w:p w:rsidR="00CA74D1" w:rsidRPr="00330883" w:rsidRDefault="00CA74D1" w:rsidP="00A11434">
            <w:pPr>
              <w:pStyle w:val="Resume"/>
              <w:keepNext/>
              <w:jc w:val="center"/>
              <w:rPr>
                <w:rFonts w:ascii="Times New Roman" w:hAnsi="Times New Roman"/>
                <w:i/>
                <w:sz w:val="18"/>
                <w:szCs w:val="18"/>
              </w:rPr>
            </w:pPr>
            <w:r>
              <w:rPr>
                <w:rFonts w:ascii="Times New Roman" w:hAnsi="Times New Roman"/>
                <w:i/>
                <w:sz w:val="18"/>
                <w:szCs w:val="18"/>
              </w:rPr>
              <w:t>-3.4%</w:t>
            </w:r>
          </w:p>
        </w:tc>
      </w:tr>
    </w:tbl>
    <w:p w:rsidR="00330883" w:rsidRPr="00A11434" w:rsidRDefault="00A11434" w:rsidP="00A11434">
      <w:pPr>
        <w:pStyle w:val="Lgende"/>
        <w:jc w:val="center"/>
        <w:rPr>
          <w:color w:val="auto"/>
          <w:sz w:val="20"/>
        </w:rPr>
      </w:pPr>
      <w:bookmarkStart w:id="6" w:name="_Ref137736849"/>
      <w:r w:rsidRPr="00A11434">
        <w:rPr>
          <w:color w:val="auto"/>
          <w:sz w:val="20"/>
        </w:rPr>
        <w:t xml:space="preserve">Tableau </w:t>
      </w:r>
      <w:r w:rsidRPr="00A11434">
        <w:rPr>
          <w:color w:val="auto"/>
          <w:sz w:val="20"/>
        </w:rPr>
        <w:fldChar w:fldCharType="begin"/>
      </w:r>
      <w:r w:rsidRPr="00A11434">
        <w:rPr>
          <w:color w:val="auto"/>
          <w:sz w:val="20"/>
        </w:rPr>
        <w:instrText xml:space="preserve"> SEQ Tableau \* ARABIC </w:instrText>
      </w:r>
      <w:r w:rsidRPr="00A11434">
        <w:rPr>
          <w:color w:val="auto"/>
          <w:sz w:val="20"/>
        </w:rPr>
        <w:fldChar w:fldCharType="separate"/>
      </w:r>
      <w:r w:rsidRPr="00A11434">
        <w:rPr>
          <w:noProof/>
          <w:color w:val="auto"/>
          <w:sz w:val="20"/>
        </w:rPr>
        <w:t>5</w:t>
      </w:r>
      <w:r w:rsidRPr="00A11434">
        <w:rPr>
          <w:color w:val="auto"/>
          <w:sz w:val="20"/>
        </w:rPr>
        <w:fldChar w:fldCharType="end"/>
      </w:r>
      <w:bookmarkEnd w:id="6"/>
      <w:r w:rsidRPr="00A11434">
        <w:rPr>
          <w:color w:val="auto"/>
          <w:sz w:val="20"/>
        </w:rPr>
        <w:t xml:space="preserve"> - Comparaison des fréquences propres</w:t>
      </w:r>
    </w:p>
    <w:p w:rsidR="0018181D" w:rsidRPr="005F35D1" w:rsidRDefault="0018181D" w:rsidP="00253C7A">
      <w:pPr>
        <w:pStyle w:val="Titredeniveau1"/>
        <w:numPr>
          <w:ilvl w:val="0"/>
          <w:numId w:val="4"/>
        </w:numPr>
      </w:pPr>
      <w:r>
        <w:t>Conclusions</w:t>
      </w:r>
    </w:p>
    <w:p w:rsidR="0018181D" w:rsidRDefault="007D6C36" w:rsidP="000728E0">
      <w:r>
        <w:t>Le comportement d’une structure sandwich monolithique métallique avec âme « lattice » de type Dode-Thin peut être établi par des relations analytiques et ainsi être utilisé efficacement dans un modèle éléments finis classique. Cependant, la qualité de fabrication de ces structures, en particulier la présence de porosité, rendent les prédictions basées sur la géométrie nominale très éloignées du comportement réel, que ce soit en statique ou en dynamique.</w:t>
      </w:r>
    </w:p>
    <w:p w:rsidR="007D6C36" w:rsidRDefault="007D6C36" w:rsidP="000728E0">
      <w:r>
        <w:t xml:space="preserve">La prise en compte de la géométrie réelle </w:t>
      </w:r>
      <w:r w:rsidR="002D0DC5">
        <w:t xml:space="preserve">grâce à une analyse par analyse </w:t>
      </w:r>
      <w:r w:rsidR="002D0DC5" w:rsidRPr="0012239E">
        <w:t xml:space="preserve">microtomographique </w:t>
      </w:r>
      <w:r w:rsidR="002D0DC5">
        <w:t>RX permet d’obtenir des propriétés géométriques fidèles à la structure fabriquée. Les résultats d’un modèle construit directement à partir de ces propriétés sont alors très proches du comportement réel de la structure.</w:t>
      </w:r>
    </w:p>
    <w:p w:rsidR="002D0DC5" w:rsidRDefault="002D0DC5" w:rsidP="000728E0">
      <w:r>
        <w:t xml:space="preserve">Le traitement des données de la </w:t>
      </w:r>
      <w:r w:rsidRPr="0012239E">
        <w:t xml:space="preserve">microtomographie </w:t>
      </w:r>
      <w:r>
        <w:t xml:space="preserve">nécessite une étape de « seuillage » qui est cruciale pour l’obtention des propriétés du modèle. Des travaux sont en cours pour rendre cette étape robuste, en particulier par comparaison avec les observations </w:t>
      </w:r>
      <w:r w:rsidRPr="0012239E">
        <w:t>microtomographiques</w:t>
      </w:r>
      <w:r>
        <w:t>.</w:t>
      </w:r>
    </w:p>
    <w:p w:rsidR="007A75C9" w:rsidRPr="00C44C1B" w:rsidRDefault="002D0DC5" w:rsidP="000728E0">
      <w:r>
        <w:t>L’adaptation de cette approche à d’autres types de structures métalliques légères de type sandwich « lattice » est directe. Toutefois, la même approche est également adaptable à d’autres matériaux sandwich composés de plusieurs matériaux, par exemples des sandwiches avec âme en mousse renforcée par « </w:t>
      </w:r>
      <w:proofErr w:type="spellStart"/>
      <w:r>
        <w:t>stitching</w:t>
      </w:r>
      <w:proofErr w:type="spellEnd"/>
      <w:r>
        <w:t xml:space="preserve"> ». L’adaptation de l’outil à des multi-matériaux est </w:t>
      </w:r>
      <w:r w:rsidR="001B2271">
        <w:t xml:space="preserve">actuellement </w:t>
      </w:r>
      <w:r>
        <w:t>à l’étude.</w:t>
      </w:r>
    </w:p>
    <w:p w:rsidR="000728E0" w:rsidRDefault="000728E0" w:rsidP="00A75B98">
      <w:pPr>
        <w:pStyle w:val="Titreremerciementsetrfrences"/>
      </w:pPr>
      <w:r w:rsidRPr="00DB2731">
        <w:t>Remerciements</w:t>
      </w:r>
    </w:p>
    <w:p w:rsidR="000728E0" w:rsidRPr="00A75B98" w:rsidRDefault="007B2B2D" w:rsidP="00A75B98">
      <w:r w:rsidRPr="007B2B2D">
        <w:t xml:space="preserve">Les auteurs remercient Christophe Fabriès (Thales Alenia Space TAS-Toulouse) pour la mise à disposition des éprouvettes, ainsi que Dr. Paul Duru (IMFT) et la Fédération de Recherche </w:t>
      </w:r>
      <w:proofErr w:type="spellStart"/>
      <w:r w:rsidRPr="007B2B2D">
        <w:t>FERMaT</w:t>
      </w:r>
      <w:proofErr w:type="spellEnd"/>
      <w:r w:rsidRPr="007B2B2D">
        <w:t xml:space="preserve"> pour la réalisation de l’analyse tomographique de l’éprouvette </w:t>
      </w:r>
      <w:r w:rsidRPr="0012239E">
        <w:t>Dode-Thin</w:t>
      </w:r>
      <w:r w:rsidR="000728E0" w:rsidRPr="0012239E">
        <w:t>.</w:t>
      </w:r>
    </w:p>
    <w:p w:rsidR="00A75B98" w:rsidRPr="00A75B98" w:rsidRDefault="000728E0" w:rsidP="00A75B98">
      <w:pPr>
        <w:pStyle w:val="Titreremerciementsetrfrences"/>
      </w:pPr>
      <w:r w:rsidRPr="00A75B98">
        <w:t>Références</w:t>
      </w:r>
    </w:p>
    <w:p w:rsidR="0087069C" w:rsidRDefault="00404024" w:rsidP="0087069C">
      <w:pPr>
        <w:pStyle w:val="Resume"/>
        <w:ind w:left="426" w:hanging="426"/>
        <w:rPr>
          <w:szCs w:val="18"/>
          <w:lang w:val="en-GB"/>
        </w:rPr>
      </w:pPr>
      <w:r w:rsidRPr="009C0D3E">
        <w:rPr>
          <w:szCs w:val="18"/>
        </w:rPr>
        <w:t>[</w:t>
      </w:r>
      <w:r>
        <w:rPr>
          <w:szCs w:val="18"/>
        </w:rPr>
        <w:t>1</w:t>
      </w:r>
      <w:r w:rsidRPr="009C0D3E">
        <w:rPr>
          <w:szCs w:val="18"/>
        </w:rPr>
        <w:t>]</w:t>
      </w:r>
      <w:r w:rsidRPr="009C0D3E">
        <w:rPr>
          <w:szCs w:val="18"/>
        </w:rPr>
        <w:tab/>
      </w:r>
      <w:r>
        <w:rPr>
          <w:szCs w:val="18"/>
        </w:rPr>
        <w:t>Ph. Guy, O.</w:t>
      </w:r>
      <w:r w:rsidRPr="009C0D3E">
        <w:rPr>
          <w:szCs w:val="18"/>
        </w:rPr>
        <w:t xml:space="preserve"> Dorival, </w:t>
      </w:r>
      <w:r>
        <w:rPr>
          <w:szCs w:val="18"/>
        </w:rPr>
        <w:t>M.</w:t>
      </w:r>
      <w:r w:rsidRPr="009C0D3E">
        <w:rPr>
          <w:szCs w:val="18"/>
        </w:rPr>
        <w:t xml:space="preserve"> A. Pérez, </w:t>
      </w:r>
      <w:r>
        <w:rPr>
          <w:szCs w:val="18"/>
        </w:rPr>
        <w:t>J.-N.</w:t>
      </w:r>
      <w:r w:rsidRPr="009C0D3E">
        <w:rPr>
          <w:szCs w:val="18"/>
        </w:rPr>
        <w:t xml:space="preserve"> Périé, </w:t>
      </w:r>
      <w:r>
        <w:rPr>
          <w:szCs w:val="18"/>
        </w:rPr>
        <w:t>G.</w:t>
      </w:r>
      <w:r w:rsidRPr="009C0D3E">
        <w:rPr>
          <w:szCs w:val="18"/>
        </w:rPr>
        <w:t xml:space="preserve"> Michon</w:t>
      </w:r>
      <w:r w:rsidRPr="00006063">
        <w:rPr>
          <w:szCs w:val="18"/>
        </w:rPr>
        <w:t>.</w:t>
      </w:r>
      <w:r>
        <w:rPr>
          <w:szCs w:val="18"/>
        </w:rPr>
        <w:t xml:space="preserve"> </w:t>
      </w:r>
      <w:r>
        <w:rPr>
          <w:szCs w:val="18"/>
          <w:lang w:val="en-GB"/>
        </w:rPr>
        <w:t>“</w:t>
      </w:r>
      <w:r w:rsidRPr="009C0D3E">
        <w:rPr>
          <w:szCs w:val="18"/>
          <w:lang w:val="en-GB"/>
        </w:rPr>
        <w:t>Investigation on the mechanical p</w:t>
      </w:r>
      <w:r>
        <w:rPr>
          <w:szCs w:val="18"/>
          <w:lang w:val="en-GB"/>
        </w:rPr>
        <w:t xml:space="preserve">roperties of TA6V Dode-Thin lattice sandwich beams fabricated by powder bed laser beam melting process”, </w:t>
      </w:r>
      <w:r w:rsidRPr="00390724">
        <w:rPr>
          <w:i/>
          <w:szCs w:val="18"/>
          <w:lang w:val="en-GB"/>
        </w:rPr>
        <w:t>ECSSMET2023</w:t>
      </w:r>
      <w:r>
        <w:rPr>
          <w:szCs w:val="18"/>
          <w:lang w:val="en-GB"/>
        </w:rPr>
        <w:t>, Toulouse, France, 2023.</w:t>
      </w:r>
    </w:p>
    <w:p w:rsidR="0087069C" w:rsidRDefault="0004731E" w:rsidP="0087069C">
      <w:pPr>
        <w:pStyle w:val="Resume"/>
        <w:ind w:left="426" w:hanging="426"/>
        <w:rPr>
          <w:lang w:val="en-GB"/>
        </w:rPr>
      </w:pPr>
      <w:r w:rsidRPr="0004731E">
        <w:rPr>
          <w:lang w:val="en-GB"/>
        </w:rPr>
        <w:t>[</w:t>
      </w:r>
      <w:r>
        <w:rPr>
          <w:lang w:val="en-GB"/>
        </w:rPr>
        <w:t>2</w:t>
      </w:r>
      <w:r w:rsidRPr="0004731E">
        <w:rPr>
          <w:lang w:val="en-GB"/>
        </w:rPr>
        <w:t xml:space="preserve">] </w:t>
      </w:r>
      <w:r w:rsidR="008F0F76">
        <w:rPr>
          <w:lang w:val="en-GB"/>
        </w:rPr>
        <w:tab/>
      </w:r>
      <w:r w:rsidRPr="0004731E">
        <w:rPr>
          <w:lang w:val="en-GB"/>
        </w:rPr>
        <w:t xml:space="preserve">Nickels, L. (2015). AM and Aerospace: an ideal combination, </w:t>
      </w:r>
      <w:r w:rsidRPr="0004731E">
        <w:rPr>
          <w:i/>
          <w:lang w:val="en-GB"/>
        </w:rPr>
        <w:t>Metal Powder Report, Vol. 70</w:t>
      </w:r>
      <w:r w:rsidRPr="0004731E">
        <w:rPr>
          <w:lang w:val="en-GB"/>
        </w:rPr>
        <w:t xml:space="preserve"> (6) 300e303, DOI: 10.1016/j.mprp.2015.06.005.</w:t>
      </w:r>
    </w:p>
    <w:p w:rsidR="008F0F76" w:rsidRDefault="0004731E" w:rsidP="008F0F76">
      <w:pPr>
        <w:spacing w:after="0"/>
        <w:ind w:left="426" w:hanging="426"/>
        <w:rPr>
          <w:sz w:val="20"/>
          <w:lang w:val="en-GB"/>
        </w:rPr>
      </w:pPr>
      <w:r w:rsidRPr="0004731E">
        <w:rPr>
          <w:sz w:val="20"/>
          <w:lang w:val="en-GB"/>
        </w:rPr>
        <w:t>[</w:t>
      </w:r>
      <w:r>
        <w:rPr>
          <w:sz w:val="20"/>
          <w:lang w:val="en-GB"/>
        </w:rPr>
        <w:t>3</w:t>
      </w:r>
      <w:r w:rsidRPr="0004731E">
        <w:rPr>
          <w:sz w:val="20"/>
          <w:lang w:val="en-GB"/>
        </w:rPr>
        <w:t xml:space="preserve">] </w:t>
      </w:r>
      <w:r w:rsidR="008F0F76">
        <w:rPr>
          <w:sz w:val="20"/>
          <w:lang w:val="en-GB"/>
        </w:rPr>
        <w:tab/>
      </w:r>
      <w:r w:rsidRPr="0004731E">
        <w:rPr>
          <w:sz w:val="20"/>
          <w:lang w:val="en-GB"/>
        </w:rPr>
        <w:t xml:space="preserve">M. Bici, et al. (2018). Development of a multifunctional panel for aerospace use through SLM Additive Manufacturing, </w:t>
      </w:r>
      <w:r w:rsidRPr="0004731E">
        <w:rPr>
          <w:i/>
          <w:sz w:val="20"/>
          <w:lang w:val="en-GB"/>
        </w:rPr>
        <w:t>Procedia CIRP 67</w:t>
      </w:r>
      <w:r w:rsidRPr="0004731E">
        <w:rPr>
          <w:sz w:val="20"/>
          <w:lang w:val="en-GB"/>
        </w:rPr>
        <w:t xml:space="preserve"> (1) 215e220.</w:t>
      </w:r>
    </w:p>
    <w:p w:rsidR="007B2B2D" w:rsidRPr="00FA0407" w:rsidRDefault="007B2B2D" w:rsidP="008F0F76">
      <w:pPr>
        <w:spacing w:after="0"/>
        <w:ind w:left="426" w:hanging="426"/>
        <w:rPr>
          <w:sz w:val="20"/>
          <w:lang w:val="en-GB"/>
        </w:rPr>
      </w:pPr>
      <w:r w:rsidRPr="00FA0407">
        <w:rPr>
          <w:sz w:val="20"/>
        </w:rPr>
        <w:lastRenderedPageBreak/>
        <w:t>[</w:t>
      </w:r>
      <w:r w:rsidR="00FA0407" w:rsidRPr="00FA0407">
        <w:rPr>
          <w:sz w:val="20"/>
        </w:rPr>
        <w:t>4</w:t>
      </w:r>
      <w:r w:rsidRPr="00FA0407">
        <w:rPr>
          <w:sz w:val="20"/>
        </w:rPr>
        <w:t>]</w:t>
      </w:r>
      <w:r w:rsidRPr="00FA0407">
        <w:rPr>
          <w:sz w:val="20"/>
        </w:rPr>
        <w:tab/>
        <w:t xml:space="preserve">J. S. </w:t>
      </w:r>
      <w:proofErr w:type="spellStart"/>
      <w:r w:rsidRPr="00FA0407">
        <w:rPr>
          <w:sz w:val="20"/>
        </w:rPr>
        <w:t>Rathore</w:t>
      </w:r>
      <w:proofErr w:type="spellEnd"/>
      <w:r w:rsidRPr="00FA0407">
        <w:rPr>
          <w:sz w:val="20"/>
        </w:rPr>
        <w:t xml:space="preserve">, C. </w:t>
      </w:r>
      <w:proofErr w:type="spellStart"/>
      <w:r w:rsidRPr="00FA0407">
        <w:rPr>
          <w:sz w:val="20"/>
        </w:rPr>
        <w:t>Mang</w:t>
      </w:r>
      <w:proofErr w:type="spellEnd"/>
      <w:r w:rsidRPr="00FA0407">
        <w:rPr>
          <w:sz w:val="20"/>
        </w:rPr>
        <w:t xml:space="preserve">, C. Vienne, Y. </w:t>
      </w:r>
      <w:proofErr w:type="spellStart"/>
      <w:r w:rsidRPr="00FA0407">
        <w:rPr>
          <w:sz w:val="20"/>
        </w:rPr>
        <w:t>Quinsat</w:t>
      </w:r>
      <w:proofErr w:type="spellEnd"/>
      <w:r w:rsidRPr="00FA0407">
        <w:rPr>
          <w:sz w:val="20"/>
        </w:rPr>
        <w:t xml:space="preserve">, C. Tournier. </w:t>
      </w:r>
      <w:r w:rsidRPr="00FA0407">
        <w:rPr>
          <w:sz w:val="20"/>
          <w:lang w:val="en-GB"/>
        </w:rPr>
        <w:t>“A methodology for computed tomography-based non-destructive geometrical evaluations of lattice structures by holistic strut measurement approach”, Journal of Manufacturing Science and Engineering, Vol. 143 n°5, 2021.</w:t>
      </w:r>
    </w:p>
    <w:p w:rsidR="007B2B2D" w:rsidRPr="00FA0407" w:rsidRDefault="007B2B2D" w:rsidP="008F0F76">
      <w:pPr>
        <w:pStyle w:val="Resume"/>
        <w:ind w:left="426" w:hanging="426"/>
        <w:rPr>
          <w:rFonts w:ascii="Times New Roman" w:hAnsi="Times New Roman"/>
          <w:szCs w:val="24"/>
          <w:lang w:val="en-GB"/>
        </w:rPr>
      </w:pPr>
      <w:r w:rsidRPr="00B10DF7">
        <w:rPr>
          <w:rFonts w:ascii="Times New Roman" w:hAnsi="Times New Roman"/>
          <w:szCs w:val="24"/>
          <w:lang w:val="de-DE"/>
        </w:rPr>
        <w:t>[</w:t>
      </w:r>
      <w:r w:rsidR="00FA0407" w:rsidRPr="00B10DF7">
        <w:rPr>
          <w:rFonts w:ascii="Times New Roman" w:hAnsi="Times New Roman"/>
          <w:szCs w:val="24"/>
          <w:lang w:val="de-DE"/>
        </w:rPr>
        <w:t>5</w:t>
      </w:r>
      <w:r w:rsidRPr="00B10DF7">
        <w:rPr>
          <w:rFonts w:ascii="Times New Roman" w:hAnsi="Times New Roman"/>
          <w:szCs w:val="24"/>
          <w:lang w:val="de-DE"/>
        </w:rPr>
        <w:t>]</w:t>
      </w:r>
      <w:r w:rsidRPr="00B10DF7">
        <w:rPr>
          <w:rFonts w:ascii="Times New Roman" w:hAnsi="Times New Roman"/>
          <w:szCs w:val="24"/>
          <w:lang w:val="de-DE"/>
        </w:rPr>
        <w:tab/>
        <w:t xml:space="preserve">P. Sperling, A. du </w:t>
      </w:r>
      <w:proofErr w:type="spellStart"/>
      <w:r w:rsidRPr="00B10DF7">
        <w:rPr>
          <w:rFonts w:ascii="Times New Roman" w:hAnsi="Times New Roman"/>
          <w:szCs w:val="24"/>
          <w:lang w:val="de-DE"/>
        </w:rPr>
        <w:t>Plessis</w:t>
      </w:r>
      <w:proofErr w:type="spellEnd"/>
      <w:r w:rsidRPr="00B10DF7">
        <w:rPr>
          <w:rFonts w:ascii="Times New Roman" w:hAnsi="Times New Roman"/>
          <w:szCs w:val="24"/>
          <w:lang w:val="de-DE"/>
        </w:rPr>
        <w:t xml:space="preserve">, G. </w:t>
      </w:r>
      <w:proofErr w:type="spellStart"/>
      <w:r w:rsidRPr="00B10DF7">
        <w:rPr>
          <w:rFonts w:ascii="Times New Roman" w:hAnsi="Times New Roman"/>
          <w:szCs w:val="24"/>
          <w:lang w:val="de-DE"/>
        </w:rPr>
        <w:t>Schwaderer</w:t>
      </w:r>
      <w:proofErr w:type="spellEnd"/>
      <w:r w:rsidRPr="00B10DF7">
        <w:rPr>
          <w:rFonts w:ascii="Times New Roman" w:hAnsi="Times New Roman"/>
          <w:szCs w:val="24"/>
          <w:lang w:val="de-DE"/>
        </w:rPr>
        <w:t xml:space="preserve">. </w:t>
      </w:r>
      <w:r w:rsidRPr="00FA0407">
        <w:rPr>
          <w:rFonts w:ascii="Times New Roman" w:hAnsi="Times New Roman"/>
          <w:szCs w:val="24"/>
          <w:lang w:val="en-GB"/>
        </w:rPr>
        <w:t>“Challenges and Approaches for Metrology of Additive Manufactured Lattice Structures by Industrial X-Ray Computed Tomography”, Advanced Materials Research, Vol. 1161, pp. 131-136, 2021.</w:t>
      </w:r>
    </w:p>
    <w:p w:rsidR="000728E0" w:rsidRPr="00FA0407" w:rsidRDefault="000728E0" w:rsidP="007B2B2D">
      <w:pPr>
        <w:pStyle w:val="Resume"/>
        <w:ind w:left="426" w:hanging="426"/>
        <w:rPr>
          <w:rFonts w:ascii="Times New Roman" w:hAnsi="Times New Roman"/>
          <w:szCs w:val="24"/>
          <w:lang w:val="en-GB"/>
        </w:rPr>
      </w:pPr>
    </w:p>
    <w:sectPr w:rsidR="000728E0" w:rsidRPr="00FA0407" w:rsidSect="000728E0">
      <w:headerReference w:type="default" r:id="rId17"/>
      <w:footerReference w:type="default" r:id="rId18"/>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2633" w:rsidRDefault="00D02633">
      <w:r>
        <w:separator/>
      </w:r>
    </w:p>
  </w:endnote>
  <w:endnote w:type="continuationSeparator" w:id="0">
    <w:p w:rsidR="00D02633" w:rsidRDefault="00D02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EBE" w:rsidRPr="007C1D7D" w:rsidRDefault="006E6EBE">
    <w:pPr>
      <w:pStyle w:val="Pieddepage"/>
      <w:jc w:val="center"/>
      <w:rPr>
        <w:sz w:val="20"/>
        <w:szCs w:val="20"/>
      </w:rPr>
    </w:pPr>
    <w:r w:rsidRPr="007C1D7D">
      <w:rPr>
        <w:sz w:val="20"/>
        <w:szCs w:val="20"/>
      </w:rPr>
      <w:fldChar w:fldCharType="begin"/>
    </w:r>
    <w:r w:rsidRPr="007C1D7D">
      <w:rPr>
        <w:sz w:val="20"/>
        <w:szCs w:val="20"/>
      </w:rPr>
      <w:instrText xml:space="preserve"> </w:instrText>
    </w:r>
    <w:r>
      <w:rPr>
        <w:sz w:val="20"/>
        <w:szCs w:val="20"/>
      </w:rPr>
      <w:instrText>PAGE</w:instrText>
    </w:r>
    <w:r w:rsidRPr="007C1D7D">
      <w:rPr>
        <w:sz w:val="20"/>
        <w:szCs w:val="20"/>
      </w:rPr>
      <w:instrText xml:space="preserve">   \* MERGEFORMAT </w:instrText>
    </w:r>
    <w:r w:rsidRPr="007C1D7D">
      <w:rPr>
        <w:sz w:val="20"/>
        <w:szCs w:val="20"/>
      </w:rPr>
      <w:fldChar w:fldCharType="separate"/>
    </w:r>
    <w:r>
      <w:rPr>
        <w:noProof/>
        <w:sz w:val="20"/>
        <w:szCs w:val="20"/>
      </w:rPr>
      <w:t>1</w:t>
    </w:r>
    <w:r w:rsidRPr="007C1D7D">
      <w:rPr>
        <w:sz w:val="20"/>
        <w:szCs w:val="20"/>
      </w:rPr>
      <w:fldChar w:fldCharType="end"/>
    </w:r>
  </w:p>
  <w:p w:rsidR="006E6EBE" w:rsidRDefault="006E6EB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2633" w:rsidRDefault="00D02633">
      <w:r>
        <w:separator/>
      </w:r>
    </w:p>
  </w:footnote>
  <w:footnote w:type="continuationSeparator" w:id="0">
    <w:p w:rsidR="00D02633" w:rsidRDefault="00D026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EBE" w:rsidRPr="00596806" w:rsidRDefault="006E6EBE" w:rsidP="00A60C82">
    <w:pPr>
      <w:pStyle w:val="Pieddepage"/>
      <w:pBdr>
        <w:bottom w:val="single" w:sz="4" w:space="1" w:color="auto"/>
      </w:pBdr>
      <w:tabs>
        <w:tab w:val="clear" w:pos="4536"/>
        <w:tab w:val="clear" w:pos="9072"/>
      </w:tabs>
      <w:ind w:left="142" w:hanging="142"/>
    </w:pPr>
    <w:r>
      <w:t xml:space="preserve">Comptes Rendus des </w:t>
    </w:r>
    <w:r w:rsidRPr="009306FB">
      <w:t xml:space="preserve">JNC </w:t>
    </w:r>
    <w:r>
      <w:t>23</w:t>
    </w:r>
    <w:r w:rsidRPr="009306FB">
      <w:t xml:space="preserve"> </w:t>
    </w:r>
    <w:r>
      <w:t>– Besançon – 3</w:t>
    </w:r>
    <w:r w:rsidRPr="00FC5D56">
      <w:t>-</w:t>
    </w:r>
    <w:r>
      <w:t>5</w:t>
    </w:r>
    <w:r w:rsidRPr="00FC5D56">
      <w:t xml:space="preserve"> j</w:t>
    </w:r>
    <w:r>
      <w:t>uillet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9F300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5655F4F"/>
    <w:multiLevelType w:val="multilevel"/>
    <w:tmpl w:val="6B7AA9D6"/>
    <w:lvl w:ilvl="0">
      <w:start w:val="1"/>
      <w:numFmt w:val="decimal"/>
      <w:lvlText w:val="%1"/>
      <w:lvlJc w:val="left"/>
      <w:pPr>
        <w:tabs>
          <w:tab w:val="num" w:pos="360"/>
        </w:tabs>
        <w:ind w:left="360" w:hanging="360"/>
      </w:pPr>
      <w:rPr>
        <w:rFonts w:hint="default"/>
      </w:rPr>
    </w:lvl>
    <w:lvl w:ilvl="1">
      <w:start w:val="1"/>
      <w:numFmt w:val="decimal"/>
      <w:pStyle w:val="Titredeniveau2"/>
      <w:lvlText w:val="%1.%2"/>
      <w:lvlJc w:val="left"/>
      <w:pPr>
        <w:tabs>
          <w:tab w:val="num" w:pos="360"/>
        </w:tabs>
        <w:ind w:left="360" w:hanging="360"/>
      </w:pPr>
      <w:rPr>
        <w:rFonts w:ascii="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3C6410FD"/>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89824A6"/>
    <w:multiLevelType w:val="hybridMultilevel"/>
    <w:tmpl w:val="49A80E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68C"/>
    <w:rsid w:val="00007FB0"/>
    <w:rsid w:val="00045A3F"/>
    <w:rsid w:val="0004731E"/>
    <w:rsid w:val="00054D66"/>
    <w:rsid w:val="000728E0"/>
    <w:rsid w:val="00090C16"/>
    <w:rsid w:val="00093468"/>
    <w:rsid w:val="000A6705"/>
    <w:rsid w:val="000C010E"/>
    <w:rsid w:val="000C0912"/>
    <w:rsid w:val="000C589E"/>
    <w:rsid w:val="000D02B5"/>
    <w:rsid w:val="000D4700"/>
    <w:rsid w:val="000E0169"/>
    <w:rsid w:val="000E1DB9"/>
    <w:rsid w:val="000F4353"/>
    <w:rsid w:val="000F679F"/>
    <w:rsid w:val="00106722"/>
    <w:rsid w:val="001132DF"/>
    <w:rsid w:val="0012239E"/>
    <w:rsid w:val="00175C08"/>
    <w:rsid w:val="0018181D"/>
    <w:rsid w:val="00185A8B"/>
    <w:rsid w:val="001A62F1"/>
    <w:rsid w:val="001B2271"/>
    <w:rsid w:val="001C4B2F"/>
    <w:rsid w:val="001D74D6"/>
    <w:rsid w:val="001D75B3"/>
    <w:rsid w:val="001E05F2"/>
    <w:rsid w:val="00223AE8"/>
    <w:rsid w:val="00251AA1"/>
    <w:rsid w:val="00253C7A"/>
    <w:rsid w:val="00266CB2"/>
    <w:rsid w:val="00290A97"/>
    <w:rsid w:val="002B018C"/>
    <w:rsid w:val="002B0525"/>
    <w:rsid w:val="002C48C5"/>
    <w:rsid w:val="002C616E"/>
    <w:rsid w:val="002C7EAF"/>
    <w:rsid w:val="002D0DC5"/>
    <w:rsid w:val="002D30E6"/>
    <w:rsid w:val="002E5037"/>
    <w:rsid w:val="0030235B"/>
    <w:rsid w:val="0030584B"/>
    <w:rsid w:val="00306B42"/>
    <w:rsid w:val="00316B7E"/>
    <w:rsid w:val="0032074E"/>
    <w:rsid w:val="00323126"/>
    <w:rsid w:val="00330883"/>
    <w:rsid w:val="003505D3"/>
    <w:rsid w:val="00384E3F"/>
    <w:rsid w:val="003C5FE3"/>
    <w:rsid w:val="003D7504"/>
    <w:rsid w:val="00404024"/>
    <w:rsid w:val="00406E78"/>
    <w:rsid w:val="00412E17"/>
    <w:rsid w:val="00442209"/>
    <w:rsid w:val="00443C8F"/>
    <w:rsid w:val="00443CED"/>
    <w:rsid w:val="0046755F"/>
    <w:rsid w:val="00481BB4"/>
    <w:rsid w:val="004A3DBA"/>
    <w:rsid w:val="00551351"/>
    <w:rsid w:val="00580038"/>
    <w:rsid w:val="005A134B"/>
    <w:rsid w:val="005A1F0B"/>
    <w:rsid w:val="005A332E"/>
    <w:rsid w:val="005B4566"/>
    <w:rsid w:val="005C2DC9"/>
    <w:rsid w:val="005D06F7"/>
    <w:rsid w:val="006022B4"/>
    <w:rsid w:val="00621ED5"/>
    <w:rsid w:val="00622A13"/>
    <w:rsid w:val="00626273"/>
    <w:rsid w:val="00666257"/>
    <w:rsid w:val="00671745"/>
    <w:rsid w:val="006760E2"/>
    <w:rsid w:val="00691205"/>
    <w:rsid w:val="006A58A2"/>
    <w:rsid w:val="006A6121"/>
    <w:rsid w:val="006C6C51"/>
    <w:rsid w:val="006E4DCC"/>
    <w:rsid w:val="006E5421"/>
    <w:rsid w:val="006E6EBE"/>
    <w:rsid w:val="006F4CC1"/>
    <w:rsid w:val="007009F2"/>
    <w:rsid w:val="00702BFD"/>
    <w:rsid w:val="00717B8A"/>
    <w:rsid w:val="00726688"/>
    <w:rsid w:val="00726C6C"/>
    <w:rsid w:val="00732620"/>
    <w:rsid w:val="007359C3"/>
    <w:rsid w:val="00776C50"/>
    <w:rsid w:val="007916C4"/>
    <w:rsid w:val="007A09FF"/>
    <w:rsid w:val="007A75C9"/>
    <w:rsid w:val="007A76AB"/>
    <w:rsid w:val="007A7BA6"/>
    <w:rsid w:val="007B2B2D"/>
    <w:rsid w:val="007D6C36"/>
    <w:rsid w:val="00820630"/>
    <w:rsid w:val="00821855"/>
    <w:rsid w:val="00823CDD"/>
    <w:rsid w:val="0086754A"/>
    <w:rsid w:val="0087069C"/>
    <w:rsid w:val="00871E19"/>
    <w:rsid w:val="00896CC3"/>
    <w:rsid w:val="00896DFB"/>
    <w:rsid w:val="008A1ECC"/>
    <w:rsid w:val="008A4F3E"/>
    <w:rsid w:val="008C1453"/>
    <w:rsid w:val="008C4E06"/>
    <w:rsid w:val="008D3399"/>
    <w:rsid w:val="008D6D84"/>
    <w:rsid w:val="008F0F76"/>
    <w:rsid w:val="008F2188"/>
    <w:rsid w:val="008F576A"/>
    <w:rsid w:val="008F618D"/>
    <w:rsid w:val="00901347"/>
    <w:rsid w:val="009135F1"/>
    <w:rsid w:val="00914E34"/>
    <w:rsid w:val="00924A01"/>
    <w:rsid w:val="0095304C"/>
    <w:rsid w:val="009A6814"/>
    <w:rsid w:val="009B21E4"/>
    <w:rsid w:val="009C320B"/>
    <w:rsid w:val="009E309D"/>
    <w:rsid w:val="00A11434"/>
    <w:rsid w:val="00A60C82"/>
    <w:rsid w:val="00A61999"/>
    <w:rsid w:val="00A75B98"/>
    <w:rsid w:val="00A977A4"/>
    <w:rsid w:val="00AB54AC"/>
    <w:rsid w:val="00AE589B"/>
    <w:rsid w:val="00AF768C"/>
    <w:rsid w:val="00B053A1"/>
    <w:rsid w:val="00B10DF7"/>
    <w:rsid w:val="00B34C4F"/>
    <w:rsid w:val="00B35B45"/>
    <w:rsid w:val="00B51B67"/>
    <w:rsid w:val="00B6150D"/>
    <w:rsid w:val="00BA4C8A"/>
    <w:rsid w:val="00BA7EAD"/>
    <w:rsid w:val="00BC6CA9"/>
    <w:rsid w:val="00BD4124"/>
    <w:rsid w:val="00BD5CBF"/>
    <w:rsid w:val="00BD627B"/>
    <w:rsid w:val="00BF7ECA"/>
    <w:rsid w:val="00C058BA"/>
    <w:rsid w:val="00C128EE"/>
    <w:rsid w:val="00C44C1B"/>
    <w:rsid w:val="00C67B62"/>
    <w:rsid w:val="00C73982"/>
    <w:rsid w:val="00C7559F"/>
    <w:rsid w:val="00C82F73"/>
    <w:rsid w:val="00CA74D1"/>
    <w:rsid w:val="00CB7B35"/>
    <w:rsid w:val="00CD6EEA"/>
    <w:rsid w:val="00CF3813"/>
    <w:rsid w:val="00D02633"/>
    <w:rsid w:val="00D32103"/>
    <w:rsid w:val="00D34ABE"/>
    <w:rsid w:val="00D6328D"/>
    <w:rsid w:val="00D63C10"/>
    <w:rsid w:val="00D90EF0"/>
    <w:rsid w:val="00D9338F"/>
    <w:rsid w:val="00DA054B"/>
    <w:rsid w:val="00DB3850"/>
    <w:rsid w:val="00DC11A3"/>
    <w:rsid w:val="00DD2698"/>
    <w:rsid w:val="00DE1B0B"/>
    <w:rsid w:val="00E01D32"/>
    <w:rsid w:val="00E279BE"/>
    <w:rsid w:val="00E448F3"/>
    <w:rsid w:val="00E550C5"/>
    <w:rsid w:val="00E758E4"/>
    <w:rsid w:val="00EB2A91"/>
    <w:rsid w:val="00EE5E7F"/>
    <w:rsid w:val="00F03E29"/>
    <w:rsid w:val="00F12006"/>
    <w:rsid w:val="00F148BA"/>
    <w:rsid w:val="00F160AB"/>
    <w:rsid w:val="00F36BEA"/>
    <w:rsid w:val="00F96DDF"/>
    <w:rsid w:val="00FA0407"/>
    <w:rsid w:val="00FA2DA2"/>
    <w:rsid w:val="00FA3473"/>
    <w:rsid w:val="00FC5D56"/>
    <w:rsid w:val="00FC5E35"/>
    <w:rsid w:val="00FE1CBE"/>
    <w:rsid w:val="00FE440B"/>
    <w:rsid w:val="00FF13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1A3535"/>
  <w15:docId w15:val="{FEA6E556-96C2-4EE3-94E2-825EA4245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05F2"/>
    <w:pPr>
      <w:spacing w:after="200"/>
      <w:jc w:val="both"/>
    </w:pPr>
    <w:rPr>
      <w:sz w:val="24"/>
      <w:szCs w:val="24"/>
    </w:rPr>
  </w:style>
  <w:style w:type="paragraph" w:styleId="Titre2">
    <w:name w:val="heading 2"/>
    <w:basedOn w:val="Normal"/>
    <w:next w:val="Normal"/>
    <w:link w:val="Titre2Car"/>
    <w:rsid w:val="00C83642"/>
    <w:pPr>
      <w:keepNext/>
      <w:spacing w:before="240" w:after="60"/>
      <w:outlineLvl w:val="1"/>
    </w:pPr>
    <w:rPr>
      <w:rFonts w:ascii="Arial" w:hAnsi="Arial" w:cs="Arial"/>
      <w:b/>
      <w:bCs/>
      <w:i/>
      <w:iCs/>
      <w:sz w:val="28"/>
      <w:szCs w:val="28"/>
    </w:rPr>
  </w:style>
  <w:style w:type="paragraph" w:styleId="Titre3">
    <w:name w:val="heading 3"/>
    <w:basedOn w:val="Normal"/>
    <w:next w:val="Normal"/>
    <w:rsid w:val="00C83642"/>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andTitre">
    <w:name w:val="Grand Titre"/>
    <w:basedOn w:val="Titre2"/>
    <w:link w:val="GrandTitreCar"/>
    <w:qFormat/>
    <w:rsid w:val="0086754A"/>
    <w:pPr>
      <w:overflowPunct w:val="0"/>
      <w:autoSpaceDE w:val="0"/>
      <w:autoSpaceDN w:val="0"/>
      <w:adjustRightInd w:val="0"/>
      <w:spacing w:before="0" w:after="360"/>
      <w:jc w:val="center"/>
      <w:textAlignment w:val="baseline"/>
      <w:outlineLvl w:val="9"/>
    </w:pPr>
    <w:rPr>
      <w:rFonts w:ascii="Times" w:hAnsi="Times" w:cs="Times New Roman"/>
      <w:bCs w:val="0"/>
      <w:i w:val="0"/>
      <w:iCs w:val="0"/>
      <w:szCs w:val="20"/>
    </w:rPr>
  </w:style>
  <w:style w:type="paragraph" w:customStyle="1" w:styleId="Auteurs">
    <w:name w:val="Auteurs"/>
    <w:basedOn w:val="Titre3"/>
    <w:qFormat/>
    <w:rsid w:val="0086754A"/>
    <w:pPr>
      <w:overflowPunct w:val="0"/>
      <w:autoSpaceDE w:val="0"/>
      <w:autoSpaceDN w:val="0"/>
      <w:adjustRightInd w:val="0"/>
      <w:spacing w:before="0" w:after="200"/>
      <w:jc w:val="center"/>
      <w:textAlignment w:val="baseline"/>
      <w:outlineLvl w:val="9"/>
    </w:pPr>
    <w:rPr>
      <w:rFonts w:ascii="Times" w:hAnsi="Times" w:cs="Times New Roman"/>
      <w:b w:val="0"/>
      <w:bCs w:val="0"/>
      <w:sz w:val="22"/>
      <w:szCs w:val="20"/>
    </w:rPr>
  </w:style>
  <w:style w:type="paragraph" w:customStyle="1" w:styleId="Adresses">
    <w:name w:val="Adresses"/>
    <w:basedOn w:val="Normal"/>
    <w:qFormat/>
    <w:rsid w:val="00090C16"/>
    <w:pPr>
      <w:overflowPunct w:val="0"/>
      <w:autoSpaceDE w:val="0"/>
      <w:autoSpaceDN w:val="0"/>
      <w:adjustRightInd w:val="0"/>
      <w:spacing w:after="0"/>
      <w:jc w:val="center"/>
      <w:textAlignment w:val="baseline"/>
    </w:pPr>
    <w:rPr>
      <w:rFonts w:ascii="Times" w:hAnsi="Times"/>
      <w:sz w:val="16"/>
      <w:szCs w:val="20"/>
    </w:rPr>
  </w:style>
  <w:style w:type="paragraph" w:customStyle="1" w:styleId="Resume">
    <w:name w:val="Resume"/>
    <w:basedOn w:val="Normal"/>
    <w:link w:val="ResumeCar"/>
    <w:qFormat/>
    <w:rsid w:val="0086754A"/>
    <w:pPr>
      <w:overflowPunct w:val="0"/>
      <w:autoSpaceDE w:val="0"/>
      <w:autoSpaceDN w:val="0"/>
      <w:adjustRightInd w:val="0"/>
      <w:spacing w:after="0"/>
      <w:textAlignment w:val="baseline"/>
    </w:pPr>
    <w:rPr>
      <w:rFonts w:ascii="Times" w:hAnsi="Times"/>
      <w:sz w:val="20"/>
      <w:szCs w:val="20"/>
    </w:rPr>
  </w:style>
  <w:style w:type="character" w:styleId="Lienhypertexte">
    <w:name w:val="Hyperlink"/>
    <w:basedOn w:val="Policepardfaut"/>
    <w:rsid w:val="00FE440B"/>
    <w:rPr>
      <w:color w:val="0000FF"/>
      <w:u w:val="single"/>
    </w:rPr>
  </w:style>
  <w:style w:type="paragraph" w:styleId="En-tte">
    <w:name w:val="header"/>
    <w:basedOn w:val="Normal"/>
    <w:rsid w:val="00917E3F"/>
    <w:pPr>
      <w:tabs>
        <w:tab w:val="center" w:pos="4536"/>
        <w:tab w:val="right" w:pos="9072"/>
      </w:tabs>
    </w:pPr>
    <w:rPr>
      <w:sz w:val="16"/>
    </w:rPr>
  </w:style>
  <w:style w:type="paragraph" w:styleId="Pieddepage">
    <w:name w:val="footer"/>
    <w:basedOn w:val="Normal"/>
    <w:link w:val="PieddepageCar"/>
    <w:uiPriority w:val="99"/>
    <w:rsid w:val="00C83642"/>
    <w:pPr>
      <w:tabs>
        <w:tab w:val="center" w:pos="4536"/>
        <w:tab w:val="right" w:pos="9072"/>
      </w:tabs>
    </w:pPr>
  </w:style>
  <w:style w:type="table" w:styleId="Grilledutableau">
    <w:name w:val="Table Grid"/>
    <w:basedOn w:val="TableauNormal"/>
    <w:rsid w:val="0023324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7C1D7D"/>
    <w:rPr>
      <w:sz w:val="24"/>
      <w:szCs w:val="24"/>
    </w:rPr>
  </w:style>
  <w:style w:type="paragraph" w:customStyle="1" w:styleId="LgendeFigure">
    <w:name w:val="Légende Figure"/>
    <w:basedOn w:val="Resume"/>
    <w:rsid w:val="00A75B98"/>
    <w:pPr>
      <w:spacing w:before="160" w:after="200"/>
      <w:jc w:val="center"/>
    </w:pPr>
    <w:rPr>
      <w:rFonts w:ascii="Times New Roman" w:hAnsi="Times New Roman"/>
      <w:i/>
    </w:rPr>
  </w:style>
  <w:style w:type="paragraph" w:customStyle="1" w:styleId="Titreresume">
    <w:name w:val="Titre resume"/>
    <w:basedOn w:val="Resume"/>
    <w:qFormat/>
    <w:rsid w:val="000E0169"/>
    <w:pPr>
      <w:spacing w:after="200"/>
      <w:jc w:val="center"/>
    </w:pPr>
    <w:rPr>
      <w:rFonts w:ascii="Times New Roman" w:hAnsi="Times New Roman"/>
      <w:b/>
      <w:sz w:val="24"/>
      <w:szCs w:val="24"/>
    </w:rPr>
  </w:style>
  <w:style w:type="paragraph" w:customStyle="1" w:styleId="Titredeniveau1">
    <w:name w:val="Titre de niveau1"/>
    <w:basedOn w:val="Normal"/>
    <w:qFormat/>
    <w:rsid w:val="00272E76"/>
    <w:pPr>
      <w:tabs>
        <w:tab w:val="left" w:pos="567"/>
      </w:tabs>
    </w:pPr>
    <w:rPr>
      <w:b/>
    </w:rPr>
  </w:style>
  <w:style w:type="paragraph" w:customStyle="1" w:styleId="Titredeniveau2">
    <w:name w:val="Titre de niveau2"/>
    <w:basedOn w:val="Normal"/>
    <w:qFormat/>
    <w:rsid w:val="00272E76"/>
    <w:pPr>
      <w:numPr>
        <w:ilvl w:val="1"/>
        <w:numId w:val="1"/>
      </w:numPr>
      <w:tabs>
        <w:tab w:val="clear" w:pos="360"/>
        <w:tab w:val="num" w:pos="567"/>
      </w:tabs>
    </w:pPr>
    <w:rPr>
      <w:b/>
      <w:sz w:val="22"/>
      <w:szCs w:val="22"/>
    </w:rPr>
  </w:style>
  <w:style w:type="paragraph" w:styleId="Textedebulles">
    <w:name w:val="Balloon Text"/>
    <w:basedOn w:val="Normal"/>
    <w:link w:val="TextedebullesCar"/>
    <w:rsid w:val="00E279BE"/>
    <w:rPr>
      <w:rFonts w:ascii="Tahoma" w:hAnsi="Tahoma" w:cs="Tahoma"/>
      <w:sz w:val="16"/>
      <w:szCs w:val="16"/>
    </w:rPr>
  </w:style>
  <w:style w:type="character" w:customStyle="1" w:styleId="TextedebullesCar">
    <w:name w:val="Texte de bulles Car"/>
    <w:basedOn w:val="Policepardfaut"/>
    <w:link w:val="Textedebulles"/>
    <w:rsid w:val="00E279BE"/>
    <w:rPr>
      <w:rFonts w:ascii="Tahoma" w:hAnsi="Tahoma" w:cs="Tahoma"/>
      <w:sz w:val="16"/>
      <w:szCs w:val="16"/>
    </w:rPr>
  </w:style>
  <w:style w:type="character" w:styleId="Textedelespacerserv">
    <w:name w:val="Placeholder Text"/>
    <w:basedOn w:val="Policepardfaut"/>
    <w:uiPriority w:val="99"/>
    <w:semiHidden/>
    <w:rsid w:val="00F12006"/>
    <w:rPr>
      <w:color w:val="808080"/>
    </w:rPr>
  </w:style>
  <w:style w:type="paragraph" w:customStyle="1" w:styleId="SousTitre">
    <w:name w:val="Sous Titre"/>
    <w:basedOn w:val="GrandTitre"/>
    <w:link w:val="SousTitreCar"/>
    <w:qFormat/>
    <w:rsid w:val="0086754A"/>
    <w:rPr>
      <w:rFonts w:ascii="Times New Roman" w:hAnsi="Times New Roman"/>
      <w:i/>
      <w:szCs w:val="28"/>
    </w:rPr>
  </w:style>
  <w:style w:type="paragraph" w:styleId="Paragraphedeliste">
    <w:name w:val="List Paragraph"/>
    <w:basedOn w:val="Normal"/>
    <w:uiPriority w:val="34"/>
    <w:rsid w:val="000E0169"/>
    <w:pPr>
      <w:ind w:left="720"/>
      <w:contextualSpacing/>
    </w:pPr>
  </w:style>
  <w:style w:type="character" w:customStyle="1" w:styleId="Titre2Car">
    <w:name w:val="Titre 2 Car"/>
    <w:basedOn w:val="Policepardfaut"/>
    <w:link w:val="Titre2"/>
    <w:rsid w:val="006F4CC1"/>
    <w:rPr>
      <w:rFonts w:ascii="Arial" w:hAnsi="Arial" w:cs="Arial"/>
      <w:b/>
      <w:bCs/>
      <w:i/>
      <w:iCs/>
      <w:sz w:val="28"/>
      <w:szCs w:val="28"/>
    </w:rPr>
  </w:style>
  <w:style w:type="character" w:customStyle="1" w:styleId="GrandTitreCar">
    <w:name w:val="Grand Titre Car"/>
    <w:basedOn w:val="Titre2Car"/>
    <w:link w:val="GrandTitre"/>
    <w:rsid w:val="0086754A"/>
    <w:rPr>
      <w:rFonts w:ascii="Times" w:hAnsi="Times" w:cs="Arial"/>
      <w:b/>
      <w:bCs/>
      <w:i/>
      <w:iCs/>
      <w:sz w:val="28"/>
      <w:szCs w:val="28"/>
    </w:rPr>
  </w:style>
  <w:style w:type="character" w:customStyle="1" w:styleId="SousTitreCar">
    <w:name w:val="Sous Titre Car"/>
    <w:basedOn w:val="GrandTitreCar"/>
    <w:link w:val="SousTitre"/>
    <w:rsid w:val="0086754A"/>
    <w:rPr>
      <w:rFonts w:ascii="Times" w:hAnsi="Times" w:cs="Arial"/>
      <w:b/>
      <w:bCs/>
      <w:i/>
      <w:iCs/>
      <w:sz w:val="28"/>
      <w:szCs w:val="28"/>
    </w:rPr>
  </w:style>
  <w:style w:type="paragraph" w:customStyle="1" w:styleId="Titreremerciementsetrfrences">
    <w:name w:val="Titre remerciements et références"/>
    <w:basedOn w:val="Normal"/>
    <w:link w:val="TitreremerciementsetrfrencesCar"/>
    <w:qFormat/>
    <w:rsid w:val="00A75B98"/>
    <w:rPr>
      <w:b/>
    </w:rPr>
  </w:style>
  <w:style w:type="character" w:customStyle="1" w:styleId="ResumeCar">
    <w:name w:val="Resume Car"/>
    <w:basedOn w:val="Policepardfaut"/>
    <w:link w:val="Resume"/>
    <w:rsid w:val="00A75B98"/>
    <w:rPr>
      <w:rFonts w:ascii="Times" w:hAnsi="Times"/>
    </w:rPr>
  </w:style>
  <w:style w:type="character" w:customStyle="1" w:styleId="TitreremerciementsetrfrencesCar">
    <w:name w:val="Titre remerciements et références Car"/>
    <w:basedOn w:val="ResumeCar"/>
    <w:link w:val="Titreremerciementsetrfrences"/>
    <w:rsid w:val="00A75B98"/>
    <w:rPr>
      <w:rFonts w:ascii="Times" w:hAnsi="Times"/>
      <w:b/>
      <w:sz w:val="24"/>
      <w:szCs w:val="24"/>
    </w:rPr>
  </w:style>
  <w:style w:type="paragraph" w:styleId="Lgende">
    <w:name w:val="caption"/>
    <w:basedOn w:val="Normal"/>
    <w:next w:val="Normal"/>
    <w:unhideWhenUsed/>
    <w:qFormat/>
    <w:rsid w:val="00F03E29"/>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livier.dorival@icam.fr"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coantonio.perez@iqs.ed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uilhem.michon@isae-supaero.fr"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jean-noel.perie@univ-tlse3.f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hilippe.guy@icam.fr" TargetMode="External"/><Relationship Id="rId14"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27259-DCF2-4790-A14A-7AEBC4F62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2841</Words>
  <Characters>15629</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Titre en français</vt:lpstr>
    </vt:vector>
  </TitlesOfParts>
  <Company>LGMT PRO²COM</Company>
  <LinksUpToDate>false</LinksUpToDate>
  <CharactersWithSpaces>18434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en français</dc:title>
  <dc:creator>Philippe Olivier</dc:creator>
  <cp:lastModifiedBy>olivier.dorival</cp:lastModifiedBy>
  <cp:revision>2</cp:revision>
  <cp:lastPrinted>2017-02-17T15:52:00Z</cp:lastPrinted>
  <dcterms:created xsi:type="dcterms:W3CDTF">2023-06-15T18:48:00Z</dcterms:created>
  <dcterms:modified xsi:type="dcterms:W3CDTF">2023-06-15T18:48:00Z</dcterms:modified>
</cp:coreProperties>
</file>