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4A8A" w14:textId="5B8ABDFD" w:rsidR="00AE7C80" w:rsidRPr="000A5B4D" w:rsidRDefault="00AE7C80" w:rsidP="00B74E2D">
      <w:pPr>
        <w:spacing w:line="240" w:lineRule="auto"/>
        <w:jc w:val="center"/>
        <w:rPr>
          <w:rFonts w:asciiTheme="majorBidi" w:hAnsiTheme="majorBidi" w:cstheme="majorBidi"/>
          <w:sz w:val="28"/>
          <w:szCs w:val="28"/>
        </w:rPr>
      </w:pPr>
      <w:r w:rsidRPr="000A5B4D">
        <w:rPr>
          <w:rFonts w:asciiTheme="majorBidi" w:hAnsiTheme="majorBidi" w:cstheme="majorBidi"/>
          <w:sz w:val="28"/>
          <w:szCs w:val="28"/>
        </w:rPr>
        <w:t>Supporting Information</w:t>
      </w:r>
    </w:p>
    <w:p w14:paraId="686D69C5" w14:textId="77777777" w:rsidR="00AE7C80" w:rsidRPr="00B072D4" w:rsidRDefault="00AE7C80" w:rsidP="00145BE0">
      <w:pPr>
        <w:spacing w:line="240" w:lineRule="auto"/>
        <w:jc w:val="center"/>
        <w:rPr>
          <w:rFonts w:ascii="Times New Roman" w:hAnsi="Times New Roman" w:cs="Times New Roman"/>
          <w:b/>
          <w:sz w:val="28"/>
          <w:szCs w:val="28"/>
        </w:rPr>
      </w:pPr>
    </w:p>
    <w:p w14:paraId="0A6F9636" w14:textId="1CF9C947" w:rsidR="00A82E5A" w:rsidRPr="00B74E2D" w:rsidRDefault="000B3D7B" w:rsidP="00145BE0">
      <w:pPr>
        <w:spacing w:after="440" w:line="240" w:lineRule="auto"/>
        <w:jc w:val="center"/>
        <w:rPr>
          <w:rFonts w:asciiTheme="majorBidi" w:hAnsiTheme="majorBidi" w:cstheme="majorBidi"/>
          <w:bCs/>
          <w:sz w:val="44"/>
          <w:szCs w:val="44"/>
        </w:rPr>
      </w:pPr>
      <w:r w:rsidRPr="000B3D7B">
        <w:rPr>
          <w:rFonts w:asciiTheme="majorBidi" w:hAnsiTheme="majorBidi" w:cstheme="majorBidi"/>
          <w:bCs/>
          <w:sz w:val="44"/>
          <w:szCs w:val="44"/>
        </w:rPr>
        <w:t>Residual Li</w:t>
      </w:r>
      <w:r w:rsidRPr="000B3D7B">
        <w:rPr>
          <w:rFonts w:asciiTheme="majorBidi" w:hAnsiTheme="majorBidi" w:cstheme="majorBidi"/>
          <w:bCs/>
          <w:sz w:val="44"/>
          <w:szCs w:val="44"/>
          <w:vertAlign w:val="subscript"/>
        </w:rPr>
        <w:t>2</w:t>
      </w:r>
      <w:r w:rsidRPr="000B3D7B">
        <w:rPr>
          <w:rFonts w:asciiTheme="majorBidi" w:hAnsiTheme="majorBidi" w:cstheme="majorBidi"/>
          <w:bCs/>
          <w:sz w:val="44"/>
          <w:szCs w:val="44"/>
        </w:rPr>
        <w:t>O degrades PVdF during the preparation of NMC811 slurries for Li-ion batteries</w:t>
      </w:r>
    </w:p>
    <w:p w14:paraId="1F03D3FD" w14:textId="77777777" w:rsidR="000B3D7B" w:rsidRDefault="000B3D7B" w:rsidP="00145BE0">
      <w:pPr>
        <w:spacing w:line="240" w:lineRule="auto"/>
        <w:jc w:val="both"/>
        <w:rPr>
          <w:rFonts w:ascii="Times New Roman" w:hAnsi="Times New Roman" w:cs="Times New Roman"/>
          <w:bCs/>
          <w:i/>
          <w:iCs/>
          <w:sz w:val="24"/>
          <w:szCs w:val="24"/>
          <w:lang w:val="fr-FR"/>
        </w:rPr>
      </w:pPr>
      <w:r w:rsidRPr="000B3D7B">
        <w:rPr>
          <w:rFonts w:ascii="Times New Roman" w:hAnsi="Times New Roman" w:cs="Times New Roman"/>
          <w:bCs/>
          <w:i/>
          <w:iCs/>
          <w:sz w:val="24"/>
          <w:szCs w:val="24"/>
          <w:lang w:val="fr-FR"/>
        </w:rPr>
        <w:t>Angelica Laurita,</w:t>
      </w:r>
      <w:r w:rsidRPr="000B3D7B">
        <w:rPr>
          <w:rFonts w:ascii="Times New Roman" w:hAnsi="Times New Roman" w:cs="Times New Roman"/>
          <w:bCs/>
          <w:i/>
          <w:iCs/>
          <w:sz w:val="24"/>
          <w:szCs w:val="24"/>
          <w:vertAlign w:val="superscript"/>
          <w:lang w:val="fr-FR"/>
        </w:rPr>
        <w:t>*a</w:t>
      </w:r>
      <w:r w:rsidRPr="000B3D7B">
        <w:rPr>
          <w:rFonts w:ascii="Times New Roman" w:hAnsi="Times New Roman" w:cs="Times New Roman"/>
          <w:bCs/>
          <w:i/>
          <w:iCs/>
          <w:sz w:val="24"/>
          <w:szCs w:val="24"/>
          <w:lang w:val="fr-FR"/>
        </w:rPr>
        <w:t xml:space="preserve"> Liang Zhu,</w:t>
      </w:r>
      <w:r w:rsidRPr="000B3D7B">
        <w:rPr>
          <w:rFonts w:ascii="Times New Roman" w:hAnsi="Times New Roman" w:cs="Times New Roman"/>
          <w:bCs/>
          <w:i/>
          <w:iCs/>
          <w:sz w:val="24"/>
          <w:szCs w:val="24"/>
          <w:vertAlign w:val="superscript"/>
          <w:lang w:val="fr-FR"/>
        </w:rPr>
        <w:t>b</w:t>
      </w:r>
      <w:r w:rsidRPr="000B3D7B">
        <w:rPr>
          <w:rFonts w:ascii="Times New Roman" w:hAnsi="Times New Roman" w:cs="Times New Roman"/>
          <w:bCs/>
          <w:i/>
          <w:iCs/>
          <w:sz w:val="24"/>
          <w:szCs w:val="24"/>
          <w:lang w:val="fr-FR"/>
        </w:rPr>
        <w:t xml:space="preserve"> Pierre-Etienne Cabelguen,</w:t>
      </w:r>
      <w:r w:rsidRPr="000B3D7B">
        <w:rPr>
          <w:rFonts w:ascii="Times New Roman" w:hAnsi="Times New Roman" w:cs="Times New Roman"/>
          <w:bCs/>
          <w:i/>
          <w:iCs/>
          <w:sz w:val="24"/>
          <w:szCs w:val="24"/>
          <w:vertAlign w:val="superscript"/>
          <w:lang w:val="fr-FR"/>
        </w:rPr>
        <w:t>b</w:t>
      </w:r>
      <w:r w:rsidRPr="000B3D7B">
        <w:rPr>
          <w:rFonts w:ascii="Times New Roman" w:hAnsi="Times New Roman" w:cs="Times New Roman"/>
          <w:bCs/>
          <w:i/>
          <w:iCs/>
          <w:sz w:val="24"/>
          <w:szCs w:val="24"/>
          <w:lang w:val="fr-FR"/>
        </w:rPr>
        <w:t xml:space="preserve"> Jérémie Auvergniot,</w:t>
      </w:r>
      <w:r w:rsidRPr="000B3D7B">
        <w:rPr>
          <w:rFonts w:ascii="Times New Roman" w:hAnsi="Times New Roman" w:cs="Times New Roman"/>
          <w:bCs/>
          <w:i/>
          <w:iCs/>
          <w:sz w:val="24"/>
          <w:szCs w:val="24"/>
          <w:vertAlign w:val="superscript"/>
          <w:lang w:val="fr-FR"/>
        </w:rPr>
        <w:t>b</w:t>
      </w:r>
      <w:r w:rsidRPr="000B3D7B">
        <w:rPr>
          <w:rFonts w:ascii="Times New Roman" w:hAnsi="Times New Roman" w:cs="Times New Roman"/>
          <w:bCs/>
          <w:i/>
          <w:iCs/>
          <w:sz w:val="24"/>
          <w:szCs w:val="24"/>
          <w:lang w:val="fr-FR"/>
        </w:rPr>
        <w:t xml:space="preserve"> Dominique Guyomard,</w:t>
      </w:r>
      <w:r w:rsidRPr="000B3D7B">
        <w:rPr>
          <w:rFonts w:ascii="Times New Roman" w:hAnsi="Times New Roman" w:cs="Times New Roman"/>
          <w:bCs/>
          <w:i/>
          <w:iCs/>
          <w:sz w:val="24"/>
          <w:szCs w:val="24"/>
          <w:vertAlign w:val="superscript"/>
          <w:lang w:val="fr-FR"/>
        </w:rPr>
        <w:t>a</w:t>
      </w:r>
      <w:r w:rsidRPr="000B3D7B">
        <w:rPr>
          <w:rFonts w:ascii="Times New Roman" w:hAnsi="Times New Roman" w:cs="Times New Roman"/>
          <w:bCs/>
          <w:i/>
          <w:iCs/>
          <w:sz w:val="24"/>
          <w:szCs w:val="24"/>
          <w:lang w:val="fr-FR"/>
        </w:rPr>
        <w:t xml:space="preserve"> Philippe Moreau </w:t>
      </w:r>
      <w:r w:rsidRPr="000B3D7B">
        <w:rPr>
          <w:rFonts w:ascii="Times New Roman" w:hAnsi="Times New Roman" w:cs="Times New Roman"/>
          <w:bCs/>
          <w:i/>
          <w:iCs/>
          <w:sz w:val="24"/>
          <w:szCs w:val="24"/>
          <w:vertAlign w:val="superscript"/>
          <w:lang w:val="fr-FR"/>
        </w:rPr>
        <w:t>a</w:t>
      </w:r>
      <w:r w:rsidRPr="000B3D7B">
        <w:rPr>
          <w:rFonts w:ascii="Times New Roman" w:hAnsi="Times New Roman" w:cs="Times New Roman"/>
          <w:bCs/>
          <w:i/>
          <w:iCs/>
          <w:sz w:val="24"/>
          <w:szCs w:val="24"/>
          <w:lang w:val="fr-FR"/>
        </w:rPr>
        <w:t xml:space="preserve"> and Nicolas Dupré</w:t>
      </w:r>
      <w:r w:rsidRPr="000B3D7B">
        <w:rPr>
          <w:rFonts w:ascii="Times New Roman" w:hAnsi="Times New Roman" w:cs="Times New Roman"/>
          <w:bCs/>
          <w:i/>
          <w:iCs/>
          <w:sz w:val="24"/>
          <w:szCs w:val="24"/>
          <w:vertAlign w:val="superscript"/>
          <w:lang w:val="fr-FR"/>
        </w:rPr>
        <w:t>*a</w:t>
      </w:r>
    </w:p>
    <w:p w14:paraId="050C900B" w14:textId="487A8317" w:rsidR="00A82E5A" w:rsidRPr="0042145C" w:rsidRDefault="000B3D7B" w:rsidP="00145BE0">
      <w:pPr>
        <w:spacing w:line="240" w:lineRule="auto"/>
        <w:jc w:val="both"/>
        <w:rPr>
          <w:rFonts w:ascii="Times New Roman" w:hAnsi="Times New Roman" w:cs="Times New Roman"/>
          <w:sz w:val="24"/>
          <w:szCs w:val="24"/>
          <w:lang w:val="fr-FR"/>
        </w:rPr>
      </w:pPr>
      <w:r w:rsidRPr="000B3D7B">
        <w:rPr>
          <w:rFonts w:ascii="Times New Roman" w:hAnsi="Times New Roman" w:cs="Times New Roman"/>
          <w:bCs/>
          <w:i/>
          <w:iCs/>
          <w:sz w:val="24"/>
          <w:szCs w:val="24"/>
          <w:lang w:val="fr-FR"/>
        </w:rPr>
        <w:t xml:space="preserve"> </w:t>
      </w:r>
      <w:r w:rsidR="00B62126">
        <w:rPr>
          <w:rFonts w:ascii="Times New Roman" w:hAnsi="Times New Roman" w:cs="Times New Roman"/>
          <w:color w:val="000000"/>
          <w:sz w:val="24"/>
          <w:szCs w:val="24"/>
          <w:vertAlign w:val="superscript"/>
          <w:lang w:val="fr-FR"/>
        </w:rPr>
        <w:t>a</w:t>
      </w:r>
      <w:r w:rsidR="00A82E5A" w:rsidRPr="0042145C">
        <w:rPr>
          <w:rFonts w:ascii="Times New Roman" w:hAnsi="Times New Roman" w:cs="Times New Roman"/>
          <w:sz w:val="24"/>
          <w:szCs w:val="24"/>
          <w:lang w:val="fr-FR"/>
        </w:rPr>
        <w:t>Universit</w:t>
      </w:r>
      <w:r w:rsidR="00A82E5A" w:rsidRPr="0042145C">
        <w:rPr>
          <w:rFonts w:ascii="Times New Roman" w:hAnsi="Times New Roman" w:cs="Times New Roman"/>
          <w:sz w:val="24"/>
          <w:szCs w:val="24"/>
          <w:shd w:val="clear" w:color="auto" w:fill="FFFFFF"/>
          <w:lang w:val="fr-FR"/>
        </w:rPr>
        <w:t>é</w:t>
      </w:r>
      <w:r w:rsidR="00A82E5A" w:rsidRPr="0042145C">
        <w:rPr>
          <w:rFonts w:ascii="Times New Roman" w:hAnsi="Times New Roman" w:cs="Times New Roman"/>
          <w:sz w:val="24"/>
          <w:szCs w:val="24"/>
          <w:lang w:val="fr-FR"/>
        </w:rPr>
        <w:t xml:space="preserve"> de Nantes, CNRS, Institut des Mat</w:t>
      </w:r>
      <w:r w:rsidR="00A82E5A" w:rsidRPr="0042145C">
        <w:rPr>
          <w:rFonts w:ascii="Times New Roman" w:hAnsi="Times New Roman" w:cs="Times New Roman"/>
          <w:sz w:val="24"/>
          <w:szCs w:val="24"/>
          <w:shd w:val="clear" w:color="auto" w:fill="FFFFFF"/>
          <w:lang w:val="fr-FR"/>
        </w:rPr>
        <w:t>é</w:t>
      </w:r>
      <w:r w:rsidR="00A82E5A" w:rsidRPr="0042145C">
        <w:rPr>
          <w:rFonts w:ascii="Times New Roman" w:hAnsi="Times New Roman" w:cs="Times New Roman"/>
          <w:sz w:val="24"/>
          <w:szCs w:val="24"/>
          <w:lang w:val="fr-FR"/>
        </w:rPr>
        <w:t>riaux Jean Rouxel (IMN), F – 44000, Nantes, France</w:t>
      </w:r>
    </w:p>
    <w:p w14:paraId="4DFE9757" w14:textId="5D1EDA71" w:rsidR="00A82E5A" w:rsidRDefault="00B62126" w:rsidP="00145BE0">
      <w:pPr>
        <w:spacing w:line="240" w:lineRule="auto"/>
        <w:jc w:val="both"/>
        <w:rPr>
          <w:rFonts w:ascii="Times New Roman" w:hAnsi="Times New Roman" w:cs="Times New Roman"/>
          <w:sz w:val="24"/>
          <w:szCs w:val="24"/>
          <w:lang w:val="fr-FR"/>
        </w:rPr>
      </w:pPr>
      <w:r w:rsidRPr="007B7681">
        <w:rPr>
          <w:rFonts w:ascii="Times New Roman" w:hAnsi="Times New Roman" w:cs="Times New Roman"/>
          <w:color w:val="000000"/>
          <w:sz w:val="24"/>
          <w:szCs w:val="24"/>
          <w:vertAlign w:val="superscript"/>
          <w:lang w:val="fr-FR"/>
        </w:rPr>
        <w:t>b</w:t>
      </w:r>
      <w:r w:rsidR="007B7681" w:rsidRPr="007B7681">
        <w:rPr>
          <w:rFonts w:ascii="Times New Roman" w:hAnsi="Times New Roman" w:cs="Times New Roman"/>
          <w:sz w:val="24"/>
          <w:szCs w:val="24"/>
          <w:lang w:val="fr-FR"/>
        </w:rPr>
        <w:t>Umicore, 31 rue du marais, Brussels BE-1000, Belgium.</w:t>
      </w:r>
    </w:p>
    <w:p w14:paraId="03AEFECA" w14:textId="39A17032" w:rsidR="007B7681" w:rsidRDefault="007B7681" w:rsidP="00145BE0">
      <w:pPr>
        <w:spacing w:line="240" w:lineRule="auto"/>
        <w:jc w:val="both"/>
        <w:rPr>
          <w:rFonts w:ascii="Times New Roman" w:hAnsi="Times New Roman" w:cs="Times New Roman"/>
          <w:sz w:val="24"/>
          <w:szCs w:val="24"/>
          <w:lang w:val="fr-FR"/>
        </w:rPr>
      </w:pPr>
    </w:p>
    <w:p w14:paraId="0159F14E" w14:textId="3B3A1ABC" w:rsidR="007B7681" w:rsidRPr="007B7681" w:rsidRDefault="007B7681" w:rsidP="00145BE0">
      <w:pPr>
        <w:spacing w:line="240" w:lineRule="auto"/>
        <w:jc w:val="both"/>
        <w:rPr>
          <w:rFonts w:ascii="Times New Roman" w:hAnsi="Times New Roman" w:cs="Times New Roman"/>
          <w:sz w:val="24"/>
          <w:szCs w:val="24"/>
          <w:lang w:val="en-US"/>
        </w:rPr>
      </w:pPr>
      <w:r w:rsidRPr="007B7681">
        <w:rPr>
          <w:rFonts w:ascii="Times New Roman" w:hAnsi="Times New Roman" w:cs="Times New Roman"/>
          <w:bCs/>
          <w:i/>
          <w:iCs/>
          <w:sz w:val="24"/>
          <w:szCs w:val="24"/>
          <w:lang w:val="en-US"/>
        </w:rPr>
        <w:t>* </w:t>
      </w:r>
      <w:r w:rsidRPr="007B7681">
        <w:rPr>
          <w:rFonts w:ascii="Times New Roman" w:hAnsi="Times New Roman" w:cs="Times New Roman"/>
          <w:bCs/>
          <w:iCs/>
          <w:sz w:val="24"/>
          <w:szCs w:val="24"/>
          <w:lang w:val="en-US"/>
        </w:rPr>
        <w:t>: Corresponding authors</w:t>
      </w:r>
    </w:p>
    <w:p w14:paraId="2A35B95C" w14:textId="5071EB03" w:rsidR="007B7681" w:rsidRDefault="007B7681" w:rsidP="00145BE0">
      <w:pPr>
        <w:spacing w:line="240" w:lineRule="auto"/>
        <w:jc w:val="both"/>
        <w:rPr>
          <w:rFonts w:ascii="Times New Roman" w:hAnsi="Times New Roman" w:cs="Times New Roman"/>
          <w:sz w:val="24"/>
          <w:szCs w:val="24"/>
          <w:lang w:val="en-US"/>
        </w:rPr>
      </w:pPr>
    </w:p>
    <w:p w14:paraId="3D51C21C" w14:textId="047E4345" w:rsidR="007B7681" w:rsidRDefault="007B7681" w:rsidP="00145BE0">
      <w:pPr>
        <w:spacing w:line="240" w:lineRule="auto"/>
        <w:jc w:val="both"/>
        <w:rPr>
          <w:rFonts w:ascii="Times New Roman" w:hAnsi="Times New Roman" w:cs="Times New Roman"/>
          <w:sz w:val="24"/>
          <w:szCs w:val="24"/>
          <w:lang w:val="en-US"/>
        </w:rPr>
      </w:pPr>
    </w:p>
    <w:p w14:paraId="7AE77339" w14:textId="74D76AE8" w:rsidR="007B7681" w:rsidRDefault="007B7681" w:rsidP="00145BE0">
      <w:pPr>
        <w:spacing w:line="240" w:lineRule="auto"/>
        <w:jc w:val="both"/>
        <w:rPr>
          <w:rFonts w:ascii="Times New Roman" w:hAnsi="Times New Roman" w:cs="Times New Roman"/>
          <w:sz w:val="24"/>
          <w:szCs w:val="24"/>
          <w:lang w:val="en-US"/>
        </w:rPr>
      </w:pPr>
    </w:p>
    <w:p w14:paraId="072D3D0C" w14:textId="100B6C5E" w:rsidR="007B7681" w:rsidRDefault="007B7681" w:rsidP="00145BE0">
      <w:pPr>
        <w:spacing w:line="240" w:lineRule="auto"/>
        <w:jc w:val="both"/>
        <w:rPr>
          <w:rFonts w:ascii="Times New Roman" w:hAnsi="Times New Roman" w:cs="Times New Roman"/>
          <w:sz w:val="24"/>
          <w:szCs w:val="24"/>
          <w:lang w:val="en-US"/>
        </w:rPr>
      </w:pPr>
    </w:p>
    <w:p w14:paraId="21490DA5" w14:textId="0CC4DD6D" w:rsidR="007B7681" w:rsidRDefault="007B7681" w:rsidP="00145BE0">
      <w:pPr>
        <w:spacing w:line="240" w:lineRule="auto"/>
        <w:jc w:val="both"/>
        <w:rPr>
          <w:rFonts w:ascii="Times New Roman" w:hAnsi="Times New Roman" w:cs="Times New Roman"/>
          <w:sz w:val="24"/>
          <w:szCs w:val="24"/>
          <w:lang w:val="en-US"/>
        </w:rPr>
      </w:pPr>
    </w:p>
    <w:p w14:paraId="776F4ACD" w14:textId="25637ABA" w:rsidR="007B7681" w:rsidRDefault="007B7681" w:rsidP="00145BE0">
      <w:pPr>
        <w:spacing w:line="240" w:lineRule="auto"/>
        <w:jc w:val="both"/>
        <w:rPr>
          <w:rFonts w:ascii="Times New Roman" w:hAnsi="Times New Roman" w:cs="Times New Roman"/>
          <w:sz w:val="24"/>
          <w:szCs w:val="24"/>
          <w:lang w:val="en-US"/>
        </w:rPr>
      </w:pPr>
    </w:p>
    <w:p w14:paraId="7467F753" w14:textId="2FF836B1" w:rsidR="007B7681" w:rsidRDefault="007B7681" w:rsidP="00145BE0">
      <w:pPr>
        <w:spacing w:line="240" w:lineRule="auto"/>
        <w:jc w:val="both"/>
        <w:rPr>
          <w:rFonts w:ascii="Times New Roman" w:hAnsi="Times New Roman" w:cs="Times New Roman"/>
          <w:sz w:val="24"/>
          <w:szCs w:val="24"/>
          <w:lang w:val="en-US"/>
        </w:rPr>
      </w:pPr>
    </w:p>
    <w:p w14:paraId="6056FAD7" w14:textId="5F6C2C73" w:rsidR="007B7681" w:rsidRDefault="007B7681" w:rsidP="00145BE0">
      <w:pPr>
        <w:spacing w:line="240" w:lineRule="auto"/>
        <w:jc w:val="both"/>
        <w:rPr>
          <w:rFonts w:ascii="Times New Roman" w:hAnsi="Times New Roman" w:cs="Times New Roman"/>
          <w:sz w:val="24"/>
          <w:szCs w:val="24"/>
          <w:lang w:val="en-US"/>
        </w:rPr>
      </w:pPr>
    </w:p>
    <w:p w14:paraId="53F212F7" w14:textId="0800C057" w:rsidR="007B7681" w:rsidRDefault="007B7681" w:rsidP="00145BE0">
      <w:pPr>
        <w:spacing w:line="240" w:lineRule="auto"/>
        <w:jc w:val="both"/>
        <w:rPr>
          <w:rFonts w:ascii="Times New Roman" w:hAnsi="Times New Roman" w:cs="Times New Roman"/>
          <w:sz w:val="24"/>
          <w:szCs w:val="24"/>
          <w:lang w:val="en-US"/>
        </w:rPr>
      </w:pPr>
    </w:p>
    <w:p w14:paraId="1FDF773D" w14:textId="49418A7C" w:rsidR="007B7681" w:rsidRDefault="007B7681" w:rsidP="00145BE0">
      <w:pPr>
        <w:spacing w:line="240" w:lineRule="auto"/>
        <w:jc w:val="both"/>
        <w:rPr>
          <w:rFonts w:ascii="Times New Roman" w:hAnsi="Times New Roman" w:cs="Times New Roman"/>
          <w:sz w:val="24"/>
          <w:szCs w:val="24"/>
          <w:lang w:val="en-US"/>
        </w:rPr>
      </w:pPr>
    </w:p>
    <w:p w14:paraId="726A9707" w14:textId="48BCA387" w:rsidR="007B7681" w:rsidRDefault="007B7681" w:rsidP="00145BE0">
      <w:pPr>
        <w:spacing w:line="240" w:lineRule="auto"/>
        <w:jc w:val="both"/>
        <w:rPr>
          <w:rFonts w:ascii="Times New Roman" w:hAnsi="Times New Roman" w:cs="Times New Roman"/>
          <w:sz w:val="24"/>
          <w:szCs w:val="24"/>
          <w:lang w:val="en-US"/>
        </w:rPr>
      </w:pPr>
    </w:p>
    <w:p w14:paraId="07DA3B07" w14:textId="45E95F48" w:rsidR="007B7681" w:rsidRDefault="007B7681" w:rsidP="00145BE0">
      <w:pPr>
        <w:spacing w:line="240" w:lineRule="auto"/>
        <w:jc w:val="both"/>
        <w:rPr>
          <w:rFonts w:ascii="Times New Roman" w:hAnsi="Times New Roman" w:cs="Times New Roman"/>
          <w:sz w:val="24"/>
          <w:szCs w:val="24"/>
          <w:lang w:val="en-US"/>
        </w:rPr>
      </w:pPr>
    </w:p>
    <w:p w14:paraId="24F92E91" w14:textId="6152B8A1" w:rsidR="007B7681" w:rsidRDefault="007B7681" w:rsidP="00145BE0">
      <w:pPr>
        <w:spacing w:line="240" w:lineRule="auto"/>
        <w:jc w:val="both"/>
        <w:rPr>
          <w:rFonts w:ascii="Times New Roman" w:hAnsi="Times New Roman" w:cs="Times New Roman"/>
          <w:sz w:val="24"/>
          <w:szCs w:val="24"/>
          <w:lang w:val="en-US"/>
        </w:rPr>
      </w:pPr>
    </w:p>
    <w:p w14:paraId="3D81D6D3" w14:textId="66110B28" w:rsidR="007B7681" w:rsidRDefault="007B7681" w:rsidP="00145BE0">
      <w:pPr>
        <w:spacing w:line="240" w:lineRule="auto"/>
        <w:jc w:val="both"/>
        <w:rPr>
          <w:rFonts w:ascii="Times New Roman" w:hAnsi="Times New Roman" w:cs="Times New Roman"/>
          <w:sz w:val="24"/>
          <w:szCs w:val="24"/>
          <w:lang w:val="en-US"/>
        </w:rPr>
      </w:pPr>
    </w:p>
    <w:p w14:paraId="36E5DBDE" w14:textId="73D7CA56" w:rsidR="007B7681" w:rsidRDefault="007B7681" w:rsidP="00145BE0">
      <w:pPr>
        <w:spacing w:line="240" w:lineRule="auto"/>
        <w:jc w:val="both"/>
        <w:rPr>
          <w:rFonts w:ascii="Times New Roman" w:hAnsi="Times New Roman" w:cs="Times New Roman"/>
          <w:sz w:val="24"/>
          <w:szCs w:val="24"/>
          <w:lang w:val="en-US"/>
        </w:rPr>
      </w:pPr>
    </w:p>
    <w:p w14:paraId="387A49F1" w14:textId="3BD28F70" w:rsidR="007B7681" w:rsidRDefault="007B7681" w:rsidP="00145BE0">
      <w:pPr>
        <w:spacing w:line="240" w:lineRule="auto"/>
        <w:jc w:val="both"/>
        <w:rPr>
          <w:rFonts w:ascii="Times New Roman" w:hAnsi="Times New Roman" w:cs="Times New Roman"/>
          <w:sz w:val="24"/>
          <w:szCs w:val="24"/>
          <w:lang w:val="en-US"/>
        </w:rPr>
      </w:pPr>
    </w:p>
    <w:p w14:paraId="17D58CD6" w14:textId="509B7F99" w:rsidR="007B7681" w:rsidRDefault="007B7681" w:rsidP="00145BE0">
      <w:pPr>
        <w:spacing w:line="240" w:lineRule="auto"/>
        <w:jc w:val="both"/>
        <w:rPr>
          <w:rFonts w:ascii="Times New Roman" w:hAnsi="Times New Roman" w:cs="Times New Roman"/>
          <w:sz w:val="24"/>
          <w:szCs w:val="24"/>
          <w:lang w:val="en-US"/>
        </w:rPr>
      </w:pPr>
    </w:p>
    <w:p w14:paraId="787AFA9A" w14:textId="77777777" w:rsidR="007B7681" w:rsidRPr="007B7681" w:rsidRDefault="007B7681" w:rsidP="00145BE0">
      <w:pPr>
        <w:spacing w:line="240" w:lineRule="auto"/>
        <w:jc w:val="both"/>
        <w:rPr>
          <w:rFonts w:ascii="Times New Roman" w:hAnsi="Times New Roman" w:cs="Times New Roman"/>
          <w:sz w:val="24"/>
          <w:szCs w:val="24"/>
          <w:lang w:val="en-US"/>
        </w:rPr>
      </w:pPr>
    </w:p>
    <w:p w14:paraId="0B17FB3A" w14:textId="38339551" w:rsidR="00A07251" w:rsidRDefault="00A07251" w:rsidP="00B74E2D">
      <w:pPr>
        <w:spacing w:line="240" w:lineRule="auto"/>
        <w:contextualSpacing/>
        <w:rPr>
          <w:rFonts w:ascii="Times New Roman" w:hAnsi="Times New Roman" w:cs="Times New Roman"/>
          <w:b/>
          <w:sz w:val="24"/>
          <w:szCs w:val="24"/>
        </w:rPr>
      </w:pPr>
    </w:p>
    <w:p w14:paraId="460BE523" w14:textId="7457CBA6" w:rsidR="00921C28" w:rsidRDefault="007B7681" w:rsidP="007B7681">
      <w:pPr>
        <w:spacing w:line="240" w:lineRule="auto"/>
        <w:contextualSpacing/>
        <w:jc w:val="both"/>
        <w:rPr>
          <w:rFonts w:ascii="Times New Roman" w:hAnsi="Times New Roman" w:cs="Times New Roman"/>
          <w:b/>
          <w:sz w:val="24"/>
          <w:szCs w:val="24"/>
        </w:rPr>
      </w:pPr>
      <w:r w:rsidRPr="007B7681">
        <w:rPr>
          <w:rFonts w:ascii="Times New Roman" w:hAnsi="Times New Roman" w:cs="Times New Roman"/>
          <w:b/>
          <w:sz w:val="24"/>
          <w:szCs w:val="24"/>
        </w:rPr>
        <w:lastRenderedPageBreak/>
        <w:t xml:space="preserve">Table </w:t>
      </w:r>
      <w:r>
        <w:rPr>
          <w:rFonts w:ascii="Times New Roman" w:hAnsi="Times New Roman" w:cs="Times New Roman"/>
          <w:b/>
          <w:sz w:val="24"/>
          <w:szCs w:val="24"/>
        </w:rPr>
        <w:t>S</w:t>
      </w:r>
      <w:r w:rsidRPr="007B7681">
        <w:rPr>
          <w:rFonts w:ascii="Times New Roman" w:hAnsi="Times New Roman" w:cs="Times New Roman"/>
          <w:b/>
          <w:sz w:val="24"/>
          <w:szCs w:val="24"/>
        </w:rPr>
        <w:t xml:space="preserve">1. Parameters from </w:t>
      </w:r>
      <w:r w:rsidRPr="00C6697C">
        <w:rPr>
          <w:rFonts w:ascii="Times New Roman" w:hAnsi="Times New Roman" w:cs="Times New Roman"/>
          <w:b/>
          <w:sz w:val="24"/>
          <w:szCs w:val="24"/>
          <w:vertAlign w:val="superscript"/>
        </w:rPr>
        <w:t>7</w:t>
      </w:r>
      <w:r w:rsidRPr="007B7681">
        <w:rPr>
          <w:rFonts w:ascii="Times New Roman" w:hAnsi="Times New Roman" w:cs="Times New Roman"/>
          <w:b/>
          <w:sz w:val="24"/>
          <w:szCs w:val="24"/>
        </w:rPr>
        <w:t>Li MAS-NMR signal features for Sample 1, 2 and 3 and corresponding quantification. All the spectra were calibrated with respect to LiCl.</w:t>
      </w:r>
      <w:r w:rsidR="00A602E6">
        <w:rPr>
          <w:rFonts w:ascii="Times New Roman" w:hAnsi="Times New Roman" w:cs="Times New Roman"/>
          <w:b/>
          <w:sz w:val="24"/>
          <w:szCs w:val="24"/>
        </w:rPr>
        <w:t xml:space="preserve"> </w:t>
      </w:r>
      <w:r w:rsidRPr="007B7681">
        <w:rPr>
          <w:rFonts w:ascii="Times New Roman" w:hAnsi="Times New Roman" w:cs="Times New Roman"/>
          <w:b/>
          <w:sz w:val="24"/>
          <w:szCs w:val="24"/>
        </w:rPr>
        <w:t xml:space="preserve">Surface diamagnetic lithium amounts evaluated by </w:t>
      </w:r>
      <w:r w:rsidRPr="007B7681">
        <w:rPr>
          <w:rFonts w:ascii="Times New Roman" w:hAnsi="Times New Roman" w:cs="Times New Roman"/>
          <w:b/>
          <w:sz w:val="24"/>
          <w:szCs w:val="24"/>
          <w:vertAlign w:val="superscript"/>
        </w:rPr>
        <w:t>7</w:t>
      </w:r>
      <w:r w:rsidRPr="007B7681">
        <w:rPr>
          <w:rFonts w:ascii="Times New Roman" w:hAnsi="Times New Roman" w:cs="Times New Roman"/>
          <w:b/>
          <w:sz w:val="24"/>
          <w:szCs w:val="24"/>
        </w:rPr>
        <w:t>Li MAS-NMR given in µmolLi/g</w:t>
      </w:r>
      <w:r w:rsidRPr="00C6697C">
        <w:rPr>
          <w:rFonts w:ascii="Times New Roman" w:hAnsi="Times New Roman" w:cs="Times New Roman"/>
          <w:b/>
          <w:sz w:val="24"/>
          <w:szCs w:val="24"/>
          <w:vertAlign w:val="subscript"/>
        </w:rPr>
        <w:t>AM</w:t>
      </w:r>
      <w:r w:rsidRPr="007B7681">
        <w:rPr>
          <w:rFonts w:ascii="Times New Roman" w:hAnsi="Times New Roman" w:cs="Times New Roman"/>
          <w:b/>
          <w:sz w:val="24"/>
          <w:szCs w:val="24"/>
        </w:rPr>
        <w:t xml:space="preserve"> with an error of ±10%</w:t>
      </w:r>
      <w:r w:rsidR="00AA2CC5">
        <w:rPr>
          <w:rFonts w:ascii="Times New Roman" w:hAnsi="Times New Roman" w:cs="Times New Roman"/>
          <w:b/>
          <w:sz w:val="24"/>
          <w:szCs w:val="24"/>
        </w:rPr>
        <w:t>*</w:t>
      </w:r>
      <w:r w:rsidRPr="007B7681">
        <w:rPr>
          <w:rFonts w:ascii="Times New Roman" w:hAnsi="Times New Roman" w:cs="Times New Roman"/>
          <w:b/>
          <w:sz w:val="24"/>
          <w:szCs w:val="24"/>
        </w:rPr>
        <w:t>.</w:t>
      </w:r>
    </w:p>
    <w:p w14:paraId="5344897E" w14:textId="2C6B9E11" w:rsidR="00921C28" w:rsidRDefault="00921C28" w:rsidP="00921C28">
      <w:pPr>
        <w:spacing w:line="240" w:lineRule="auto"/>
        <w:contextualSpacing/>
        <w:jc w:val="center"/>
        <w:rPr>
          <w:rFonts w:ascii="Times New Roman" w:hAnsi="Times New Roman" w:cs="Times New Roman"/>
          <w:b/>
          <w:sz w:val="24"/>
          <w:szCs w:val="24"/>
        </w:rPr>
      </w:pPr>
    </w:p>
    <w:tbl>
      <w:tblPr>
        <w:tblStyle w:val="Tableausimple211"/>
        <w:tblW w:w="0" w:type="auto"/>
        <w:tblLook w:val="04A0" w:firstRow="1" w:lastRow="0" w:firstColumn="1" w:lastColumn="0" w:noHBand="0" w:noVBand="1"/>
      </w:tblPr>
      <w:tblGrid>
        <w:gridCol w:w="2248"/>
        <w:gridCol w:w="1129"/>
        <w:gridCol w:w="1128"/>
        <w:gridCol w:w="1130"/>
        <w:gridCol w:w="1128"/>
        <w:gridCol w:w="1133"/>
        <w:gridCol w:w="1130"/>
      </w:tblGrid>
      <w:tr w:rsidR="007B7681" w:rsidRPr="00D46E71" w14:paraId="3A41916F" w14:textId="77777777" w:rsidTr="00282581">
        <w:trPr>
          <w:cnfStyle w:val="100000000000" w:firstRow="1" w:lastRow="0" w:firstColumn="0" w:lastColumn="0" w:oddVBand="0" w:evenVBand="0" w:oddHBand="0"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Pr>
          <w:p w14:paraId="7252C78E" w14:textId="77777777" w:rsidR="007B7681" w:rsidRPr="00C6697C" w:rsidRDefault="007B7681" w:rsidP="00282581">
            <w:pPr>
              <w:keepNext/>
              <w:spacing w:before="120" w:after="120"/>
              <w:jc w:val="center"/>
              <w:rPr>
                <w:lang w:val="en-US"/>
              </w:rPr>
            </w:pPr>
          </w:p>
        </w:tc>
        <w:tc>
          <w:tcPr>
            <w:tcW w:w="2265" w:type="dxa"/>
            <w:gridSpan w:val="2"/>
          </w:tcPr>
          <w:p w14:paraId="6CBE7830" w14:textId="77777777" w:rsidR="007B7681" w:rsidRPr="00D46E71" w:rsidRDefault="007B7681" w:rsidP="00282581">
            <w:pPr>
              <w:keepNext/>
              <w:spacing w:before="120" w:after="120"/>
              <w:jc w:val="center"/>
              <w:cnfStyle w:val="100000000000" w:firstRow="1" w:lastRow="0" w:firstColumn="0" w:lastColumn="0" w:oddVBand="0" w:evenVBand="0" w:oddHBand="0" w:evenHBand="0" w:firstRowFirstColumn="0" w:firstRowLastColumn="0" w:lastRowFirstColumn="0" w:lastRowLastColumn="0"/>
            </w:pPr>
            <w:r w:rsidRPr="00D46E71">
              <w:sym w:font="Symbol" w:char="F064"/>
            </w:r>
            <w:r w:rsidRPr="00D46E71">
              <w:t> (ppm)</w:t>
            </w:r>
          </w:p>
        </w:tc>
        <w:tc>
          <w:tcPr>
            <w:tcW w:w="2266" w:type="dxa"/>
            <w:gridSpan w:val="2"/>
          </w:tcPr>
          <w:p w14:paraId="6215AEF7" w14:textId="77777777" w:rsidR="007B7681" w:rsidRPr="00D46E71" w:rsidRDefault="007B7681" w:rsidP="00282581">
            <w:pPr>
              <w:keepNext/>
              <w:spacing w:before="120" w:after="120"/>
              <w:jc w:val="center"/>
              <w:cnfStyle w:val="100000000000" w:firstRow="1" w:lastRow="0" w:firstColumn="0" w:lastColumn="0" w:oddVBand="0" w:evenVBand="0" w:oddHBand="0" w:evenHBand="0" w:firstRowFirstColumn="0" w:firstRowLastColumn="0" w:lastRowFirstColumn="0" w:lastRowLastColumn="0"/>
            </w:pPr>
            <w:r w:rsidRPr="00D46E71">
              <w:t>FWHM (ppm)</w:t>
            </w:r>
          </w:p>
        </w:tc>
        <w:tc>
          <w:tcPr>
            <w:tcW w:w="2266" w:type="dxa"/>
            <w:gridSpan w:val="2"/>
          </w:tcPr>
          <w:p w14:paraId="74E6185D" w14:textId="77777777" w:rsidR="007B7681" w:rsidRPr="00D46E71" w:rsidRDefault="007B7681" w:rsidP="00282581">
            <w:pPr>
              <w:keepNext/>
              <w:spacing w:before="120" w:after="120"/>
              <w:jc w:val="center"/>
              <w:cnfStyle w:val="100000000000" w:firstRow="1" w:lastRow="0" w:firstColumn="0" w:lastColumn="0" w:oddVBand="0" w:evenVBand="0" w:oddHBand="0" w:evenHBand="0" w:firstRowFirstColumn="0" w:firstRowLastColumn="0" w:lastRowFirstColumn="0" w:lastRowLastColumn="0"/>
            </w:pPr>
            <w:r w:rsidRPr="00D46E71">
              <w:t>Amount (µmol/g</w:t>
            </w:r>
            <w:r w:rsidRPr="00D46E71">
              <w:rPr>
                <w:vertAlign w:val="subscript"/>
              </w:rPr>
              <w:t>AM</w:t>
            </w:r>
            <w:r w:rsidRPr="00D46E71">
              <w:t xml:space="preserve">) </w:t>
            </w:r>
          </w:p>
        </w:tc>
      </w:tr>
      <w:tr w:rsidR="007B7681" w:rsidRPr="00D46E71" w14:paraId="120CB24B"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tcBorders>
          </w:tcPr>
          <w:p w14:paraId="00752DAA" w14:textId="77777777" w:rsidR="007B7681" w:rsidRPr="00D46E71" w:rsidRDefault="007B7681" w:rsidP="00282581">
            <w:pPr>
              <w:keepNext/>
              <w:spacing w:before="120" w:after="120"/>
              <w:jc w:val="center"/>
            </w:pPr>
          </w:p>
        </w:tc>
        <w:tc>
          <w:tcPr>
            <w:tcW w:w="6797" w:type="dxa"/>
            <w:gridSpan w:val="6"/>
            <w:tcBorders>
              <w:bottom w:val="single" w:sz="4" w:space="0" w:color="auto"/>
            </w:tcBorders>
          </w:tcPr>
          <w:p w14:paraId="2A657A2C"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Sample 1</w:t>
            </w:r>
          </w:p>
        </w:tc>
      </w:tr>
      <w:tr w:rsidR="007B7681" w:rsidRPr="00D46E71" w14:paraId="28586B30"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0C20B117" w14:textId="77777777" w:rsidR="007B7681" w:rsidRPr="00D46E71" w:rsidRDefault="007B7681" w:rsidP="00282581">
            <w:pPr>
              <w:keepNext/>
              <w:spacing w:before="120" w:after="120"/>
              <w:jc w:val="center"/>
            </w:pPr>
          </w:p>
        </w:tc>
        <w:tc>
          <w:tcPr>
            <w:tcW w:w="1132" w:type="dxa"/>
            <w:tcBorders>
              <w:top w:val="single" w:sz="4" w:space="0" w:color="auto"/>
              <w:bottom w:val="single" w:sz="4" w:space="0" w:color="auto"/>
            </w:tcBorders>
          </w:tcPr>
          <w:p w14:paraId="5D368646"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p</w:t>
            </w:r>
            <w:r>
              <w:t>owder</w:t>
            </w:r>
          </w:p>
        </w:tc>
        <w:tc>
          <w:tcPr>
            <w:tcW w:w="1133" w:type="dxa"/>
            <w:tcBorders>
              <w:top w:val="single" w:sz="4" w:space="0" w:color="auto"/>
              <w:bottom w:val="single" w:sz="4" w:space="0" w:color="auto"/>
            </w:tcBorders>
          </w:tcPr>
          <w:p w14:paraId="0FCA157E"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s</w:t>
            </w:r>
            <w:r>
              <w:t>lurry</w:t>
            </w:r>
          </w:p>
        </w:tc>
        <w:tc>
          <w:tcPr>
            <w:tcW w:w="1133" w:type="dxa"/>
            <w:tcBorders>
              <w:top w:val="single" w:sz="4" w:space="0" w:color="auto"/>
              <w:bottom w:val="single" w:sz="4" w:space="0" w:color="auto"/>
            </w:tcBorders>
          </w:tcPr>
          <w:p w14:paraId="56A74DB3"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p</w:t>
            </w:r>
            <w:r>
              <w:t>owder</w:t>
            </w:r>
          </w:p>
        </w:tc>
        <w:tc>
          <w:tcPr>
            <w:tcW w:w="1133" w:type="dxa"/>
            <w:tcBorders>
              <w:top w:val="single" w:sz="4" w:space="0" w:color="auto"/>
              <w:bottom w:val="single" w:sz="4" w:space="0" w:color="auto"/>
            </w:tcBorders>
          </w:tcPr>
          <w:p w14:paraId="6B5CBE7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s</w:t>
            </w:r>
            <w:r>
              <w:t>lurry</w:t>
            </w:r>
          </w:p>
        </w:tc>
        <w:tc>
          <w:tcPr>
            <w:tcW w:w="1133" w:type="dxa"/>
            <w:tcBorders>
              <w:top w:val="single" w:sz="4" w:space="0" w:color="auto"/>
              <w:bottom w:val="single" w:sz="4" w:space="0" w:color="auto"/>
            </w:tcBorders>
          </w:tcPr>
          <w:p w14:paraId="6002DCE6"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p</w:t>
            </w:r>
            <w:r>
              <w:t>owder</w:t>
            </w:r>
          </w:p>
        </w:tc>
        <w:tc>
          <w:tcPr>
            <w:tcW w:w="1133" w:type="dxa"/>
            <w:tcBorders>
              <w:top w:val="single" w:sz="4" w:space="0" w:color="auto"/>
              <w:bottom w:val="single" w:sz="4" w:space="0" w:color="auto"/>
            </w:tcBorders>
          </w:tcPr>
          <w:p w14:paraId="68E15A77"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s</w:t>
            </w:r>
            <w:r>
              <w:t>lurry</w:t>
            </w:r>
          </w:p>
        </w:tc>
      </w:tr>
      <w:tr w:rsidR="007B7681" w:rsidRPr="00D46E71" w14:paraId="140C9958"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nil"/>
            </w:tcBorders>
          </w:tcPr>
          <w:p w14:paraId="6314CFC0" w14:textId="77777777" w:rsidR="007B7681" w:rsidRPr="00D46E71" w:rsidRDefault="007B7681" w:rsidP="00282581">
            <w:pPr>
              <w:keepNext/>
              <w:spacing w:before="120" w:after="120"/>
              <w:jc w:val="center"/>
            </w:pPr>
            <w:r w:rsidRPr="00D46E71">
              <w:t>Li</w:t>
            </w:r>
            <w:r w:rsidRPr="00D46E71">
              <w:rPr>
                <w:vertAlign w:val="subscript"/>
              </w:rPr>
              <w:t>2</w:t>
            </w:r>
            <w:r w:rsidRPr="00D46E71">
              <w:t>O</w:t>
            </w:r>
          </w:p>
        </w:tc>
        <w:tc>
          <w:tcPr>
            <w:tcW w:w="1132" w:type="dxa"/>
            <w:tcBorders>
              <w:top w:val="single" w:sz="4" w:space="0" w:color="auto"/>
              <w:bottom w:val="nil"/>
            </w:tcBorders>
          </w:tcPr>
          <w:p w14:paraId="3072E53F"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4.6</w:t>
            </w:r>
          </w:p>
        </w:tc>
        <w:tc>
          <w:tcPr>
            <w:tcW w:w="1133" w:type="dxa"/>
            <w:tcBorders>
              <w:top w:val="single" w:sz="4" w:space="0" w:color="auto"/>
              <w:bottom w:val="nil"/>
            </w:tcBorders>
          </w:tcPr>
          <w:p w14:paraId="42D17C5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4.6</w:t>
            </w:r>
          </w:p>
        </w:tc>
        <w:tc>
          <w:tcPr>
            <w:tcW w:w="1133" w:type="dxa"/>
            <w:tcBorders>
              <w:top w:val="single" w:sz="4" w:space="0" w:color="auto"/>
              <w:bottom w:val="nil"/>
            </w:tcBorders>
          </w:tcPr>
          <w:p w14:paraId="799B5F34"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13</w:t>
            </w:r>
          </w:p>
        </w:tc>
        <w:tc>
          <w:tcPr>
            <w:tcW w:w="1133" w:type="dxa"/>
            <w:tcBorders>
              <w:top w:val="single" w:sz="4" w:space="0" w:color="auto"/>
              <w:bottom w:val="nil"/>
            </w:tcBorders>
          </w:tcPr>
          <w:p w14:paraId="58A05309"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13</w:t>
            </w:r>
          </w:p>
        </w:tc>
        <w:tc>
          <w:tcPr>
            <w:tcW w:w="1133" w:type="dxa"/>
            <w:tcBorders>
              <w:top w:val="single" w:sz="4" w:space="0" w:color="auto"/>
              <w:bottom w:val="nil"/>
            </w:tcBorders>
          </w:tcPr>
          <w:p w14:paraId="199E77EF"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46</w:t>
            </w:r>
          </w:p>
        </w:tc>
        <w:tc>
          <w:tcPr>
            <w:tcW w:w="1133" w:type="dxa"/>
            <w:tcBorders>
              <w:top w:val="single" w:sz="4" w:space="0" w:color="auto"/>
              <w:bottom w:val="nil"/>
            </w:tcBorders>
          </w:tcPr>
          <w:p w14:paraId="6F6BC25F"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59</w:t>
            </w:r>
          </w:p>
        </w:tc>
      </w:tr>
      <w:tr w:rsidR="007B7681" w:rsidRPr="00D46E71" w14:paraId="683ED0B6"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42638EEC" w14:textId="77777777" w:rsidR="007B7681" w:rsidRPr="00D46E71" w:rsidRDefault="007B7681" w:rsidP="00282581">
            <w:pPr>
              <w:keepNext/>
              <w:spacing w:before="120" w:after="120"/>
              <w:jc w:val="center"/>
              <w:rPr>
                <w:vertAlign w:val="subscript"/>
              </w:rPr>
            </w:pPr>
            <w:r w:rsidRPr="00D46E71">
              <w:t>Li</w:t>
            </w:r>
            <w:r w:rsidRPr="00D46E71">
              <w:rPr>
                <w:vertAlign w:val="subscript"/>
              </w:rPr>
              <w:t>2</w:t>
            </w:r>
            <w:r w:rsidRPr="00D46E71">
              <w:t>SO</w:t>
            </w:r>
            <w:r w:rsidRPr="00D46E71">
              <w:rPr>
                <w:vertAlign w:val="subscript"/>
              </w:rPr>
              <w:t>4</w:t>
            </w:r>
          </w:p>
        </w:tc>
        <w:tc>
          <w:tcPr>
            <w:tcW w:w="1132" w:type="dxa"/>
            <w:tcBorders>
              <w:top w:val="nil"/>
              <w:bottom w:val="nil"/>
            </w:tcBorders>
          </w:tcPr>
          <w:p w14:paraId="006ED84B"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-0.6</w:t>
            </w:r>
          </w:p>
        </w:tc>
        <w:tc>
          <w:tcPr>
            <w:tcW w:w="1133" w:type="dxa"/>
            <w:tcBorders>
              <w:top w:val="nil"/>
              <w:bottom w:val="nil"/>
            </w:tcBorders>
          </w:tcPr>
          <w:p w14:paraId="376C5F95"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-0.6</w:t>
            </w:r>
          </w:p>
        </w:tc>
        <w:tc>
          <w:tcPr>
            <w:tcW w:w="1133" w:type="dxa"/>
            <w:tcBorders>
              <w:top w:val="nil"/>
              <w:bottom w:val="nil"/>
            </w:tcBorders>
          </w:tcPr>
          <w:p w14:paraId="539BA2A8"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16</w:t>
            </w:r>
          </w:p>
        </w:tc>
        <w:tc>
          <w:tcPr>
            <w:tcW w:w="1133" w:type="dxa"/>
            <w:tcBorders>
              <w:top w:val="nil"/>
              <w:bottom w:val="nil"/>
            </w:tcBorders>
          </w:tcPr>
          <w:p w14:paraId="14BBEFEF"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13</w:t>
            </w:r>
          </w:p>
        </w:tc>
        <w:tc>
          <w:tcPr>
            <w:tcW w:w="1133" w:type="dxa"/>
            <w:tcBorders>
              <w:top w:val="nil"/>
              <w:bottom w:val="nil"/>
            </w:tcBorders>
          </w:tcPr>
          <w:p w14:paraId="08F062B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10</w:t>
            </w:r>
          </w:p>
        </w:tc>
        <w:tc>
          <w:tcPr>
            <w:tcW w:w="1133" w:type="dxa"/>
            <w:tcBorders>
              <w:top w:val="nil"/>
              <w:bottom w:val="nil"/>
            </w:tcBorders>
          </w:tcPr>
          <w:p w14:paraId="0906E2FE"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19</w:t>
            </w:r>
          </w:p>
        </w:tc>
      </w:tr>
      <w:tr w:rsidR="007B7681" w:rsidRPr="00D46E71" w14:paraId="514A0980"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4CD9B6ED" w14:textId="77777777" w:rsidR="007B7681" w:rsidRPr="00D46E71" w:rsidRDefault="007B7681" w:rsidP="00282581">
            <w:pPr>
              <w:keepNext/>
              <w:spacing w:before="120" w:after="120"/>
              <w:jc w:val="center"/>
            </w:pPr>
            <w:r w:rsidRPr="00D46E71">
              <w:t>LiOH</w:t>
            </w:r>
          </w:p>
        </w:tc>
        <w:tc>
          <w:tcPr>
            <w:tcW w:w="1132" w:type="dxa"/>
            <w:tcBorders>
              <w:top w:val="nil"/>
              <w:bottom w:val="nil"/>
            </w:tcBorders>
          </w:tcPr>
          <w:p w14:paraId="574B6FA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2.4</w:t>
            </w:r>
          </w:p>
        </w:tc>
        <w:tc>
          <w:tcPr>
            <w:tcW w:w="1133" w:type="dxa"/>
            <w:tcBorders>
              <w:top w:val="nil"/>
              <w:bottom w:val="nil"/>
            </w:tcBorders>
          </w:tcPr>
          <w:p w14:paraId="04070D1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2.6</w:t>
            </w:r>
          </w:p>
        </w:tc>
        <w:tc>
          <w:tcPr>
            <w:tcW w:w="1133" w:type="dxa"/>
            <w:tcBorders>
              <w:top w:val="nil"/>
              <w:bottom w:val="nil"/>
            </w:tcBorders>
          </w:tcPr>
          <w:p w14:paraId="1D8D363F"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3</w:t>
            </w:r>
          </w:p>
        </w:tc>
        <w:tc>
          <w:tcPr>
            <w:tcW w:w="1133" w:type="dxa"/>
            <w:tcBorders>
              <w:top w:val="nil"/>
              <w:bottom w:val="nil"/>
            </w:tcBorders>
          </w:tcPr>
          <w:p w14:paraId="4D66C609"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w:t>
            </w:r>
          </w:p>
        </w:tc>
        <w:tc>
          <w:tcPr>
            <w:tcW w:w="1133" w:type="dxa"/>
            <w:tcBorders>
              <w:top w:val="nil"/>
              <w:bottom w:val="nil"/>
            </w:tcBorders>
          </w:tcPr>
          <w:p w14:paraId="7AC8151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3</w:t>
            </w:r>
          </w:p>
        </w:tc>
        <w:tc>
          <w:tcPr>
            <w:tcW w:w="1133" w:type="dxa"/>
            <w:tcBorders>
              <w:top w:val="nil"/>
              <w:bottom w:val="nil"/>
            </w:tcBorders>
          </w:tcPr>
          <w:p w14:paraId="68DF1589"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r>
      <w:tr w:rsidR="007B7681" w:rsidRPr="00D46E71" w14:paraId="0D689DF0"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205B6073" w14:textId="77777777" w:rsidR="007B7681" w:rsidRPr="00D46E71" w:rsidRDefault="007B7681" w:rsidP="00282581">
            <w:pPr>
              <w:keepNext/>
              <w:spacing w:before="120" w:after="120"/>
              <w:jc w:val="center"/>
              <w:rPr>
                <w:vertAlign w:val="subscript"/>
              </w:rPr>
            </w:pPr>
            <w:r w:rsidRPr="00D46E71">
              <w:t>Li</w:t>
            </w:r>
            <w:r w:rsidRPr="00D46E71">
              <w:rPr>
                <w:vertAlign w:val="subscript"/>
              </w:rPr>
              <w:t>2</w:t>
            </w:r>
            <w:r w:rsidRPr="00D46E71">
              <w:t>CO</w:t>
            </w:r>
            <w:r w:rsidRPr="00D46E71">
              <w:rPr>
                <w:vertAlign w:val="subscript"/>
              </w:rPr>
              <w:t>3</w:t>
            </w:r>
          </w:p>
        </w:tc>
        <w:tc>
          <w:tcPr>
            <w:tcW w:w="1132" w:type="dxa"/>
            <w:tcBorders>
              <w:top w:val="nil"/>
              <w:bottom w:val="nil"/>
            </w:tcBorders>
          </w:tcPr>
          <w:p w14:paraId="6C8FD34C"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1.0</w:t>
            </w:r>
          </w:p>
        </w:tc>
        <w:tc>
          <w:tcPr>
            <w:tcW w:w="1133" w:type="dxa"/>
            <w:tcBorders>
              <w:top w:val="nil"/>
              <w:bottom w:val="nil"/>
            </w:tcBorders>
          </w:tcPr>
          <w:p w14:paraId="64A9FB4D"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1.0</w:t>
            </w:r>
          </w:p>
        </w:tc>
        <w:tc>
          <w:tcPr>
            <w:tcW w:w="1133" w:type="dxa"/>
            <w:tcBorders>
              <w:top w:val="nil"/>
              <w:bottom w:val="nil"/>
            </w:tcBorders>
          </w:tcPr>
          <w:p w14:paraId="681A9A0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c>
          <w:tcPr>
            <w:tcW w:w="1133" w:type="dxa"/>
            <w:tcBorders>
              <w:top w:val="nil"/>
              <w:bottom w:val="nil"/>
            </w:tcBorders>
          </w:tcPr>
          <w:p w14:paraId="5F92FAD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c>
          <w:tcPr>
            <w:tcW w:w="1133" w:type="dxa"/>
            <w:tcBorders>
              <w:top w:val="nil"/>
              <w:bottom w:val="nil"/>
            </w:tcBorders>
          </w:tcPr>
          <w:p w14:paraId="24AD17B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0.3</w:t>
            </w:r>
          </w:p>
        </w:tc>
        <w:tc>
          <w:tcPr>
            <w:tcW w:w="1133" w:type="dxa"/>
            <w:tcBorders>
              <w:top w:val="nil"/>
              <w:bottom w:val="nil"/>
            </w:tcBorders>
          </w:tcPr>
          <w:p w14:paraId="1F72AD2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w:t>
            </w:r>
          </w:p>
        </w:tc>
      </w:tr>
      <w:tr w:rsidR="007B7681" w:rsidRPr="00D46E71" w14:paraId="1EA8139E"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017FB697" w14:textId="77777777" w:rsidR="007B7681" w:rsidRPr="00D46E71" w:rsidRDefault="007B7681" w:rsidP="00282581">
            <w:pPr>
              <w:keepNext/>
              <w:spacing w:before="120" w:after="120"/>
              <w:jc w:val="center"/>
            </w:pPr>
            <w:r w:rsidRPr="00D46E71">
              <w:t>LiF</w:t>
            </w:r>
          </w:p>
        </w:tc>
        <w:tc>
          <w:tcPr>
            <w:tcW w:w="1132" w:type="dxa"/>
            <w:tcBorders>
              <w:top w:val="nil"/>
              <w:bottom w:val="nil"/>
            </w:tcBorders>
          </w:tcPr>
          <w:p w14:paraId="1B8C6D6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754D411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0.2</w:t>
            </w:r>
          </w:p>
        </w:tc>
        <w:tc>
          <w:tcPr>
            <w:tcW w:w="1133" w:type="dxa"/>
            <w:tcBorders>
              <w:top w:val="nil"/>
              <w:bottom w:val="nil"/>
            </w:tcBorders>
          </w:tcPr>
          <w:p w14:paraId="2FC6D155"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79596E2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3</w:t>
            </w:r>
          </w:p>
        </w:tc>
        <w:tc>
          <w:tcPr>
            <w:tcW w:w="1133" w:type="dxa"/>
            <w:tcBorders>
              <w:top w:val="nil"/>
              <w:bottom w:val="nil"/>
            </w:tcBorders>
          </w:tcPr>
          <w:p w14:paraId="76E320C2"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026CAFFC"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r>
      <w:tr w:rsidR="007B7681" w:rsidRPr="00D46E71" w14:paraId="03321826"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single" w:sz="4" w:space="0" w:color="auto"/>
            </w:tcBorders>
          </w:tcPr>
          <w:p w14:paraId="3105494D" w14:textId="77777777" w:rsidR="007B7681" w:rsidRPr="00D46E71" w:rsidRDefault="007B7681" w:rsidP="00282581">
            <w:pPr>
              <w:keepNext/>
              <w:spacing w:before="120" w:after="120"/>
              <w:jc w:val="center"/>
            </w:pPr>
            <w:r w:rsidRPr="00D46E71">
              <w:t>Total Li</w:t>
            </w:r>
          </w:p>
        </w:tc>
        <w:tc>
          <w:tcPr>
            <w:tcW w:w="1132" w:type="dxa"/>
            <w:tcBorders>
              <w:top w:val="nil"/>
              <w:bottom w:val="single" w:sz="4" w:space="0" w:color="auto"/>
            </w:tcBorders>
          </w:tcPr>
          <w:p w14:paraId="32D9E298"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bottom w:val="single" w:sz="4" w:space="0" w:color="auto"/>
            </w:tcBorders>
          </w:tcPr>
          <w:p w14:paraId="6BD6AFF7"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bottom w:val="single" w:sz="4" w:space="0" w:color="auto"/>
            </w:tcBorders>
          </w:tcPr>
          <w:p w14:paraId="26299343"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bottom w:val="single" w:sz="4" w:space="0" w:color="auto"/>
            </w:tcBorders>
          </w:tcPr>
          <w:p w14:paraId="240346FC"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bottom w:val="single" w:sz="4" w:space="0" w:color="auto"/>
            </w:tcBorders>
          </w:tcPr>
          <w:p w14:paraId="2CC6FCA0"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115.6</w:t>
            </w:r>
          </w:p>
        </w:tc>
        <w:tc>
          <w:tcPr>
            <w:tcW w:w="1133" w:type="dxa"/>
            <w:tcBorders>
              <w:top w:val="nil"/>
              <w:bottom w:val="single" w:sz="4" w:space="0" w:color="auto"/>
            </w:tcBorders>
          </w:tcPr>
          <w:p w14:paraId="68D6601D"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162</w:t>
            </w:r>
          </w:p>
        </w:tc>
      </w:tr>
      <w:tr w:rsidR="007B7681" w:rsidRPr="00D46E71" w14:paraId="2796CE18"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33D51497" w14:textId="77777777" w:rsidR="007B7681" w:rsidRPr="00D46E71" w:rsidRDefault="007B7681" w:rsidP="00282581">
            <w:pPr>
              <w:keepNext/>
              <w:spacing w:before="120" w:after="120"/>
              <w:jc w:val="center"/>
            </w:pPr>
          </w:p>
        </w:tc>
        <w:tc>
          <w:tcPr>
            <w:tcW w:w="6797" w:type="dxa"/>
            <w:gridSpan w:val="6"/>
            <w:tcBorders>
              <w:top w:val="single" w:sz="4" w:space="0" w:color="auto"/>
              <w:bottom w:val="single" w:sz="4" w:space="0" w:color="auto"/>
            </w:tcBorders>
          </w:tcPr>
          <w:p w14:paraId="1083B3D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rPr>
                <w:b/>
              </w:rPr>
            </w:pPr>
            <w:r>
              <w:rPr>
                <w:b/>
              </w:rPr>
              <w:t>Sample 2</w:t>
            </w:r>
          </w:p>
        </w:tc>
      </w:tr>
      <w:tr w:rsidR="007B7681" w:rsidRPr="00D46E71" w14:paraId="3F5BBBF5"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nil"/>
            </w:tcBorders>
          </w:tcPr>
          <w:p w14:paraId="5F6D2EC8" w14:textId="77777777" w:rsidR="007B7681" w:rsidRPr="00D46E71" w:rsidRDefault="007B7681" w:rsidP="00282581">
            <w:pPr>
              <w:keepNext/>
              <w:spacing w:before="120" w:after="120"/>
              <w:jc w:val="center"/>
            </w:pPr>
            <w:r w:rsidRPr="00D46E71">
              <w:t>Li</w:t>
            </w:r>
            <w:r w:rsidRPr="00D46E71">
              <w:rPr>
                <w:vertAlign w:val="subscript"/>
              </w:rPr>
              <w:t>2</w:t>
            </w:r>
            <w:r w:rsidRPr="00D46E71">
              <w:t>O</w:t>
            </w:r>
          </w:p>
        </w:tc>
        <w:tc>
          <w:tcPr>
            <w:tcW w:w="1132" w:type="dxa"/>
            <w:tcBorders>
              <w:top w:val="single" w:sz="4" w:space="0" w:color="auto"/>
              <w:bottom w:val="nil"/>
            </w:tcBorders>
          </w:tcPr>
          <w:p w14:paraId="7AA8941B"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4.7</w:t>
            </w:r>
          </w:p>
        </w:tc>
        <w:tc>
          <w:tcPr>
            <w:tcW w:w="1133" w:type="dxa"/>
            <w:tcBorders>
              <w:top w:val="single" w:sz="4" w:space="0" w:color="auto"/>
              <w:bottom w:val="nil"/>
            </w:tcBorders>
          </w:tcPr>
          <w:p w14:paraId="3046CDC4"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4.7</w:t>
            </w:r>
          </w:p>
        </w:tc>
        <w:tc>
          <w:tcPr>
            <w:tcW w:w="1133" w:type="dxa"/>
            <w:tcBorders>
              <w:top w:val="single" w:sz="4" w:space="0" w:color="auto"/>
              <w:bottom w:val="nil"/>
            </w:tcBorders>
          </w:tcPr>
          <w:p w14:paraId="275098B8"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12</w:t>
            </w:r>
          </w:p>
        </w:tc>
        <w:tc>
          <w:tcPr>
            <w:tcW w:w="1133" w:type="dxa"/>
            <w:tcBorders>
              <w:top w:val="single" w:sz="4" w:space="0" w:color="auto"/>
              <w:bottom w:val="nil"/>
            </w:tcBorders>
          </w:tcPr>
          <w:p w14:paraId="59FF8D6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12</w:t>
            </w:r>
          </w:p>
        </w:tc>
        <w:tc>
          <w:tcPr>
            <w:tcW w:w="1133" w:type="dxa"/>
            <w:tcBorders>
              <w:top w:val="single" w:sz="4" w:space="0" w:color="auto"/>
              <w:bottom w:val="nil"/>
            </w:tcBorders>
          </w:tcPr>
          <w:p w14:paraId="3BDFA778"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63</w:t>
            </w:r>
          </w:p>
        </w:tc>
        <w:tc>
          <w:tcPr>
            <w:tcW w:w="1133" w:type="dxa"/>
            <w:tcBorders>
              <w:top w:val="single" w:sz="4" w:space="0" w:color="auto"/>
              <w:bottom w:val="nil"/>
            </w:tcBorders>
          </w:tcPr>
          <w:p w14:paraId="0E286949"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76</w:t>
            </w:r>
          </w:p>
        </w:tc>
      </w:tr>
      <w:tr w:rsidR="007B7681" w:rsidRPr="00D46E71" w14:paraId="6ADE23F9"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3D4686D0" w14:textId="77777777" w:rsidR="007B7681" w:rsidRPr="00D46E71" w:rsidRDefault="007B7681" w:rsidP="00282581">
            <w:pPr>
              <w:keepNext/>
              <w:spacing w:before="120" w:after="120"/>
              <w:jc w:val="center"/>
            </w:pPr>
            <w:r w:rsidRPr="00D46E71">
              <w:t>Li</w:t>
            </w:r>
            <w:r w:rsidRPr="00D46E71">
              <w:rPr>
                <w:vertAlign w:val="subscript"/>
              </w:rPr>
              <w:t>2</w:t>
            </w:r>
            <w:r w:rsidRPr="00D46E71">
              <w:t>SO</w:t>
            </w:r>
            <w:r w:rsidRPr="00D46E71">
              <w:rPr>
                <w:vertAlign w:val="subscript"/>
              </w:rPr>
              <w:t>4</w:t>
            </w:r>
          </w:p>
        </w:tc>
        <w:tc>
          <w:tcPr>
            <w:tcW w:w="1132" w:type="dxa"/>
            <w:tcBorders>
              <w:top w:val="nil"/>
              <w:bottom w:val="nil"/>
            </w:tcBorders>
          </w:tcPr>
          <w:p w14:paraId="55AEA71D"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-0.8</w:t>
            </w:r>
          </w:p>
        </w:tc>
        <w:tc>
          <w:tcPr>
            <w:tcW w:w="1133" w:type="dxa"/>
            <w:tcBorders>
              <w:top w:val="nil"/>
              <w:bottom w:val="nil"/>
            </w:tcBorders>
          </w:tcPr>
          <w:p w14:paraId="284DDD4D"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-0.4</w:t>
            </w:r>
          </w:p>
        </w:tc>
        <w:tc>
          <w:tcPr>
            <w:tcW w:w="1133" w:type="dxa"/>
            <w:tcBorders>
              <w:top w:val="nil"/>
              <w:bottom w:val="nil"/>
            </w:tcBorders>
          </w:tcPr>
          <w:p w14:paraId="4E2F9DAD"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14</w:t>
            </w:r>
          </w:p>
        </w:tc>
        <w:tc>
          <w:tcPr>
            <w:tcW w:w="1133" w:type="dxa"/>
            <w:tcBorders>
              <w:top w:val="nil"/>
              <w:bottom w:val="nil"/>
            </w:tcBorders>
          </w:tcPr>
          <w:p w14:paraId="13C0D35C"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11</w:t>
            </w:r>
          </w:p>
        </w:tc>
        <w:tc>
          <w:tcPr>
            <w:tcW w:w="1133" w:type="dxa"/>
            <w:tcBorders>
              <w:top w:val="nil"/>
              <w:bottom w:val="nil"/>
            </w:tcBorders>
          </w:tcPr>
          <w:p w14:paraId="67793E45"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15</w:t>
            </w:r>
          </w:p>
        </w:tc>
        <w:tc>
          <w:tcPr>
            <w:tcW w:w="1133" w:type="dxa"/>
            <w:tcBorders>
              <w:top w:val="nil"/>
              <w:bottom w:val="nil"/>
            </w:tcBorders>
          </w:tcPr>
          <w:p w14:paraId="3156D2B4"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18</w:t>
            </w:r>
          </w:p>
        </w:tc>
      </w:tr>
      <w:tr w:rsidR="007B7681" w:rsidRPr="00D46E71" w14:paraId="7C1EB746"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6716E677" w14:textId="77777777" w:rsidR="007B7681" w:rsidRPr="00D46E71" w:rsidRDefault="007B7681" w:rsidP="00282581">
            <w:pPr>
              <w:keepNext/>
              <w:spacing w:before="120" w:after="120"/>
              <w:jc w:val="center"/>
            </w:pPr>
            <w:r w:rsidRPr="00D46E71">
              <w:t>LiOH</w:t>
            </w:r>
          </w:p>
        </w:tc>
        <w:tc>
          <w:tcPr>
            <w:tcW w:w="1132" w:type="dxa"/>
            <w:tcBorders>
              <w:top w:val="nil"/>
              <w:bottom w:val="nil"/>
            </w:tcBorders>
          </w:tcPr>
          <w:p w14:paraId="7494495B"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2.4</w:t>
            </w:r>
          </w:p>
        </w:tc>
        <w:tc>
          <w:tcPr>
            <w:tcW w:w="1133" w:type="dxa"/>
            <w:tcBorders>
              <w:top w:val="nil"/>
              <w:bottom w:val="nil"/>
            </w:tcBorders>
          </w:tcPr>
          <w:p w14:paraId="77CF1800"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2.4</w:t>
            </w:r>
          </w:p>
        </w:tc>
        <w:tc>
          <w:tcPr>
            <w:tcW w:w="1133" w:type="dxa"/>
            <w:tcBorders>
              <w:top w:val="nil"/>
              <w:bottom w:val="nil"/>
            </w:tcBorders>
          </w:tcPr>
          <w:p w14:paraId="5ED8A039"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w:t>
            </w:r>
          </w:p>
        </w:tc>
        <w:tc>
          <w:tcPr>
            <w:tcW w:w="1133" w:type="dxa"/>
            <w:tcBorders>
              <w:top w:val="nil"/>
              <w:bottom w:val="nil"/>
            </w:tcBorders>
          </w:tcPr>
          <w:p w14:paraId="37879E06"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w:t>
            </w:r>
          </w:p>
        </w:tc>
        <w:tc>
          <w:tcPr>
            <w:tcW w:w="1133" w:type="dxa"/>
            <w:tcBorders>
              <w:top w:val="nil"/>
              <w:bottom w:val="nil"/>
            </w:tcBorders>
          </w:tcPr>
          <w:p w14:paraId="68C6148F"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w:t>
            </w:r>
          </w:p>
        </w:tc>
        <w:tc>
          <w:tcPr>
            <w:tcW w:w="1133" w:type="dxa"/>
            <w:tcBorders>
              <w:top w:val="nil"/>
              <w:bottom w:val="nil"/>
            </w:tcBorders>
          </w:tcPr>
          <w:p w14:paraId="120F9DA0"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r>
      <w:tr w:rsidR="007B7681" w:rsidRPr="00D46E71" w14:paraId="5F505F9C"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4169E274" w14:textId="77777777" w:rsidR="007B7681" w:rsidRPr="00D46E71" w:rsidRDefault="007B7681" w:rsidP="00282581">
            <w:pPr>
              <w:keepNext/>
              <w:spacing w:before="120" w:after="120"/>
              <w:jc w:val="center"/>
            </w:pPr>
            <w:r w:rsidRPr="00D46E71">
              <w:t>Li</w:t>
            </w:r>
            <w:r w:rsidRPr="00D46E71">
              <w:rPr>
                <w:vertAlign w:val="subscript"/>
              </w:rPr>
              <w:t>2</w:t>
            </w:r>
            <w:r w:rsidRPr="00D46E71">
              <w:t>CO</w:t>
            </w:r>
            <w:r w:rsidRPr="00D46E71">
              <w:rPr>
                <w:vertAlign w:val="subscript"/>
              </w:rPr>
              <w:t>3</w:t>
            </w:r>
          </w:p>
        </w:tc>
        <w:tc>
          <w:tcPr>
            <w:tcW w:w="1132" w:type="dxa"/>
            <w:tcBorders>
              <w:top w:val="nil"/>
              <w:bottom w:val="nil"/>
            </w:tcBorders>
          </w:tcPr>
          <w:p w14:paraId="162156E2"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1.0</w:t>
            </w:r>
          </w:p>
        </w:tc>
        <w:tc>
          <w:tcPr>
            <w:tcW w:w="1133" w:type="dxa"/>
            <w:tcBorders>
              <w:top w:val="nil"/>
              <w:bottom w:val="nil"/>
            </w:tcBorders>
          </w:tcPr>
          <w:p w14:paraId="180ECE4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1.1</w:t>
            </w:r>
          </w:p>
        </w:tc>
        <w:tc>
          <w:tcPr>
            <w:tcW w:w="1133" w:type="dxa"/>
            <w:tcBorders>
              <w:top w:val="nil"/>
              <w:bottom w:val="nil"/>
            </w:tcBorders>
          </w:tcPr>
          <w:p w14:paraId="0B0D54A4"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c>
          <w:tcPr>
            <w:tcW w:w="1133" w:type="dxa"/>
            <w:tcBorders>
              <w:top w:val="nil"/>
              <w:bottom w:val="nil"/>
            </w:tcBorders>
          </w:tcPr>
          <w:p w14:paraId="1974C3F0"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c>
          <w:tcPr>
            <w:tcW w:w="1133" w:type="dxa"/>
            <w:tcBorders>
              <w:top w:val="nil"/>
              <w:bottom w:val="nil"/>
            </w:tcBorders>
          </w:tcPr>
          <w:p w14:paraId="2F8D960C"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w:t>
            </w:r>
          </w:p>
        </w:tc>
        <w:tc>
          <w:tcPr>
            <w:tcW w:w="1133" w:type="dxa"/>
            <w:tcBorders>
              <w:top w:val="nil"/>
              <w:bottom w:val="nil"/>
            </w:tcBorders>
          </w:tcPr>
          <w:p w14:paraId="65C20540"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r>
      <w:tr w:rsidR="007B7681" w:rsidRPr="00D46E71" w14:paraId="5940693B"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2970CB13" w14:textId="77777777" w:rsidR="007B7681" w:rsidRPr="00D46E71" w:rsidRDefault="007B7681" w:rsidP="00282581">
            <w:pPr>
              <w:keepNext/>
              <w:spacing w:before="120" w:after="120"/>
              <w:jc w:val="center"/>
            </w:pPr>
            <w:r w:rsidRPr="00D46E71">
              <w:t>LiF</w:t>
            </w:r>
          </w:p>
        </w:tc>
        <w:tc>
          <w:tcPr>
            <w:tcW w:w="1132" w:type="dxa"/>
            <w:tcBorders>
              <w:top w:val="nil"/>
              <w:bottom w:val="nil"/>
            </w:tcBorders>
          </w:tcPr>
          <w:p w14:paraId="672B64DA"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w:t>
            </w:r>
          </w:p>
        </w:tc>
        <w:tc>
          <w:tcPr>
            <w:tcW w:w="1133" w:type="dxa"/>
            <w:tcBorders>
              <w:top w:val="nil"/>
              <w:bottom w:val="nil"/>
            </w:tcBorders>
          </w:tcPr>
          <w:p w14:paraId="06C8EDF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0.2</w:t>
            </w:r>
          </w:p>
        </w:tc>
        <w:tc>
          <w:tcPr>
            <w:tcW w:w="1133" w:type="dxa"/>
            <w:tcBorders>
              <w:top w:val="nil"/>
              <w:bottom w:val="nil"/>
            </w:tcBorders>
          </w:tcPr>
          <w:p w14:paraId="655CFBDC"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w:t>
            </w:r>
          </w:p>
        </w:tc>
        <w:tc>
          <w:tcPr>
            <w:tcW w:w="1133" w:type="dxa"/>
            <w:tcBorders>
              <w:top w:val="nil"/>
              <w:bottom w:val="nil"/>
            </w:tcBorders>
          </w:tcPr>
          <w:p w14:paraId="3B370170"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c>
          <w:tcPr>
            <w:tcW w:w="1133" w:type="dxa"/>
            <w:tcBorders>
              <w:top w:val="nil"/>
              <w:bottom w:val="nil"/>
            </w:tcBorders>
          </w:tcPr>
          <w:p w14:paraId="483EE959"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w:t>
            </w:r>
          </w:p>
        </w:tc>
        <w:tc>
          <w:tcPr>
            <w:tcW w:w="1133" w:type="dxa"/>
            <w:tcBorders>
              <w:top w:val="nil"/>
              <w:bottom w:val="nil"/>
            </w:tcBorders>
          </w:tcPr>
          <w:p w14:paraId="308AD5FF"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r>
      <w:tr w:rsidR="007B7681" w:rsidRPr="00D46E71" w14:paraId="30D05464"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single" w:sz="4" w:space="0" w:color="auto"/>
            </w:tcBorders>
          </w:tcPr>
          <w:p w14:paraId="1711F539" w14:textId="77777777" w:rsidR="007B7681" w:rsidRPr="00D46E71" w:rsidRDefault="007B7681" w:rsidP="00282581">
            <w:pPr>
              <w:keepNext/>
              <w:spacing w:before="120" w:after="120"/>
              <w:jc w:val="center"/>
            </w:pPr>
            <w:r w:rsidRPr="00D46E71">
              <w:t>Total Li</w:t>
            </w:r>
          </w:p>
        </w:tc>
        <w:tc>
          <w:tcPr>
            <w:tcW w:w="1132" w:type="dxa"/>
            <w:tcBorders>
              <w:top w:val="nil"/>
              <w:bottom w:val="single" w:sz="4" w:space="0" w:color="auto"/>
            </w:tcBorders>
          </w:tcPr>
          <w:p w14:paraId="26F937B1"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33" w:type="dxa"/>
            <w:tcBorders>
              <w:top w:val="nil"/>
              <w:bottom w:val="single" w:sz="4" w:space="0" w:color="auto"/>
            </w:tcBorders>
          </w:tcPr>
          <w:p w14:paraId="41DA4CA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33" w:type="dxa"/>
            <w:tcBorders>
              <w:top w:val="nil"/>
              <w:bottom w:val="single" w:sz="4" w:space="0" w:color="auto"/>
            </w:tcBorders>
          </w:tcPr>
          <w:p w14:paraId="6EBC7EB5"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33" w:type="dxa"/>
            <w:tcBorders>
              <w:top w:val="nil"/>
              <w:bottom w:val="single" w:sz="4" w:space="0" w:color="auto"/>
            </w:tcBorders>
          </w:tcPr>
          <w:p w14:paraId="5055DB3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p>
        </w:tc>
        <w:tc>
          <w:tcPr>
            <w:tcW w:w="1133" w:type="dxa"/>
            <w:tcBorders>
              <w:top w:val="nil"/>
              <w:bottom w:val="single" w:sz="4" w:space="0" w:color="auto"/>
            </w:tcBorders>
          </w:tcPr>
          <w:p w14:paraId="08C8AC2C"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t>160</w:t>
            </w:r>
          </w:p>
        </w:tc>
        <w:tc>
          <w:tcPr>
            <w:tcW w:w="1133" w:type="dxa"/>
            <w:tcBorders>
              <w:top w:val="nil"/>
              <w:bottom w:val="single" w:sz="4" w:space="0" w:color="auto"/>
            </w:tcBorders>
          </w:tcPr>
          <w:p w14:paraId="1581D4E0"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198</w:t>
            </w:r>
          </w:p>
        </w:tc>
      </w:tr>
      <w:tr w:rsidR="007B7681" w:rsidRPr="00D46E71" w14:paraId="42BF3716"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434250F3" w14:textId="77777777" w:rsidR="007B7681" w:rsidRPr="00D46E71" w:rsidRDefault="007B7681" w:rsidP="00282581">
            <w:pPr>
              <w:keepNext/>
              <w:spacing w:before="120" w:after="120"/>
              <w:jc w:val="center"/>
            </w:pPr>
          </w:p>
        </w:tc>
        <w:tc>
          <w:tcPr>
            <w:tcW w:w="6797" w:type="dxa"/>
            <w:gridSpan w:val="6"/>
            <w:tcBorders>
              <w:top w:val="single" w:sz="4" w:space="0" w:color="auto"/>
              <w:bottom w:val="single" w:sz="4" w:space="0" w:color="auto"/>
            </w:tcBorders>
          </w:tcPr>
          <w:p w14:paraId="62286533"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rPr>
                <w:b/>
              </w:rPr>
            </w:pPr>
            <w:r>
              <w:rPr>
                <w:b/>
              </w:rPr>
              <w:t>Sample 3</w:t>
            </w:r>
          </w:p>
        </w:tc>
      </w:tr>
      <w:tr w:rsidR="007B7681" w:rsidRPr="00D46E71" w14:paraId="65EE2B16"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nil"/>
            </w:tcBorders>
          </w:tcPr>
          <w:p w14:paraId="3CB10D80" w14:textId="77777777" w:rsidR="007B7681" w:rsidRPr="00D46E71" w:rsidRDefault="007B7681" w:rsidP="00282581">
            <w:pPr>
              <w:keepNext/>
              <w:spacing w:before="120" w:after="120"/>
              <w:jc w:val="center"/>
            </w:pPr>
            <w:r w:rsidRPr="00D46E71">
              <w:t>Li</w:t>
            </w:r>
            <w:r w:rsidRPr="00D46E71">
              <w:rPr>
                <w:vertAlign w:val="subscript"/>
              </w:rPr>
              <w:t>2</w:t>
            </w:r>
            <w:r w:rsidRPr="00D46E71">
              <w:t>O</w:t>
            </w:r>
          </w:p>
        </w:tc>
        <w:tc>
          <w:tcPr>
            <w:tcW w:w="1132" w:type="dxa"/>
            <w:tcBorders>
              <w:top w:val="single" w:sz="4" w:space="0" w:color="auto"/>
              <w:bottom w:val="nil"/>
            </w:tcBorders>
          </w:tcPr>
          <w:p w14:paraId="6F5FBE6A"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4.7</w:t>
            </w:r>
          </w:p>
        </w:tc>
        <w:tc>
          <w:tcPr>
            <w:tcW w:w="1133" w:type="dxa"/>
            <w:tcBorders>
              <w:top w:val="single" w:sz="4" w:space="0" w:color="auto"/>
              <w:bottom w:val="nil"/>
            </w:tcBorders>
          </w:tcPr>
          <w:p w14:paraId="4718DD52"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46E71">
              <w:rPr>
                <w:rFonts w:ascii="Calibri" w:hAnsi="Calibri" w:cs="Calibri"/>
                <w:color w:val="000000"/>
              </w:rPr>
              <w:t>4.6</w:t>
            </w:r>
          </w:p>
        </w:tc>
        <w:tc>
          <w:tcPr>
            <w:tcW w:w="1133" w:type="dxa"/>
            <w:tcBorders>
              <w:top w:val="single" w:sz="4" w:space="0" w:color="auto"/>
              <w:bottom w:val="nil"/>
            </w:tcBorders>
          </w:tcPr>
          <w:p w14:paraId="1FEF738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14</w:t>
            </w:r>
          </w:p>
        </w:tc>
        <w:tc>
          <w:tcPr>
            <w:tcW w:w="1133" w:type="dxa"/>
            <w:tcBorders>
              <w:top w:val="single" w:sz="4" w:space="0" w:color="auto"/>
              <w:bottom w:val="nil"/>
            </w:tcBorders>
          </w:tcPr>
          <w:p w14:paraId="402FA24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13</w:t>
            </w:r>
          </w:p>
        </w:tc>
        <w:tc>
          <w:tcPr>
            <w:tcW w:w="1133" w:type="dxa"/>
            <w:tcBorders>
              <w:top w:val="single" w:sz="4" w:space="0" w:color="auto"/>
              <w:bottom w:val="nil"/>
            </w:tcBorders>
          </w:tcPr>
          <w:p w14:paraId="7E70C239"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43</w:t>
            </w:r>
          </w:p>
        </w:tc>
        <w:tc>
          <w:tcPr>
            <w:tcW w:w="1133" w:type="dxa"/>
            <w:tcBorders>
              <w:top w:val="single" w:sz="4" w:space="0" w:color="auto"/>
              <w:bottom w:val="nil"/>
            </w:tcBorders>
          </w:tcPr>
          <w:p w14:paraId="46D7F56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46</w:t>
            </w:r>
          </w:p>
        </w:tc>
      </w:tr>
      <w:tr w:rsidR="007B7681" w:rsidRPr="00D46E71" w14:paraId="17F1FEF2"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7CF7CD72" w14:textId="77777777" w:rsidR="007B7681" w:rsidRPr="00D46E71" w:rsidRDefault="007B7681" w:rsidP="00282581">
            <w:pPr>
              <w:keepNext/>
              <w:spacing w:before="120" w:after="120"/>
              <w:jc w:val="center"/>
            </w:pPr>
            <w:r w:rsidRPr="00D46E71">
              <w:t>Li</w:t>
            </w:r>
            <w:r w:rsidRPr="00D46E71">
              <w:rPr>
                <w:vertAlign w:val="subscript"/>
              </w:rPr>
              <w:t>2</w:t>
            </w:r>
            <w:r w:rsidRPr="00D46E71">
              <w:t>SO</w:t>
            </w:r>
            <w:r w:rsidRPr="00D46E71">
              <w:rPr>
                <w:vertAlign w:val="subscript"/>
              </w:rPr>
              <w:t>4</w:t>
            </w:r>
          </w:p>
        </w:tc>
        <w:tc>
          <w:tcPr>
            <w:tcW w:w="1132" w:type="dxa"/>
            <w:tcBorders>
              <w:top w:val="nil"/>
              <w:bottom w:val="nil"/>
            </w:tcBorders>
          </w:tcPr>
          <w:p w14:paraId="4991822E"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-0.6</w:t>
            </w:r>
          </w:p>
        </w:tc>
        <w:tc>
          <w:tcPr>
            <w:tcW w:w="1133" w:type="dxa"/>
            <w:tcBorders>
              <w:top w:val="nil"/>
              <w:bottom w:val="nil"/>
            </w:tcBorders>
          </w:tcPr>
          <w:p w14:paraId="6E3BEA9C"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46E71">
              <w:rPr>
                <w:rFonts w:ascii="Calibri" w:hAnsi="Calibri" w:cs="Calibri"/>
                <w:color w:val="000000"/>
              </w:rPr>
              <w:t>-0.9</w:t>
            </w:r>
          </w:p>
        </w:tc>
        <w:tc>
          <w:tcPr>
            <w:tcW w:w="1133" w:type="dxa"/>
            <w:tcBorders>
              <w:top w:val="nil"/>
              <w:bottom w:val="nil"/>
            </w:tcBorders>
          </w:tcPr>
          <w:p w14:paraId="0BA462F4"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15</w:t>
            </w:r>
          </w:p>
        </w:tc>
        <w:tc>
          <w:tcPr>
            <w:tcW w:w="1133" w:type="dxa"/>
            <w:tcBorders>
              <w:top w:val="nil"/>
              <w:bottom w:val="nil"/>
            </w:tcBorders>
          </w:tcPr>
          <w:p w14:paraId="3C74DCEB"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11</w:t>
            </w:r>
          </w:p>
        </w:tc>
        <w:tc>
          <w:tcPr>
            <w:tcW w:w="1133" w:type="dxa"/>
            <w:tcBorders>
              <w:top w:val="nil"/>
              <w:bottom w:val="nil"/>
            </w:tcBorders>
          </w:tcPr>
          <w:p w14:paraId="6A4BF8A3"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6</w:t>
            </w:r>
          </w:p>
        </w:tc>
        <w:tc>
          <w:tcPr>
            <w:tcW w:w="1133" w:type="dxa"/>
            <w:tcBorders>
              <w:top w:val="nil"/>
              <w:bottom w:val="nil"/>
            </w:tcBorders>
          </w:tcPr>
          <w:p w14:paraId="7F8E7A2D"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22</w:t>
            </w:r>
          </w:p>
        </w:tc>
      </w:tr>
      <w:tr w:rsidR="007B7681" w:rsidRPr="00D46E71" w14:paraId="31FC329D"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39CE4149" w14:textId="77777777" w:rsidR="007B7681" w:rsidRPr="00D46E71" w:rsidRDefault="007B7681" w:rsidP="00282581">
            <w:pPr>
              <w:keepNext/>
              <w:spacing w:before="120" w:after="120"/>
              <w:jc w:val="center"/>
            </w:pPr>
            <w:r w:rsidRPr="00D46E71">
              <w:t>LiOH</w:t>
            </w:r>
          </w:p>
        </w:tc>
        <w:tc>
          <w:tcPr>
            <w:tcW w:w="1132" w:type="dxa"/>
            <w:tcBorders>
              <w:top w:val="nil"/>
              <w:bottom w:val="nil"/>
            </w:tcBorders>
          </w:tcPr>
          <w:p w14:paraId="38AB7047"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2.4</w:t>
            </w:r>
          </w:p>
        </w:tc>
        <w:tc>
          <w:tcPr>
            <w:tcW w:w="1133" w:type="dxa"/>
            <w:tcBorders>
              <w:top w:val="nil"/>
              <w:bottom w:val="nil"/>
            </w:tcBorders>
          </w:tcPr>
          <w:p w14:paraId="23FF16B5"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46E71">
              <w:rPr>
                <w:rFonts w:ascii="Calibri" w:hAnsi="Calibri" w:cs="Calibri"/>
                <w:color w:val="000000"/>
              </w:rPr>
              <w:t>2.4</w:t>
            </w:r>
          </w:p>
        </w:tc>
        <w:tc>
          <w:tcPr>
            <w:tcW w:w="1133" w:type="dxa"/>
            <w:tcBorders>
              <w:top w:val="nil"/>
              <w:bottom w:val="nil"/>
            </w:tcBorders>
          </w:tcPr>
          <w:p w14:paraId="0C16D91A"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2</w:t>
            </w:r>
          </w:p>
        </w:tc>
        <w:tc>
          <w:tcPr>
            <w:tcW w:w="1133" w:type="dxa"/>
            <w:tcBorders>
              <w:top w:val="nil"/>
              <w:bottom w:val="nil"/>
            </w:tcBorders>
          </w:tcPr>
          <w:p w14:paraId="63936886"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4</w:t>
            </w:r>
          </w:p>
        </w:tc>
        <w:tc>
          <w:tcPr>
            <w:tcW w:w="1133" w:type="dxa"/>
            <w:tcBorders>
              <w:top w:val="nil"/>
              <w:bottom w:val="nil"/>
            </w:tcBorders>
          </w:tcPr>
          <w:p w14:paraId="291DD1B8"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0.3</w:t>
            </w:r>
          </w:p>
        </w:tc>
        <w:tc>
          <w:tcPr>
            <w:tcW w:w="1133" w:type="dxa"/>
            <w:tcBorders>
              <w:top w:val="nil"/>
              <w:bottom w:val="nil"/>
            </w:tcBorders>
          </w:tcPr>
          <w:p w14:paraId="78034F0A"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6</w:t>
            </w:r>
          </w:p>
        </w:tc>
      </w:tr>
      <w:tr w:rsidR="007B7681" w:rsidRPr="00D46E71" w14:paraId="75DA9BB0"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332E6DCE" w14:textId="77777777" w:rsidR="007B7681" w:rsidRPr="00D46E71" w:rsidRDefault="007B7681" w:rsidP="00282581">
            <w:pPr>
              <w:keepNext/>
              <w:spacing w:before="120" w:after="120"/>
              <w:jc w:val="center"/>
            </w:pPr>
            <w:r w:rsidRPr="00D46E71">
              <w:t>Li</w:t>
            </w:r>
            <w:r w:rsidRPr="00D46E71">
              <w:rPr>
                <w:vertAlign w:val="subscript"/>
              </w:rPr>
              <w:t>2</w:t>
            </w:r>
            <w:r w:rsidRPr="00D46E71">
              <w:t>CO</w:t>
            </w:r>
            <w:r w:rsidRPr="00D46E71">
              <w:rPr>
                <w:vertAlign w:val="subscript"/>
              </w:rPr>
              <w:t>3</w:t>
            </w:r>
          </w:p>
        </w:tc>
        <w:tc>
          <w:tcPr>
            <w:tcW w:w="1132" w:type="dxa"/>
            <w:tcBorders>
              <w:top w:val="nil"/>
              <w:bottom w:val="nil"/>
            </w:tcBorders>
          </w:tcPr>
          <w:p w14:paraId="1737373A"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1.2</w:t>
            </w:r>
          </w:p>
        </w:tc>
        <w:tc>
          <w:tcPr>
            <w:tcW w:w="1133" w:type="dxa"/>
            <w:tcBorders>
              <w:top w:val="nil"/>
              <w:bottom w:val="nil"/>
            </w:tcBorders>
          </w:tcPr>
          <w:p w14:paraId="3C4E792C"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D46E71">
              <w:rPr>
                <w:rFonts w:ascii="Calibri" w:hAnsi="Calibri" w:cs="Calibri"/>
                <w:color w:val="000000"/>
              </w:rPr>
              <w:t>1.1</w:t>
            </w:r>
          </w:p>
        </w:tc>
        <w:tc>
          <w:tcPr>
            <w:tcW w:w="1133" w:type="dxa"/>
            <w:tcBorders>
              <w:top w:val="nil"/>
              <w:bottom w:val="nil"/>
            </w:tcBorders>
          </w:tcPr>
          <w:p w14:paraId="298B634E"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w:t>
            </w:r>
          </w:p>
        </w:tc>
        <w:tc>
          <w:tcPr>
            <w:tcW w:w="1133" w:type="dxa"/>
            <w:tcBorders>
              <w:top w:val="nil"/>
              <w:bottom w:val="nil"/>
            </w:tcBorders>
          </w:tcPr>
          <w:p w14:paraId="636D6467"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3</w:t>
            </w:r>
          </w:p>
        </w:tc>
        <w:tc>
          <w:tcPr>
            <w:tcW w:w="1133" w:type="dxa"/>
            <w:tcBorders>
              <w:top w:val="nil"/>
              <w:bottom w:val="nil"/>
            </w:tcBorders>
          </w:tcPr>
          <w:p w14:paraId="76B19EAD"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0.1</w:t>
            </w:r>
          </w:p>
        </w:tc>
        <w:tc>
          <w:tcPr>
            <w:tcW w:w="1133" w:type="dxa"/>
            <w:tcBorders>
              <w:top w:val="nil"/>
              <w:bottom w:val="nil"/>
            </w:tcBorders>
          </w:tcPr>
          <w:p w14:paraId="17215C32"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4</w:t>
            </w:r>
          </w:p>
        </w:tc>
      </w:tr>
      <w:tr w:rsidR="007B7681" w:rsidRPr="00D46E71" w14:paraId="3221D1B1" w14:textId="77777777" w:rsidTr="00282581">
        <w:trPr>
          <w:cnfStyle w:val="000000100000" w:firstRow="0" w:lastRow="0" w:firstColumn="0" w:lastColumn="0" w:oddVBand="0" w:evenVBand="0" w:oddHBand="1" w:evenHBand="0" w:firstRowFirstColumn="0" w:firstRowLastColumn="0" w:lastRowFirstColumn="0" w:lastRowLastColumn="0"/>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bottom w:val="nil"/>
            </w:tcBorders>
          </w:tcPr>
          <w:p w14:paraId="5E93B19C" w14:textId="77777777" w:rsidR="007B7681" w:rsidRPr="00D46E71" w:rsidRDefault="007B7681" w:rsidP="00282581">
            <w:pPr>
              <w:keepNext/>
              <w:spacing w:before="120" w:after="120"/>
              <w:jc w:val="center"/>
            </w:pPr>
            <w:r w:rsidRPr="00D46E71">
              <w:t>LiF</w:t>
            </w:r>
          </w:p>
        </w:tc>
        <w:tc>
          <w:tcPr>
            <w:tcW w:w="1132" w:type="dxa"/>
            <w:tcBorders>
              <w:top w:val="nil"/>
              <w:bottom w:val="nil"/>
            </w:tcBorders>
          </w:tcPr>
          <w:p w14:paraId="6311A57B"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37064A88"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D46E71">
              <w:rPr>
                <w:rFonts w:ascii="Calibri" w:hAnsi="Calibri" w:cs="Calibri"/>
                <w:color w:val="000000"/>
              </w:rPr>
              <w:t>0.2</w:t>
            </w:r>
          </w:p>
        </w:tc>
        <w:tc>
          <w:tcPr>
            <w:tcW w:w="1133" w:type="dxa"/>
            <w:tcBorders>
              <w:top w:val="nil"/>
              <w:bottom w:val="nil"/>
            </w:tcBorders>
          </w:tcPr>
          <w:p w14:paraId="07661E00"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73998A43"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5</w:t>
            </w:r>
          </w:p>
        </w:tc>
        <w:tc>
          <w:tcPr>
            <w:tcW w:w="1133" w:type="dxa"/>
            <w:tcBorders>
              <w:top w:val="nil"/>
              <w:bottom w:val="nil"/>
            </w:tcBorders>
          </w:tcPr>
          <w:p w14:paraId="645A293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w:t>
            </w:r>
          </w:p>
        </w:tc>
        <w:tc>
          <w:tcPr>
            <w:tcW w:w="1133" w:type="dxa"/>
            <w:tcBorders>
              <w:top w:val="nil"/>
              <w:bottom w:val="nil"/>
            </w:tcBorders>
          </w:tcPr>
          <w:p w14:paraId="71ED27EE" w14:textId="77777777" w:rsidR="007B7681" w:rsidRPr="00D46E71" w:rsidRDefault="007B7681" w:rsidP="00282581">
            <w:pPr>
              <w:keepNext/>
              <w:spacing w:before="120" w:after="120"/>
              <w:jc w:val="center"/>
              <w:cnfStyle w:val="000000100000" w:firstRow="0" w:lastRow="0" w:firstColumn="0" w:lastColumn="0" w:oddVBand="0" w:evenVBand="0" w:oddHBand="1" w:evenHBand="0" w:firstRowFirstColumn="0" w:firstRowLastColumn="0" w:lastRowFirstColumn="0" w:lastRowLastColumn="0"/>
            </w:pPr>
            <w:r w:rsidRPr="00D46E71">
              <w:t>13</w:t>
            </w:r>
          </w:p>
        </w:tc>
      </w:tr>
      <w:tr w:rsidR="007B7681" w:rsidRPr="00D46E71" w14:paraId="52ACA42C" w14:textId="77777777" w:rsidTr="00282581">
        <w:trPr>
          <w:cantSplit/>
          <w:trHeight w:hRule="exact" w:val="482"/>
        </w:trPr>
        <w:tc>
          <w:tcPr>
            <w:cnfStyle w:val="001000000000" w:firstRow="0" w:lastRow="0" w:firstColumn="1" w:lastColumn="0" w:oddVBand="0" w:evenVBand="0" w:oddHBand="0" w:evenHBand="0" w:firstRowFirstColumn="0" w:firstRowLastColumn="0" w:lastRowFirstColumn="0" w:lastRowLastColumn="0"/>
            <w:tcW w:w="2265" w:type="dxa"/>
            <w:tcBorders>
              <w:top w:val="nil"/>
            </w:tcBorders>
          </w:tcPr>
          <w:p w14:paraId="5676536F" w14:textId="77777777" w:rsidR="007B7681" w:rsidRPr="00D46E71" w:rsidRDefault="007B7681" w:rsidP="00282581">
            <w:pPr>
              <w:keepNext/>
              <w:spacing w:before="120" w:after="120"/>
              <w:jc w:val="center"/>
            </w:pPr>
            <w:r w:rsidRPr="00D46E71">
              <w:t>Total Li</w:t>
            </w:r>
          </w:p>
        </w:tc>
        <w:tc>
          <w:tcPr>
            <w:tcW w:w="1132" w:type="dxa"/>
            <w:tcBorders>
              <w:top w:val="nil"/>
            </w:tcBorders>
          </w:tcPr>
          <w:p w14:paraId="146BA4E4"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tcBorders>
          </w:tcPr>
          <w:p w14:paraId="00A170F6"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tcBorders>
          </w:tcPr>
          <w:p w14:paraId="4C772E56"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tcBorders>
          </w:tcPr>
          <w:p w14:paraId="13397017"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1133" w:type="dxa"/>
            <w:tcBorders>
              <w:top w:val="nil"/>
            </w:tcBorders>
          </w:tcPr>
          <w:p w14:paraId="1D8DCEF1"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t>98.</w:t>
            </w:r>
            <w:r w:rsidRPr="00D46E71">
              <w:t>5</w:t>
            </w:r>
          </w:p>
        </w:tc>
        <w:tc>
          <w:tcPr>
            <w:tcW w:w="1133" w:type="dxa"/>
            <w:tcBorders>
              <w:top w:val="nil"/>
            </w:tcBorders>
          </w:tcPr>
          <w:p w14:paraId="6448A9F2" w14:textId="77777777" w:rsidR="007B7681" w:rsidRPr="00D46E71" w:rsidRDefault="007B7681" w:rsidP="00282581">
            <w:pPr>
              <w:keepNext/>
              <w:spacing w:before="120" w:after="120"/>
              <w:jc w:val="center"/>
              <w:cnfStyle w:val="000000000000" w:firstRow="0" w:lastRow="0" w:firstColumn="0" w:lastColumn="0" w:oddVBand="0" w:evenVBand="0" w:oddHBand="0" w:evenHBand="0" w:firstRowFirstColumn="0" w:firstRowLastColumn="0" w:lastRowFirstColumn="0" w:lastRowLastColumn="0"/>
            </w:pPr>
            <w:r w:rsidRPr="00D46E71">
              <w:t>163</w:t>
            </w:r>
          </w:p>
        </w:tc>
      </w:tr>
    </w:tbl>
    <w:p w14:paraId="209D666E" w14:textId="085080F5" w:rsidR="00C008DC" w:rsidRDefault="00C008DC" w:rsidP="00921C28">
      <w:pPr>
        <w:spacing w:line="240" w:lineRule="auto"/>
        <w:contextualSpacing/>
        <w:jc w:val="center"/>
        <w:rPr>
          <w:rFonts w:ascii="Times New Roman" w:hAnsi="Times New Roman" w:cs="Times New Roman"/>
          <w:b/>
          <w:sz w:val="24"/>
          <w:szCs w:val="24"/>
        </w:rPr>
      </w:pPr>
    </w:p>
    <w:p w14:paraId="52F77E53" w14:textId="1C2795D6" w:rsidR="00C008DC" w:rsidRDefault="00AA2CC5" w:rsidP="00AA2CC5">
      <w:pPr>
        <w:spacing w:line="240" w:lineRule="auto"/>
        <w:contextualSpacing/>
        <w:jc w:val="both"/>
        <w:rPr>
          <w:rFonts w:eastAsia="MS Mincho"/>
          <w:sz w:val="24"/>
          <w:szCs w:val="24"/>
          <w:lang w:val="en-US"/>
        </w:rPr>
      </w:pPr>
      <w:r w:rsidRPr="00A07114">
        <w:rPr>
          <w:rFonts w:ascii="Times New Roman" w:hAnsi="Times New Roman" w:cs="Times New Roman"/>
          <w:b/>
          <w:sz w:val="24"/>
          <w:szCs w:val="24"/>
        </w:rPr>
        <w:t xml:space="preserve">*: </w:t>
      </w:r>
      <w:r w:rsidRPr="00A07114">
        <w:rPr>
          <w:rFonts w:eastAsia="MS Mincho"/>
          <w:sz w:val="24"/>
          <w:szCs w:val="24"/>
          <w:lang w:val="en-US"/>
        </w:rPr>
        <w:t xml:space="preserve">The 10% error comes from the reliability factor of the dmfit program used to fit the MAS NMR data. It is an error on the integrated intensity (arbitrary unit) absolute value and depends only on the quality of the NMR spectrum and not directly on the measured amount of lithium nuclei in </w:t>
      </w:r>
      <w:r w:rsidRPr="00A07114">
        <w:rPr>
          <w:rFonts w:ascii="Symbol" w:eastAsia="MS Mincho" w:hAnsi="Symbol"/>
          <w:sz w:val="24"/>
          <w:szCs w:val="24"/>
          <w:lang w:val="en-US"/>
        </w:rPr>
        <w:t></w:t>
      </w:r>
      <w:r w:rsidRPr="00A07114">
        <w:rPr>
          <w:rFonts w:eastAsia="MS Mincho"/>
          <w:sz w:val="24"/>
          <w:szCs w:val="24"/>
          <w:lang w:val="en-US"/>
        </w:rPr>
        <w:t>mol.g</w:t>
      </w:r>
      <w:r w:rsidRPr="00A07114">
        <w:rPr>
          <w:rFonts w:eastAsia="MS Mincho"/>
          <w:sz w:val="24"/>
          <w:szCs w:val="24"/>
          <w:vertAlign w:val="superscript"/>
          <w:lang w:val="en-US"/>
        </w:rPr>
        <w:t>-1</w:t>
      </w:r>
      <w:bookmarkStart w:id="0" w:name="_GoBack"/>
      <w:bookmarkEnd w:id="0"/>
    </w:p>
    <w:p w14:paraId="35ABFF8B" w14:textId="5479139D" w:rsidR="00AA2CC5" w:rsidRDefault="00AA2CC5" w:rsidP="00921C28">
      <w:pPr>
        <w:spacing w:line="240" w:lineRule="auto"/>
        <w:contextualSpacing/>
        <w:jc w:val="center"/>
        <w:rPr>
          <w:rFonts w:eastAsia="MS Mincho"/>
          <w:sz w:val="24"/>
          <w:szCs w:val="24"/>
          <w:lang w:val="en-US"/>
        </w:rPr>
      </w:pPr>
    </w:p>
    <w:p w14:paraId="43F23DFC" w14:textId="06DB4D56" w:rsidR="00AA2CC5" w:rsidRDefault="00AA2CC5" w:rsidP="00921C28">
      <w:pPr>
        <w:spacing w:line="240" w:lineRule="auto"/>
        <w:contextualSpacing/>
        <w:jc w:val="center"/>
        <w:rPr>
          <w:rFonts w:eastAsia="MS Mincho"/>
          <w:sz w:val="24"/>
          <w:szCs w:val="24"/>
          <w:lang w:val="en-US"/>
        </w:rPr>
      </w:pPr>
    </w:p>
    <w:p w14:paraId="26329F74" w14:textId="77777777" w:rsidR="00AA2CC5" w:rsidRDefault="00AA2CC5" w:rsidP="00921C28">
      <w:pPr>
        <w:spacing w:line="240" w:lineRule="auto"/>
        <w:contextualSpacing/>
        <w:jc w:val="center"/>
        <w:rPr>
          <w:rFonts w:ascii="Times New Roman" w:hAnsi="Times New Roman" w:cs="Times New Roman"/>
          <w:b/>
          <w:sz w:val="24"/>
          <w:szCs w:val="24"/>
        </w:rPr>
      </w:pPr>
    </w:p>
    <w:p w14:paraId="30A2957B" w14:textId="4F77152D" w:rsidR="00C008DC" w:rsidRDefault="00C008DC" w:rsidP="00921C28">
      <w:pPr>
        <w:spacing w:line="240" w:lineRule="auto"/>
        <w:contextualSpacing/>
        <w:jc w:val="center"/>
        <w:rPr>
          <w:rFonts w:ascii="Times New Roman" w:hAnsi="Times New Roman" w:cs="Times New Roman"/>
          <w:b/>
          <w:sz w:val="24"/>
          <w:szCs w:val="24"/>
        </w:rPr>
      </w:pPr>
    </w:p>
    <w:p w14:paraId="26744733" w14:textId="573E7E64" w:rsidR="00C008DC" w:rsidRDefault="00B20EF8" w:rsidP="00C008DC">
      <w:pPr>
        <w:spacing w:line="240" w:lineRule="auto"/>
        <w:contextualSpacing/>
        <w:jc w:val="both"/>
        <w:rPr>
          <w:rFonts w:ascii="Times New Roman" w:hAnsi="Times New Roman" w:cs="Times New Roman"/>
          <w:b/>
          <w:sz w:val="24"/>
          <w:szCs w:val="24"/>
        </w:rPr>
      </w:pPr>
      <w:r>
        <w:rPr>
          <w:noProof/>
          <w:lang w:val="fr-FR" w:eastAsia="fr-FR"/>
        </w:rPr>
        <mc:AlternateContent>
          <mc:Choice Requires="wps">
            <w:drawing>
              <wp:anchor distT="0" distB="0" distL="114300" distR="114300" simplePos="0" relativeHeight="251661312" behindDoc="0" locked="0" layoutInCell="1" allowOverlap="1" wp14:anchorId="331DB659" wp14:editId="173385F6">
                <wp:simplePos x="0" y="0"/>
                <wp:positionH relativeFrom="column">
                  <wp:posOffset>114300</wp:posOffset>
                </wp:positionH>
                <wp:positionV relativeFrom="paragraph">
                  <wp:posOffset>2333625</wp:posOffset>
                </wp:positionV>
                <wp:extent cx="371475" cy="28575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3BBD4A29" w14:textId="7811B4E6" w:rsidR="00B20EF8" w:rsidRPr="0058255E" w:rsidRDefault="00B20EF8" w:rsidP="00B20EF8">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DB659" id="_x0000_t202" coordsize="21600,21600" o:spt="202" path="m,l,21600r21600,l21600,xe">
                <v:stroke joinstyle="miter"/>
                <v:path gradientshapeok="t" o:connecttype="rect"/>
              </v:shapetype>
              <v:shape id="Zone de texte 3" o:spid="_x0000_s1026" type="#_x0000_t202" style="position:absolute;left:0;text-align:left;margin-left:9pt;margin-top:183.75pt;width:29.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" fillcolor="white [3201]" stroked="f" strokeweight=".5pt">
                <v:textbox>
                  <w:txbxContent>
                    <w:p w14:paraId="3BBD4A29" w14:textId="7811B4E6" w:rsidR="00B20EF8" w:rsidRPr="0058255E" w:rsidRDefault="00B20EF8" w:rsidP="00B20EF8">
                      <w:pPr>
                        <w:rPr>
                          <w:b/>
                        </w:rPr>
                      </w:pPr>
                      <w:r>
                        <w:rPr>
                          <w:b/>
                        </w:rPr>
                        <w:t>(</w:t>
                      </w:r>
                      <w:r>
                        <w:rPr>
                          <w:b/>
                        </w:rPr>
                        <w:t>a</w:t>
                      </w:r>
                      <w:r>
                        <w:rPr>
                          <w:b/>
                        </w:rPr>
                        <w:t>)</w:t>
                      </w:r>
                    </w:p>
                  </w:txbxContent>
                </v:textbox>
              </v:shape>
            </w:pict>
          </mc:Fallback>
        </mc:AlternateContent>
      </w:r>
      <w:r>
        <w:rPr>
          <w:rFonts w:ascii="Times New Roman" w:hAnsi="Times New Roman" w:cs="Times New Roman"/>
          <w:b/>
          <w:noProof/>
          <w:sz w:val="24"/>
          <w:szCs w:val="24"/>
          <w:lang w:val="fr-FR" w:eastAsia="fr-FR"/>
        </w:rPr>
        <w:drawing>
          <wp:inline distT="0" distB="0" distL="0" distR="0" wp14:anchorId="689F1A12" wp14:editId="2CC24FFD">
            <wp:extent cx="5731510" cy="4322445"/>
            <wp:effectExtent l="0" t="0" r="254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S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322445"/>
                    </a:xfrm>
                    <a:prstGeom prst="rect">
                      <a:avLst/>
                    </a:prstGeom>
                  </pic:spPr>
                </pic:pic>
              </a:graphicData>
            </a:graphic>
          </wp:inline>
        </w:drawing>
      </w:r>
    </w:p>
    <w:p w14:paraId="1383B738" w14:textId="47DE9736" w:rsidR="00E419DE" w:rsidRDefault="00E419DE" w:rsidP="00C008DC">
      <w:pPr>
        <w:spacing w:line="240" w:lineRule="auto"/>
        <w:contextualSpacing/>
        <w:jc w:val="both"/>
        <w:rPr>
          <w:rFonts w:ascii="Times New Roman" w:hAnsi="Times New Roman" w:cs="Times New Roman"/>
          <w:b/>
          <w:sz w:val="24"/>
          <w:szCs w:val="24"/>
        </w:rPr>
      </w:pPr>
    </w:p>
    <w:p w14:paraId="415BC0FE" w14:textId="77777777" w:rsidR="00E419DE" w:rsidRDefault="00E419DE" w:rsidP="00C008DC">
      <w:pPr>
        <w:spacing w:line="240" w:lineRule="auto"/>
        <w:contextualSpacing/>
        <w:jc w:val="both"/>
        <w:rPr>
          <w:rFonts w:ascii="Times New Roman" w:hAnsi="Times New Roman" w:cs="Times New Roman"/>
          <w:b/>
          <w:sz w:val="24"/>
          <w:szCs w:val="24"/>
        </w:rPr>
      </w:pPr>
    </w:p>
    <w:p w14:paraId="70E6B363" w14:textId="63E03D73" w:rsidR="008645A0" w:rsidRDefault="008645A0" w:rsidP="00C008DC">
      <w:pPr>
        <w:spacing w:line="240" w:lineRule="auto"/>
        <w:contextualSpacing/>
        <w:jc w:val="both"/>
        <w:rPr>
          <w:rFonts w:ascii="Times New Roman" w:hAnsi="Times New Roman" w:cs="Times New Roman"/>
          <w:b/>
          <w:sz w:val="24"/>
          <w:szCs w:val="24"/>
        </w:rPr>
      </w:pPr>
      <w:r>
        <w:rPr>
          <w:noProof/>
          <w:lang w:val="fr-FR" w:eastAsia="fr-FR"/>
        </w:rPr>
        <w:lastRenderedPageBreak/>
        <mc:AlternateContent>
          <mc:Choice Requires="wps">
            <w:drawing>
              <wp:anchor distT="0" distB="0" distL="114300" distR="114300" simplePos="0" relativeHeight="251659264" behindDoc="0" locked="0" layoutInCell="1" allowOverlap="1" wp14:anchorId="48ED8DC0" wp14:editId="3EBC3344">
                <wp:simplePos x="0" y="0"/>
                <wp:positionH relativeFrom="column">
                  <wp:posOffset>104775</wp:posOffset>
                </wp:positionH>
                <wp:positionV relativeFrom="paragraph">
                  <wp:posOffset>2240280</wp:posOffset>
                </wp:positionV>
                <wp:extent cx="371475" cy="285750"/>
                <wp:effectExtent l="0" t="0" r="9525" b="0"/>
                <wp:wrapNone/>
                <wp:docPr id="12" name="Zone de texte 12"/>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13EC0864" w14:textId="77777777" w:rsidR="008645A0" w:rsidRPr="0058255E" w:rsidRDefault="008645A0" w:rsidP="008645A0">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D8DC0" id="_x0000_t202" coordsize="21600,21600" o:spt="202" path="m,l,21600r21600,l21600,xe">
                <v:stroke joinstyle="miter"/>
                <v:path gradientshapeok="t" o:connecttype="rect"/>
              </v:shapetype>
              <v:shape id="Zone de texte 12" o:spid="_x0000_s1026" type="#_x0000_t202" style="position:absolute;left:0;text-align:left;margin-left:8.25pt;margin-top:176.4pt;width:2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" fillcolor="white [3201]" stroked="f" strokeweight=".5pt">
                <v:textbox>
                  <w:txbxContent>
                    <w:p w14:paraId="13EC0864" w14:textId="77777777" w:rsidR="008645A0" w:rsidRPr="0058255E" w:rsidRDefault="008645A0" w:rsidP="008645A0">
                      <w:pPr>
                        <w:rPr>
                          <w:b/>
                        </w:rPr>
                      </w:pPr>
                      <w:r>
                        <w:rPr>
                          <w:b/>
                        </w:rPr>
                        <w:t>(b)</w:t>
                      </w:r>
                    </w:p>
                  </w:txbxContent>
                </v:textbox>
              </v:shape>
            </w:pict>
          </mc:Fallback>
        </mc:AlternateContent>
      </w:r>
      <w:r>
        <w:rPr>
          <w:rFonts w:ascii="Times New Roman" w:hAnsi="Times New Roman" w:cs="Times New Roman"/>
          <w:b/>
          <w:noProof/>
          <w:sz w:val="24"/>
          <w:szCs w:val="24"/>
          <w:lang w:val="fr-FR" w:eastAsia="fr-FR"/>
        </w:rPr>
        <w:drawing>
          <wp:inline distT="0" distB="0" distL="0" distR="0" wp14:anchorId="23257AE4" wp14:editId="0D9D3EF5">
            <wp:extent cx="5731510" cy="431355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313555"/>
                    </a:xfrm>
                    <a:prstGeom prst="rect">
                      <a:avLst/>
                    </a:prstGeom>
                  </pic:spPr>
                </pic:pic>
              </a:graphicData>
            </a:graphic>
          </wp:inline>
        </w:drawing>
      </w:r>
    </w:p>
    <w:p w14:paraId="7EFD0430" w14:textId="52620B4C" w:rsidR="008645A0" w:rsidRDefault="008645A0" w:rsidP="00C008DC">
      <w:pPr>
        <w:spacing w:line="240" w:lineRule="auto"/>
        <w:contextualSpacing/>
        <w:jc w:val="both"/>
        <w:rPr>
          <w:rFonts w:ascii="Times New Roman" w:hAnsi="Times New Roman" w:cs="Times New Roman"/>
          <w:b/>
          <w:sz w:val="24"/>
          <w:szCs w:val="24"/>
        </w:rPr>
      </w:pPr>
    </w:p>
    <w:p w14:paraId="032802FF" w14:textId="63A26DE8" w:rsidR="008645A0" w:rsidRDefault="008645A0" w:rsidP="00C008DC">
      <w:pPr>
        <w:spacing w:line="240" w:lineRule="auto"/>
        <w:contextualSpacing/>
        <w:jc w:val="both"/>
        <w:rPr>
          <w:rFonts w:ascii="Times New Roman" w:hAnsi="Times New Roman" w:cs="Times New Roman"/>
          <w:b/>
          <w:sz w:val="24"/>
          <w:szCs w:val="24"/>
        </w:rPr>
      </w:pPr>
    </w:p>
    <w:p w14:paraId="695F3D90" w14:textId="368A80BD" w:rsidR="008645A0" w:rsidRDefault="008645A0" w:rsidP="00C008D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Figure S1 : </w:t>
      </w:r>
      <w:r w:rsidRPr="008645A0">
        <w:rPr>
          <w:rFonts w:ascii="Times New Roman" w:hAnsi="Times New Roman" w:cs="Times New Roman"/>
          <w:b/>
          <w:sz w:val="24"/>
          <w:szCs w:val="24"/>
        </w:rPr>
        <w:t xml:space="preserve">Deconvolution of </w:t>
      </w:r>
      <w:r w:rsidRPr="008645A0">
        <w:rPr>
          <w:rFonts w:ascii="Times New Roman" w:hAnsi="Times New Roman" w:cs="Times New Roman"/>
          <w:b/>
          <w:sz w:val="24"/>
          <w:szCs w:val="24"/>
          <w:vertAlign w:val="superscript"/>
        </w:rPr>
        <w:t>7</w:t>
      </w:r>
      <w:r w:rsidRPr="008645A0">
        <w:rPr>
          <w:rFonts w:ascii="Times New Roman" w:hAnsi="Times New Roman" w:cs="Times New Roman"/>
          <w:b/>
          <w:sz w:val="24"/>
          <w:szCs w:val="24"/>
        </w:rPr>
        <w:t>L</w:t>
      </w:r>
      <w:r>
        <w:rPr>
          <w:rFonts w:ascii="Times New Roman" w:hAnsi="Times New Roman" w:cs="Times New Roman"/>
          <w:b/>
          <w:sz w:val="24"/>
          <w:szCs w:val="24"/>
        </w:rPr>
        <w:t>i</w:t>
      </w:r>
      <w:r w:rsidRPr="008645A0">
        <w:rPr>
          <w:rFonts w:ascii="Times New Roman" w:hAnsi="Times New Roman" w:cs="Times New Roman"/>
          <w:b/>
          <w:sz w:val="24"/>
          <w:szCs w:val="24"/>
        </w:rPr>
        <w:t xml:space="preserve"> MAS NMR spectra of NMC811 pristine powder (a) and dried slurry (b).</w:t>
      </w:r>
      <w:r>
        <w:rPr>
          <w:rFonts w:ascii="Times New Roman" w:hAnsi="Times New Roman" w:cs="Times New Roman"/>
          <w:b/>
          <w:sz w:val="24"/>
          <w:szCs w:val="24"/>
        </w:rPr>
        <w:t xml:space="preserve"> Complete spectra are shown with the simulation obtained from the fitting process. Regions in blue rectangles are enlarged as examples.</w:t>
      </w:r>
    </w:p>
    <w:p w14:paraId="236DA969" w14:textId="469E2DDA" w:rsidR="008645A0" w:rsidRDefault="008645A0" w:rsidP="00C008DC">
      <w:pPr>
        <w:spacing w:line="240" w:lineRule="auto"/>
        <w:contextualSpacing/>
        <w:jc w:val="both"/>
        <w:rPr>
          <w:rFonts w:ascii="Times New Roman" w:hAnsi="Times New Roman" w:cs="Times New Roman"/>
          <w:b/>
          <w:sz w:val="24"/>
          <w:szCs w:val="24"/>
        </w:rPr>
      </w:pPr>
    </w:p>
    <w:p w14:paraId="3D51CCA7" w14:textId="02BDDEE1" w:rsidR="008645A0" w:rsidRDefault="008645A0" w:rsidP="00C008DC">
      <w:pPr>
        <w:spacing w:line="240" w:lineRule="auto"/>
        <w:contextualSpacing/>
        <w:jc w:val="both"/>
        <w:rPr>
          <w:rFonts w:ascii="Times New Roman" w:hAnsi="Times New Roman" w:cs="Times New Roman"/>
          <w:b/>
          <w:sz w:val="24"/>
          <w:szCs w:val="24"/>
        </w:rPr>
      </w:pPr>
    </w:p>
    <w:p w14:paraId="491C0F31" w14:textId="55088F45" w:rsidR="008645A0" w:rsidRDefault="008645A0" w:rsidP="00C008DC">
      <w:pPr>
        <w:spacing w:line="240" w:lineRule="auto"/>
        <w:contextualSpacing/>
        <w:jc w:val="both"/>
        <w:rPr>
          <w:rFonts w:ascii="Times New Roman" w:hAnsi="Times New Roman" w:cs="Times New Roman"/>
          <w:b/>
          <w:sz w:val="24"/>
          <w:szCs w:val="24"/>
        </w:rPr>
      </w:pPr>
    </w:p>
    <w:p w14:paraId="446D32E4" w14:textId="537E39F3" w:rsidR="008645A0" w:rsidRDefault="008645A0" w:rsidP="00C008DC">
      <w:pPr>
        <w:spacing w:line="240" w:lineRule="auto"/>
        <w:contextualSpacing/>
        <w:jc w:val="both"/>
        <w:rPr>
          <w:rFonts w:ascii="Times New Roman" w:hAnsi="Times New Roman" w:cs="Times New Roman"/>
          <w:b/>
          <w:sz w:val="24"/>
          <w:szCs w:val="24"/>
        </w:rPr>
      </w:pPr>
    </w:p>
    <w:p w14:paraId="2C81F11A" w14:textId="77777777" w:rsidR="008645A0" w:rsidRDefault="008645A0" w:rsidP="00C008DC">
      <w:pPr>
        <w:spacing w:line="240" w:lineRule="auto"/>
        <w:contextualSpacing/>
        <w:jc w:val="both"/>
        <w:rPr>
          <w:rFonts w:ascii="Times New Roman" w:hAnsi="Times New Roman" w:cs="Times New Roman"/>
          <w:b/>
          <w:sz w:val="24"/>
          <w:szCs w:val="24"/>
        </w:rPr>
      </w:pPr>
    </w:p>
    <w:sectPr w:rsidR="008645A0">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5A30F" w16cex:dateUtc="2022-06-16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0FF8F5" w16cid:durableId="2647A343"/>
  <w16cid:commentId w16cid:paraId="0E9BDA7E" w16cid:durableId="2655A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FF8B" w14:textId="77777777" w:rsidR="00592E5D" w:rsidRDefault="00592E5D" w:rsidP="002B7B1F">
      <w:pPr>
        <w:spacing w:after="0" w:line="240" w:lineRule="auto"/>
      </w:pPr>
      <w:r>
        <w:separator/>
      </w:r>
    </w:p>
  </w:endnote>
  <w:endnote w:type="continuationSeparator" w:id="0">
    <w:p w14:paraId="1D1DC5AB" w14:textId="77777777" w:rsidR="00592E5D" w:rsidRDefault="00592E5D" w:rsidP="002B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84079"/>
      <w:docPartObj>
        <w:docPartGallery w:val="Page Numbers (Bottom of Page)"/>
        <w:docPartUnique/>
      </w:docPartObj>
    </w:sdtPr>
    <w:sdtEndPr/>
    <w:sdtContent>
      <w:p w14:paraId="6F707734" w14:textId="219BE115" w:rsidR="002B7B1F" w:rsidRDefault="002B7B1F">
        <w:pPr>
          <w:pStyle w:val="Pieddepage"/>
          <w:jc w:val="center"/>
        </w:pPr>
        <w:r w:rsidRPr="0005520F">
          <w:t>S-</w:t>
        </w:r>
        <w:r w:rsidRPr="0005520F">
          <w:fldChar w:fldCharType="begin"/>
        </w:r>
        <w:r w:rsidRPr="0005520F">
          <w:instrText>PAGE   \* MERGEFORMAT</w:instrText>
        </w:r>
        <w:r w:rsidRPr="0005520F">
          <w:fldChar w:fldCharType="separate"/>
        </w:r>
        <w:r w:rsidR="00A07114" w:rsidRPr="00A07114">
          <w:rPr>
            <w:noProof/>
            <w:lang w:val="fr-FR"/>
          </w:rPr>
          <w:t>3</w:t>
        </w:r>
        <w:r w:rsidRPr="0005520F">
          <w:fldChar w:fldCharType="end"/>
        </w:r>
      </w:p>
    </w:sdtContent>
  </w:sdt>
  <w:p w14:paraId="1EE140E6" w14:textId="77777777" w:rsidR="002B7B1F" w:rsidRDefault="002B7B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3414" w14:textId="77777777" w:rsidR="00592E5D" w:rsidRDefault="00592E5D" w:rsidP="002B7B1F">
      <w:pPr>
        <w:spacing w:after="0" w:line="240" w:lineRule="auto"/>
      </w:pPr>
      <w:r>
        <w:separator/>
      </w:r>
    </w:p>
  </w:footnote>
  <w:footnote w:type="continuationSeparator" w:id="0">
    <w:p w14:paraId="5C917704" w14:textId="77777777" w:rsidR="00592E5D" w:rsidRDefault="00592E5D" w:rsidP="002B7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162BF"/>
    <w:multiLevelType w:val="hybridMultilevel"/>
    <w:tmpl w:val="AE50D9FA"/>
    <w:lvl w:ilvl="0" w:tplc="C632E778">
      <w:start w:val="3"/>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3436EEA"/>
    <w:multiLevelType w:val="hybridMultilevel"/>
    <w:tmpl w:val="1D14E57A"/>
    <w:lvl w:ilvl="0" w:tplc="144E36B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95940"/>
    <w:multiLevelType w:val="hybridMultilevel"/>
    <w:tmpl w:val="4C90AFF2"/>
    <w:lvl w:ilvl="0" w:tplc="C45E0140">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AA07E9B"/>
    <w:multiLevelType w:val="hybridMultilevel"/>
    <w:tmpl w:val="ACB41A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9096B"/>
    <w:multiLevelType w:val="hybridMultilevel"/>
    <w:tmpl w:val="43AEBC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51"/>
    <w:rsid w:val="0001095F"/>
    <w:rsid w:val="00027C51"/>
    <w:rsid w:val="00034D23"/>
    <w:rsid w:val="00035296"/>
    <w:rsid w:val="00050055"/>
    <w:rsid w:val="000541F1"/>
    <w:rsid w:val="0005520F"/>
    <w:rsid w:val="0008371F"/>
    <w:rsid w:val="000A48CA"/>
    <w:rsid w:val="000A5B4D"/>
    <w:rsid w:val="000A7D07"/>
    <w:rsid w:val="000B37A6"/>
    <w:rsid w:val="000B3D7B"/>
    <w:rsid w:val="000C6F45"/>
    <w:rsid w:val="000E4377"/>
    <w:rsid w:val="0010538B"/>
    <w:rsid w:val="001056D0"/>
    <w:rsid w:val="00145BE0"/>
    <w:rsid w:val="0015094A"/>
    <w:rsid w:val="0017021B"/>
    <w:rsid w:val="0018499C"/>
    <w:rsid w:val="00185A6B"/>
    <w:rsid w:val="00187681"/>
    <w:rsid w:val="001B5D15"/>
    <w:rsid w:val="001D25C6"/>
    <w:rsid w:val="001E5F86"/>
    <w:rsid w:val="001F4F75"/>
    <w:rsid w:val="00202B35"/>
    <w:rsid w:val="00207E47"/>
    <w:rsid w:val="00210000"/>
    <w:rsid w:val="002104AB"/>
    <w:rsid w:val="00210ED5"/>
    <w:rsid w:val="00223C91"/>
    <w:rsid w:val="00230A55"/>
    <w:rsid w:val="00236D8E"/>
    <w:rsid w:val="002437CC"/>
    <w:rsid w:val="00257CA4"/>
    <w:rsid w:val="002A3CD3"/>
    <w:rsid w:val="002B144A"/>
    <w:rsid w:val="002B687E"/>
    <w:rsid w:val="002B7B1F"/>
    <w:rsid w:val="002C215E"/>
    <w:rsid w:val="002C26B5"/>
    <w:rsid w:val="002C56DE"/>
    <w:rsid w:val="002C6D4E"/>
    <w:rsid w:val="003119FC"/>
    <w:rsid w:val="00342200"/>
    <w:rsid w:val="003513B6"/>
    <w:rsid w:val="00366A49"/>
    <w:rsid w:val="0037149A"/>
    <w:rsid w:val="003F21A5"/>
    <w:rsid w:val="003F5F06"/>
    <w:rsid w:val="003F6A61"/>
    <w:rsid w:val="00411542"/>
    <w:rsid w:val="0042145C"/>
    <w:rsid w:val="00424C29"/>
    <w:rsid w:val="0043419C"/>
    <w:rsid w:val="00455527"/>
    <w:rsid w:val="00460051"/>
    <w:rsid w:val="004642C0"/>
    <w:rsid w:val="00472408"/>
    <w:rsid w:val="00483A03"/>
    <w:rsid w:val="004869AC"/>
    <w:rsid w:val="004A665E"/>
    <w:rsid w:val="004D1883"/>
    <w:rsid w:val="004E45F4"/>
    <w:rsid w:val="0051121C"/>
    <w:rsid w:val="005230BD"/>
    <w:rsid w:val="00523A46"/>
    <w:rsid w:val="005414EE"/>
    <w:rsid w:val="005631A9"/>
    <w:rsid w:val="00592E5D"/>
    <w:rsid w:val="00597E97"/>
    <w:rsid w:val="005A5F01"/>
    <w:rsid w:val="005A6DF9"/>
    <w:rsid w:val="005D2AC4"/>
    <w:rsid w:val="005D7726"/>
    <w:rsid w:val="005E73F8"/>
    <w:rsid w:val="006030EE"/>
    <w:rsid w:val="0061306E"/>
    <w:rsid w:val="0062023C"/>
    <w:rsid w:val="00634508"/>
    <w:rsid w:val="006818EB"/>
    <w:rsid w:val="00683FB1"/>
    <w:rsid w:val="00692108"/>
    <w:rsid w:val="006B2186"/>
    <w:rsid w:val="006C4D24"/>
    <w:rsid w:val="006E09C9"/>
    <w:rsid w:val="006E69A8"/>
    <w:rsid w:val="007026E1"/>
    <w:rsid w:val="00707F41"/>
    <w:rsid w:val="00726795"/>
    <w:rsid w:val="007275D3"/>
    <w:rsid w:val="00762637"/>
    <w:rsid w:val="00791613"/>
    <w:rsid w:val="007A5028"/>
    <w:rsid w:val="007B7681"/>
    <w:rsid w:val="007C0A92"/>
    <w:rsid w:val="007C4F0A"/>
    <w:rsid w:val="007D1B2D"/>
    <w:rsid w:val="007D6903"/>
    <w:rsid w:val="007E0791"/>
    <w:rsid w:val="007F5CB1"/>
    <w:rsid w:val="00810008"/>
    <w:rsid w:val="00815F55"/>
    <w:rsid w:val="00832EE8"/>
    <w:rsid w:val="00833AB7"/>
    <w:rsid w:val="008645A0"/>
    <w:rsid w:val="00886E14"/>
    <w:rsid w:val="008A52E8"/>
    <w:rsid w:val="008A715A"/>
    <w:rsid w:val="008F2E34"/>
    <w:rsid w:val="008F366F"/>
    <w:rsid w:val="00912972"/>
    <w:rsid w:val="00921263"/>
    <w:rsid w:val="00921C28"/>
    <w:rsid w:val="009311CE"/>
    <w:rsid w:val="00973C2D"/>
    <w:rsid w:val="00990A97"/>
    <w:rsid w:val="009B44A0"/>
    <w:rsid w:val="009C0B22"/>
    <w:rsid w:val="009C64EC"/>
    <w:rsid w:val="009D36F7"/>
    <w:rsid w:val="00A04017"/>
    <w:rsid w:val="00A065F6"/>
    <w:rsid w:val="00A07114"/>
    <w:rsid w:val="00A07251"/>
    <w:rsid w:val="00A0748C"/>
    <w:rsid w:val="00A23ADF"/>
    <w:rsid w:val="00A23D7F"/>
    <w:rsid w:val="00A310A4"/>
    <w:rsid w:val="00A602E6"/>
    <w:rsid w:val="00A615D6"/>
    <w:rsid w:val="00A716F7"/>
    <w:rsid w:val="00A82E5A"/>
    <w:rsid w:val="00A9725D"/>
    <w:rsid w:val="00AA2CC5"/>
    <w:rsid w:val="00AB4B40"/>
    <w:rsid w:val="00AB60CA"/>
    <w:rsid w:val="00AC6B8A"/>
    <w:rsid w:val="00AD0C14"/>
    <w:rsid w:val="00AE1684"/>
    <w:rsid w:val="00AE3F4D"/>
    <w:rsid w:val="00AE4927"/>
    <w:rsid w:val="00AE7C80"/>
    <w:rsid w:val="00AF5B1C"/>
    <w:rsid w:val="00B0430D"/>
    <w:rsid w:val="00B20EF8"/>
    <w:rsid w:val="00B322DA"/>
    <w:rsid w:val="00B51B5E"/>
    <w:rsid w:val="00B62126"/>
    <w:rsid w:val="00B73356"/>
    <w:rsid w:val="00B74E2D"/>
    <w:rsid w:val="00BB6FF1"/>
    <w:rsid w:val="00BD4AD3"/>
    <w:rsid w:val="00C008DC"/>
    <w:rsid w:val="00C105C9"/>
    <w:rsid w:val="00C42E27"/>
    <w:rsid w:val="00C6254D"/>
    <w:rsid w:val="00C6697C"/>
    <w:rsid w:val="00C820B2"/>
    <w:rsid w:val="00CB74E0"/>
    <w:rsid w:val="00CC2FA0"/>
    <w:rsid w:val="00CE3F13"/>
    <w:rsid w:val="00CE7D2A"/>
    <w:rsid w:val="00D0265C"/>
    <w:rsid w:val="00D12421"/>
    <w:rsid w:val="00D42A81"/>
    <w:rsid w:val="00D65313"/>
    <w:rsid w:val="00D66FF0"/>
    <w:rsid w:val="00D71547"/>
    <w:rsid w:val="00D756AC"/>
    <w:rsid w:val="00D87AAE"/>
    <w:rsid w:val="00D902D7"/>
    <w:rsid w:val="00D9342D"/>
    <w:rsid w:val="00DB4666"/>
    <w:rsid w:val="00DC266D"/>
    <w:rsid w:val="00DC42DC"/>
    <w:rsid w:val="00DD18EA"/>
    <w:rsid w:val="00DD4381"/>
    <w:rsid w:val="00DE51E0"/>
    <w:rsid w:val="00DF2A3E"/>
    <w:rsid w:val="00DF4B8C"/>
    <w:rsid w:val="00E02165"/>
    <w:rsid w:val="00E15F62"/>
    <w:rsid w:val="00E419DE"/>
    <w:rsid w:val="00E57D1E"/>
    <w:rsid w:val="00E80A56"/>
    <w:rsid w:val="00E96C67"/>
    <w:rsid w:val="00E97976"/>
    <w:rsid w:val="00EC4D63"/>
    <w:rsid w:val="00EC7278"/>
    <w:rsid w:val="00EE20A4"/>
    <w:rsid w:val="00EE2885"/>
    <w:rsid w:val="00EE37E9"/>
    <w:rsid w:val="00EE3A81"/>
    <w:rsid w:val="00EE7346"/>
    <w:rsid w:val="00F01B7F"/>
    <w:rsid w:val="00F03E9A"/>
    <w:rsid w:val="00F173ED"/>
    <w:rsid w:val="00F24215"/>
    <w:rsid w:val="00F444A5"/>
    <w:rsid w:val="00F64114"/>
    <w:rsid w:val="00F66AAD"/>
    <w:rsid w:val="00F77094"/>
    <w:rsid w:val="00F81F2D"/>
    <w:rsid w:val="00FB49CC"/>
    <w:rsid w:val="00FD0E24"/>
    <w:rsid w:val="00FD3F95"/>
    <w:rsid w:val="00FD5A64"/>
    <w:rsid w:val="00FD7C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A8DF"/>
  <w15:chartTrackingRefBased/>
  <w15:docId w15:val="{52CF0C90-4AFF-47CC-A9FF-3B373AF9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4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7C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7C80"/>
    <w:rPr>
      <w:rFonts w:ascii="Segoe UI" w:hAnsi="Segoe UI" w:cs="Segoe UI"/>
      <w:sz w:val="18"/>
      <w:szCs w:val="18"/>
    </w:rPr>
  </w:style>
  <w:style w:type="character" w:styleId="Marquedecommentaire">
    <w:name w:val="annotation reference"/>
    <w:basedOn w:val="Policepardfaut"/>
    <w:uiPriority w:val="99"/>
    <w:semiHidden/>
    <w:unhideWhenUsed/>
    <w:rsid w:val="00AE7C80"/>
    <w:rPr>
      <w:sz w:val="16"/>
      <w:szCs w:val="16"/>
    </w:rPr>
  </w:style>
  <w:style w:type="paragraph" w:styleId="Commentaire">
    <w:name w:val="annotation text"/>
    <w:basedOn w:val="Normal"/>
    <w:link w:val="CommentaireCar"/>
    <w:uiPriority w:val="99"/>
    <w:unhideWhenUsed/>
    <w:rsid w:val="00AE7C80"/>
    <w:pPr>
      <w:spacing w:line="240" w:lineRule="auto"/>
    </w:pPr>
    <w:rPr>
      <w:sz w:val="20"/>
      <w:szCs w:val="20"/>
      <w:lang w:val="en-PH"/>
    </w:rPr>
  </w:style>
  <w:style w:type="character" w:customStyle="1" w:styleId="CommentaireCar">
    <w:name w:val="Commentaire Car"/>
    <w:basedOn w:val="Policepardfaut"/>
    <w:link w:val="Commentaire"/>
    <w:uiPriority w:val="99"/>
    <w:rsid w:val="00AE7C80"/>
    <w:rPr>
      <w:sz w:val="20"/>
      <w:szCs w:val="20"/>
      <w:lang w:val="en-PH"/>
    </w:rPr>
  </w:style>
  <w:style w:type="paragraph" w:styleId="NormalWeb">
    <w:name w:val="Normal (Web)"/>
    <w:basedOn w:val="Normal"/>
    <w:uiPriority w:val="99"/>
    <w:semiHidden/>
    <w:unhideWhenUsed/>
    <w:rsid w:val="00034D23"/>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table" w:styleId="Grilledutableau">
    <w:name w:val="Table Grid"/>
    <w:basedOn w:val="TableauNormal"/>
    <w:uiPriority w:val="39"/>
    <w:rsid w:val="0003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0A92"/>
    <w:pPr>
      <w:ind w:left="720"/>
      <w:contextualSpacing/>
    </w:pPr>
  </w:style>
  <w:style w:type="paragraph" w:styleId="Objetducommentaire">
    <w:name w:val="annotation subject"/>
    <w:basedOn w:val="Commentaire"/>
    <w:next w:val="Commentaire"/>
    <w:link w:val="ObjetducommentaireCar"/>
    <w:uiPriority w:val="99"/>
    <w:semiHidden/>
    <w:unhideWhenUsed/>
    <w:rsid w:val="00BB6FF1"/>
    <w:rPr>
      <w:b/>
      <w:bCs/>
      <w:lang w:val="en-AU"/>
    </w:rPr>
  </w:style>
  <w:style w:type="character" w:customStyle="1" w:styleId="ObjetducommentaireCar">
    <w:name w:val="Objet du commentaire Car"/>
    <w:basedOn w:val="CommentaireCar"/>
    <w:link w:val="Objetducommentaire"/>
    <w:uiPriority w:val="99"/>
    <w:semiHidden/>
    <w:rsid w:val="00BB6FF1"/>
    <w:rPr>
      <w:b/>
      <w:bCs/>
      <w:sz w:val="20"/>
      <w:szCs w:val="20"/>
      <w:lang w:val="en-PH"/>
    </w:rPr>
  </w:style>
  <w:style w:type="character" w:customStyle="1" w:styleId="Titre1Car">
    <w:name w:val="Titre 1 Car"/>
    <w:basedOn w:val="Policepardfaut"/>
    <w:link w:val="Titre1"/>
    <w:uiPriority w:val="9"/>
    <w:rsid w:val="00DB4666"/>
    <w:rPr>
      <w:rFonts w:asciiTheme="majorHAnsi" w:eastAsiaTheme="majorEastAsia" w:hAnsiTheme="majorHAnsi" w:cstheme="majorBidi"/>
      <w:color w:val="2F5496" w:themeColor="accent1" w:themeShade="BF"/>
      <w:sz w:val="32"/>
      <w:szCs w:val="32"/>
    </w:rPr>
  </w:style>
  <w:style w:type="table" w:customStyle="1" w:styleId="TableGridLight1">
    <w:name w:val="Table Grid Light1"/>
    <w:basedOn w:val="TableauNormal"/>
    <w:uiPriority w:val="40"/>
    <w:rsid w:val="0061306E"/>
    <w:pPr>
      <w:spacing w:after="0" w:line="240" w:lineRule="auto"/>
    </w:pPr>
    <w:rPr>
      <w:lang w:val="en-P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
    <w:name w:val="header"/>
    <w:basedOn w:val="Normal"/>
    <w:link w:val="En-tteCar"/>
    <w:uiPriority w:val="99"/>
    <w:unhideWhenUsed/>
    <w:rsid w:val="002B7B1F"/>
    <w:pPr>
      <w:tabs>
        <w:tab w:val="center" w:pos="4536"/>
        <w:tab w:val="right" w:pos="9072"/>
      </w:tabs>
      <w:spacing w:after="0" w:line="240" w:lineRule="auto"/>
    </w:pPr>
  </w:style>
  <w:style w:type="character" w:customStyle="1" w:styleId="En-tteCar">
    <w:name w:val="En-tête Car"/>
    <w:basedOn w:val="Policepardfaut"/>
    <w:link w:val="En-tte"/>
    <w:uiPriority w:val="99"/>
    <w:rsid w:val="002B7B1F"/>
  </w:style>
  <w:style w:type="paragraph" w:styleId="Pieddepage">
    <w:name w:val="footer"/>
    <w:basedOn w:val="Normal"/>
    <w:link w:val="PieddepageCar"/>
    <w:uiPriority w:val="99"/>
    <w:unhideWhenUsed/>
    <w:rsid w:val="002B7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B1F"/>
  </w:style>
  <w:style w:type="paragraph" w:styleId="Rvision">
    <w:name w:val="Revision"/>
    <w:hidden/>
    <w:uiPriority w:val="99"/>
    <w:semiHidden/>
    <w:rsid w:val="00C105C9"/>
    <w:pPr>
      <w:spacing w:after="0" w:line="240" w:lineRule="auto"/>
    </w:pPr>
  </w:style>
  <w:style w:type="table" w:customStyle="1" w:styleId="Tableausimple211">
    <w:name w:val="Tableau simple 211"/>
    <w:basedOn w:val="TableauNormal"/>
    <w:next w:val="Tableausimple2"/>
    <w:uiPriority w:val="42"/>
    <w:rsid w:val="007B7681"/>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2">
    <w:name w:val="Plain Table 2"/>
    <w:basedOn w:val="TableauNormal"/>
    <w:uiPriority w:val="42"/>
    <w:rsid w:val="007B76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03461">
      <w:bodyDiv w:val="1"/>
      <w:marLeft w:val="0"/>
      <w:marRight w:val="0"/>
      <w:marTop w:val="0"/>
      <w:marBottom w:val="0"/>
      <w:divBdr>
        <w:top w:val="none" w:sz="0" w:space="0" w:color="auto"/>
        <w:left w:val="none" w:sz="0" w:space="0" w:color="auto"/>
        <w:bottom w:val="none" w:sz="0" w:space="0" w:color="auto"/>
        <w:right w:val="none" w:sz="0" w:space="0" w:color="auto"/>
      </w:divBdr>
    </w:div>
    <w:div w:id="963734557">
      <w:bodyDiv w:val="1"/>
      <w:marLeft w:val="0"/>
      <w:marRight w:val="0"/>
      <w:marTop w:val="0"/>
      <w:marBottom w:val="0"/>
      <w:divBdr>
        <w:top w:val="none" w:sz="0" w:space="0" w:color="auto"/>
        <w:left w:val="none" w:sz="0" w:space="0" w:color="auto"/>
        <w:bottom w:val="none" w:sz="0" w:space="0" w:color="auto"/>
        <w:right w:val="none" w:sz="0" w:space="0" w:color="auto"/>
      </w:divBdr>
    </w:div>
    <w:div w:id="15612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EBDA36D-AC35-4C74-9067-85B45C5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286</Words>
  <Characters>1565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Deakin University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KHRYSLYN GUZMAN ARANO</dc:creator>
  <cp:keywords/>
  <dc:description/>
  <cp:lastModifiedBy>ndupre</cp:lastModifiedBy>
  <cp:revision>2</cp:revision>
  <dcterms:created xsi:type="dcterms:W3CDTF">2023-03-15T16:18:00Z</dcterms:created>
  <dcterms:modified xsi:type="dcterms:W3CDTF">2023-03-15T16:18:00Z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http://www.zotero.org/styles/journal-of-power-sources</vt:lpwstr>
  </property>
  <property fmtid="{D5CDD505-2E9C-101B-9397-08002B2CF9AE}" pid="15" name="Mendeley Recent Style Name 6_1">
    <vt:lpwstr>Journal of Power Sources</vt:lpwstr>
  </property>
  <property fmtid="{D5CDD505-2E9C-101B-9397-08002B2CF9AE}" pid="16" name="Mendeley Recent Style Id 7_1">
    <vt:lpwstr>http://www.zotero.org/styles/journal-of-the-electrochemical-society</vt:lpwstr>
  </property>
  <property fmtid="{D5CDD505-2E9C-101B-9397-08002B2CF9AE}" pid="17" name="Mendeley Recent Style Name 7_1">
    <vt:lpwstr>Journal of The Electrochemical Society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aa9474cb-5597-3eeb-9a88-669faf844dde</vt:lpwstr>
  </property>
  <property fmtid="{D5CDD505-2E9C-101B-9397-08002B2CF9AE}" pid="24" name="Mendeley Citation Style_1">
    <vt:lpwstr>http://www.zotero.org/styles/nature</vt:lpwstr>
  </property>
</Properties>
</file>