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EE0A" w14:textId="77777777" w:rsidR="00C6271D" w:rsidRPr="005A4A46" w:rsidRDefault="00C6271D" w:rsidP="00C6271D">
      <w:pPr>
        <w:spacing w:before="40" w:after="80"/>
        <w:jc w:val="both"/>
        <w:rPr>
          <w:rFonts w:ascii="Times New Roman" w:hAnsi="Times New Roman" w:cs="Times New Roman"/>
          <w:b/>
          <w:bCs/>
          <w:color w:val="auto"/>
          <w:sz w:val="24"/>
          <w:szCs w:val="24"/>
        </w:rPr>
      </w:pPr>
      <w:r w:rsidRPr="005A4A46">
        <w:rPr>
          <w:rFonts w:ascii="Times New Roman" w:hAnsi="Times New Roman" w:cs="Times New Roman"/>
          <w:b/>
          <w:bCs/>
          <w:color w:val="auto"/>
          <w:sz w:val="24"/>
          <w:szCs w:val="24"/>
        </w:rPr>
        <w:t>El Haïk-Wagner, N. 2022. Quand « l’œil de Moscou » entre au bloc opératoire. De l’appropriation catalytique d’une solution de captation vidéo des interventions chirurgicales. Colloque « À l'épreuve des données. Sensibilité, interprétation et appropriation des données numériques », Université Catholique de Lille, 27 octobre 2022.</w:t>
      </w:r>
    </w:p>
    <w:p w14:paraId="3B4ED491" w14:textId="77777777" w:rsidR="00C6271D" w:rsidRDefault="00C6271D" w:rsidP="00C6271D">
      <w:pPr>
        <w:spacing w:after="0"/>
        <w:jc w:val="both"/>
        <w:rPr>
          <w:rFonts w:ascii="Times New Roman" w:eastAsia="Times New Roman" w:hAnsi="Times New Roman" w:cs="Times New Roman"/>
          <w:i/>
          <w:iCs/>
          <w:color w:val="000000"/>
          <w:sz w:val="24"/>
          <w:szCs w:val="24"/>
        </w:rPr>
      </w:pPr>
    </w:p>
    <w:p w14:paraId="5A3D9DD5" w14:textId="77777777" w:rsidR="00C6271D" w:rsidRDefault="00C6271D" w:rsidP="00C6271D">
      <w:pPr>
        <w:spacing w:after="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Résumé</w:t>
      </w:r>
    </w:p>
    <w:p w14:paraId="08DCE872" w14:textId="77777777" w:rsidR="00C6271D" w:rsidRPr="00FB500C" w:rsidRDefault="00C6271D" w:rsidP="00C6271D">
      <w:pPr>
        <w:spacing w:after="0"/>
        <w:jc w:val="both"/>
        <w:rPr>
          <w:rFonts w:ascii="Times New Roman" w:eastAsia="Times New Roman" w:hAnsi="Times New Roman" w:cs="Times New Roman"/>
          <w:i/>
          <w:iCs/>
          <w:color w:val="000000"/>
          <w:sz w:val="24"/>
          <w:szCs w:val="24"/>
        </w:rPr>
      </w:pPr>
    </w:p>
    <w:p w14:paraId="1DCE1EC1" w14:textId="77777777" w:rsidR="00C6271D" w:rsidRPr="005A4A46" w:rsidRDefault="00C6271D" w:rsidP="00C6271D">
      <w:pPr>
        <w:jc w:val="both"/>
        <w:rPr>
          <w:rFonts w:ascii="Times New Roman" w:hAnsi="Times New Roman" w:cs="Times New Roman"/>
          <w:sz w:val="24"/>
          <w:szCs w:val="24"/>
        </w:rPr>
      </w:pPr>
      <w:r w:rsidRPr="005A4A46">
        <w:rPr>
          <w:rFonts w:ascii="Times New Roman" w:hAnsi="Times New Roman" w:cs="Times New Roman"/>
          <w:sz w:val="24"/>
          <w:szCs w:val="24"/>
        </w:rPr>
        <w:t xml:space="preserve">Le milieu chirurgical, concurrencé de façon croissante par des alternatives thérapeutiques, se questionne sur ses critères d’évaluation comme sur ses méthodes d’apprentissage, mais aussi du fait d’un sentiment de judiciarisation accrue de la relation médecin-patient source d’une panique morale diffuse. Dans ce contexte, l’arrivée de solutions technologiques de captation massive des données chirurgicales au bloc opératoire est souvent présentée comme quatrième révolution chirurgicale et suscite un intérêt certain chez les praticiens, alors même que ces technologies apparaissent particulièrement intrusives et participent à certains égards d’une logique gestionnaire souvent honnie. A l’appui de la sociologie des usages, nous soutenons ici que cette acceptation et appropriation sans politisation, par la profession chirurgicale, de ces solutions technologiques, véritables promesses technoscientifiques, tient à ce qu’elles apparaissent comme un catalyseur matériel et une réponse aux interrogations professionnelles multiples de la profession. Cette communication repose sur l’étude de la solution </w:t>
      </w:r>
      <w:proofErr w:type="spellStart"/>
      <w:r w:rsidRPr="005A4A46">
        <w:rPr>
          <w:rFonts w:ascii="Times New Roman" w:hAnsi="Times New Roman" w:cs="Times New Roman"/>
          <w:sz w:val="24"/>
          <w:szCs w:val="24"/>
        </w:rPr>
        <w:t>Caresyntax</w:t>
      </w:r>
      <w:proofErr w:type="spellEnd"/>
      <w:r w:rsidRPr="005A4A46">
        <w:rPr>
          <w:rFonts w:ascii="Times New Roman" w:hAnsi="Times New Roman" w:cs="Times New Roman"/>
          <w:sz w:val="24"/>
          <w:szCs w:val="24"/>
        </w:rPr>
        <w:t xml:space="preserve">® développée par la société allemande éponyme, qui vise, à l’appui de l'Internet des objets (IoT), l'analyse des données et les technologies d'intelligence artificielle, à collecter, suivre et analyser les procédures chirurgicales. Notre recherche repose sur des observations ethnographiques réalisées entre août et septembre 2022 dans un service de chirurgie de la main et du poignet d’un CHU du Grand Est, où cette solution est avant tout utilisée dans ses fonctions de </w:t>
      </w:r>
      <w:proofErr w:type="spellStart"/>
      <w:r w:rsidRPr="005A4A46">
        <w:rPr>
          <w:rFonts w:ascii="Times New Roman" w:hAnsi="Times New Roman" w:cs="Times New Roman"/>
          <w:sz w:val="24"/>
          <w:szCs w:val="24"/>
        </w:rPr>
        <w:t>video</w:t>
      </w:r>
      <w:proofErr w:type="spellEnd"/>
      <w:r w:rsidRPr="005A4A46">
        <w:rPr>
          <w:rFonts w:ascii="Times New Roman" w:hAnsi="Times New Roman" w:cs="Times New Roman"/>
          <w:sz w:val="24"/>
          <w:szCs w:val="24"/>
        </w:rPr>
        <w:t xml:space="preserve"> management. 14 entretiens semi-structurés ont été conduits avec 11 chirurgiens du service et trois personnes ayant contribué au déploiement de la solution (ingénieur biomédical, direction de l’information médicale et de l’innovation). Nous revenons dans un premier temps sur la trajectoire appropriative de </w:t>
      </w:r>
      <w:proofErr w:type="spellStart"/>
      <w:r w:rsidRPr="005A4A46">
        <w:rPr>
          <w:rFonts w:ascii="Times New Roman" w:hAnsi="Times New Roman" w:cs="Times New Roman"/>
          <w:sz w:val="24"/>
          <w:szCs w:val="24"/>
        </w:rPr>
        <w:t>Caresyntax</w:t>
      </w:r>
      <w:proofErr w:type="spellEnd"/>
      <w:r w:rsidRPr="005A4A46">
        <w:rPr>
          <w:rFonts w:ascii="Times New Roman" w:hAnsi="Times New Roman" w:cs="Times New Roman"/>
          <w:sz w:val="24"/>
          <w:szCs w:val="24"/>
        </w:rPr>
        <w:t xml:space="preserve">®, soulignant combien l’esprit de la solution, les contraintes logistiques et corporelles nouvelles qu’elle impose aux acteurs comme les inquiétudes relatives aux possibles usages médico-légaux futurs des données ont constitué autant de freins initiaux. En dépit de ces derniers, la rapide acceptation et l’appropriation sans controverse de cette technologie tient selon nous aux usages actuels et aux promesses futures, qui, en renouvelant les perspectives en matière d’apprentissage, de sécurité des soins et de recherche, viennent catalyser certaines transformations et donnent aux praticiens le sentiment d’une reprise de contrôle sur les mutations en cours de la profession chirurgicale. Alors que la société </w:t>
      </w:r>
      <w:proofErr w:type="spellStart"/>
      <w:r w:rsidRPr="005A4A46">
        <w:rPr>
          <w:rFonts w:ascii="Times New Roman" w:hAnsi="Times New Roman" w:cs="Times New Roman"/>
          <w:sz w:val="24"/>
          <w:szCs w:val="24"/>
        </w:rPr>
        <w:t>Caresyntax</w:t>
      </w:r>
      <w:proofErr w:type="spellEnd"/>
      <w:r w:rsidRPr="005A4A46">
        <w:rPr>
          <w:rFonts w:ascii="Times New Roman" w:hAnsi="Times New Roman" w:cs="Times New Roman"/>
          <w:sz w:val="24"/>
          <w:szCs w:val="24"/>
        </w:rPr>
        <w:t xml:space="preserve"> a été rachetée récemment par un assureur qui en assure le déploiement en France, dans le cadre d’une politique de gestion et management des risques, ces solutions n’en présentent pas moins des enjeux éthiques majeurs quant à l’information des patients, la place de la technique chirurgicale au sein de l’activité opératoire et l’avènement d’une assurance comportementaliste à l’hôpital.</w:t>
      </w:r>
    </w:p>
    <w:p w14:paraId="5F8D7401" w14:textId="77777777" w:rsidR="00AF721C" w:rsidRDefault="00AF721C"/>
    <w:sectPr w:rsidR="00AF7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1D"/>
    <w:rsid w:val="000463C3"/>
    <w:rsid w:val="00364C1D"/>
    <w:rsid w:val="0095444A"/>
    <w:rsid w:val="00AF721C"/>
    <w:rsid w:val="00C6271D"/>
    <w:rsid w:val="00D10A69"/>
    <w:rsid w:val="00EC3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E6A8616"/>
  <w15:chartTrackingRefBased/>
  <w15:docId w15:val="{5ABDB2D4-4448-6C48-8A86-24A9FF34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1D"/>
    <w:pPr>
      <w:spacing w:after="200" w:line="276" w:lineRule="auto"/>
    </w:pPr>
    <w:rPr>
      <w:rFonts w:eastAsiaTheme="minorEastAsia"/>
      <w:color w:val="000000" w:themeColor="text1"/>
      <w:kern w:val="0"/>
      <w:sz w:val="20"/>
      <w:szCs w:val="20"/>
      <w:lang w:eastAsia="ja-JP"/>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2847</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Arianna</dc:creator>
  <cp:keywords/>
  <dc:description/>
  <cp:lastModifiedBy>SULLIVAN Arianna</cp:lastModifiedBy>
  <cp:revision>1</cp:revision>
  <dcterms:created xsi:type="dcterms:W3CDTF">2023-06-08T10:11:00Z</dcterms:created>
  <dcterms:modified xsi:type="dcterms:W3CDTF">2023-06-08T10:11:00Z</dcterms:modified>
</cp:coreProperties>
</file>