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330A" w:rsidRPr="001C4CB9" w:rsidRDefault="0023734F" w:rsidP="00FF3BB5">
      <w:pPr>
        <w:pStyle w:val="Authors"/>
        <w:spacing w:line="480" w:lineRule="exact"/>
        <w:rPr>
          <w:b/>
          <w:sz w:val="32"/>
          <w:szCs w:val="28"/>
          <w:lang w:val="en-US"/>
        </w:rPr>
      </w:pPr>
      <w:r w:rsidRPr="001C4CB9">
        <w:rPr>
          <w:b/>
          <w:sz w:val="32"/>
          <w:szCs w:val="28"/>
          <w:lang w:val="en-US"/>
        </w:rPr>
        <w:t>Ligand-directed modification of active</w:t>
      </w:r>
      <w:r w:rsidR="002C330A" w:rsidRPr="001C4CB9">
        <w:rPr>
          <w:b/>
          <w:sz w:val="32"/>
          <w:szCs w:val="28"/>
          <w:lang w:val="en-US"/>
        </w:rPr>
        <w:t xml:space="preserve"> Matrix Metalloproteases</w:t>
      </w:r>
      <w:r w:rsidRPr="001C4CB9">
        <w:rPr>
          <w:b/>
          <w:sz w:val="32"/>
          <w:szCs w:val="28"/>
          <w:lang w:val="en-US"/>
        </w:rPr>
        <w:t xml:space="preserve">: </w:t>
      </w:r>
      <w:r w:rsidR="00B73304" w:rsidRPr="001C4CB9">
        <w:rPr>
          <w:b/>
          <w:sz w:val="32"/>
          <w:szCs w:val="28"/>
          <w:lang w:val="en-US"/>
        </w:rPr>
        <w:t>New activity</w:t>
      </w:r>
      <w:r w:rsidR="00C6467C" w:rsidRPr="001C4CB9">
        <w:rPr>
          <w:b/>
          <w:sz w:val="32"/>
          <w:szCs w:val="28"/>
          <w:lang w:val="en-US"/>
        </w:rPr>
        <w:t>-base</w:t>
      </w:r>
      <w:r w:rsidR="009F45B6" w:rsidRPr="001C4CB9">
        <w:rPr>
          <w:b/>
          <w:sz w:val="32"/>
          <w:szCs w:val="28"/>
          <w:lang w:val="en-US"/>
        </w:rPr>
        <w:t>d</w:t>
      </w:r>
      <w:r w:rsidR="00C6467C" w:rsidRPr="001C4CB9">
        <w:rPr>
          <w:b/>
          <w:sz w:val="32"/>
          <w:szCs w:val="28"/>
          <w:lang w:val="en-US"/>
        </w:rPr>
        <w:t xml:space="preserve"> probes </w:t>
      </w:r>
      <w:r w:rsidR="00EF4978" w:rsidRPr="001C4CB9">
        <w:rPr>
          <w:b/>
          <w:sz w:val="32"/>
          <w:szCs w:val="28"/>
          <w:lang w:val="en-US"/>
        </w:rPr>
        <w:t xml:space="preserve">with no photolabile </w:t>
      </w:r>
      <w:r w:rsidR="00C32BC5" w:rsidRPr="001C4CB9">
        <w:rPr>
          <w:b/>
          <w:sz w:val="32"/>
          <w:szCs w:val="28"/>
          <w:lang w:val="en-US"/>
        </w:rPr>
        <w:t>group</w:t>
      </w:r>
      <w:r w:rsidR="00EF4978" w:rsidRPr="001C4CB9">
        <w:rPr>
          <w:b/>
          <w:sz w:val="32"/>
          <w:szCs w:val="28"/>
          <w:lang w:val="en-US"/>
        </w:rPr>
        <w:t>.</w:t>
      </w:r>
    </w:p>
    <w:p w:rsidR="002C330A" w:rsidRPr="001C4CB9" w:rsidRDefault="002C330A" w:rsidP="00FF3BB5">
      <w:pPr>
        <w:pStyle w:val="Dedication"/>
        <w:spacing w:before="120" w:after="120" w:line="320" w:lineRule="exact"/>
        <w:rPr>
          <w:sz w:val="22"/>
          <w:lang w:val="en-US"/>
        </w:rPr>
      </w:pPr>
      <w:r w:rsidRPr="001C4CB9">
        <w:rPr>
          <w:sz w:val="22"/>
          <w:lang w:val="en-US"/>
        </w:rPr>
        <w:t xml:space="preserve">Monika </w:t>
      </w:r>
      <w:proofErr w:type="spellStart"/>
      <w:r w:rsidRPr="001C4CB9">
        <w:rPr>
          <w:sz w:val="22"/>
          <w:lang w:val="en-US"/>
        </w:rPr>
        <w:t>Kaminska</w:t>
      </w:r>
      <w:proofErr w:type="spellEnd"/>
      <w:r w:rsidRPr="001C4CB9">
        <w:rPr>
          <w:sz w:val="22"/>
          <w:vertAlign w:val="superscript"/>
          <w:lang w:val="en-US"/>
        </w:rPr>
        <w:t>[a]</w:t>
      </w:r>
      <w:r w:rsidRPr="001C4CB9">
        <w:rPr>
          <w:sz w:val="22"/>
          <w:lang w:val="en-US"/>
        </w:rPr>
        <w:t xml:space="preserve">, </w:t>
      </w:r>
      <w:proofErr w:type="spellStart"/>
      <w:r w:rsidRPr="001C4CB9">
        <w:rPr>
          <w:sz w:val="22"/>
          <w:lang w:val="en-US"/>
        </w:rPr>
        <w:t>Pierrick</w:t>
      </w:r>
      <w:proofErr w:type="spellEnd"/>
      <w:r w:rsidRPr="001C4CB9">
        <w:rPr>
          <w:sz w:val="22"/>
          <w:lang w:val="en-US"/>
        </w:rPr>
        <w:t xml:space="preserve"> </w:t>
      </w:r>
      <w:proofErr w:type="spellStart"/>
      <w:r w:rsidRPr="001C4CB9">
        <w:rPr>
          <w:sz w:val="22"/>
          <w:lang w:val="en-US"/>
        </w:rPr>
        <w:t>Bruyat</w:t>
      </w:r>
      <w:proofErr w:type="spellEnd"/>
      <w:r w:rsidRPr="001C4CB9">
        <w:rPr>
          <w:sz w:val="22"/>
          <w:vertAlign w:val="superscript"/>
          <w:lang w:val="en-US"/>
        </w:rPr>
        <w:t>[a]</w:t>
      </w:r>
      <w:r w:rsidRPr="001C4CB9">
        <w:rPr>
          <w:sz w:val="22"/>
          <w:lang w:val="en-US"/>
        </w:rPr>
        <w:t xml:space="preserve">, Carole </w:t>
      </w:r>
      <w:proofErr w:type="spellStart"/>
      <w:r w:rsidRPr="001C4CB9">
        <w:rPr>
          <w:sz w:val="22"/>
          <w:lang w:val="en-US"/>
        </w:rPr>
        <w:t>Malgorn</w:t>
      </w:r>
      <w:proofErr w:type="spellEnd"/>
      <w:r w:rsidRPr="001C4CB9">
        <w:rPr>
          <w:sz w:val="22"/>
          <w:vertAlign w:val="superscript"/>
          <w:lang w:val="en-US"/>
        </w:rPr>
        <w:t>[a]</w:t>
      </w:r>
      <w:r w:rsidRPr="001C4CB9">
        <w:rPr>
          <w:sz w:val="22"/>
          <w:lang w:val="en-US"/>
        </w:rPr>
        <w:t xml:space="preserve">, Marion </w:t>
      </w:r>
      <w:proofErr w:type="spellStart"/>
      <w:r w:rsidRPr="001C4CB9">
        <w:rPr>
          <w:sz w:val="22"/>
          <w:lang w:val="en-US"/>
        </w:rPr>
        <w:t>Doladilhe</w:t>
      </w:r>
      <w:proofErr w:type="spellEnd"/>
      <w:r w:rsidRPr="001C4CB9">
        <w:rPr>
          <w:sz w:val="22"/>
          <w:vertAlign w:val="superscript"/>
          <w:lang w:val="en-US"/>
        </w:rPr>
        <w:t>[a]</w:t>
      </w:r>
      <w:r w:rsidRPr="001C4CB9">
        <w:rPr>
          <w:sz w:val="22"/>
          <w:lang w:val="en-US"/>
        </w:rPr>
        <w:t xml:space="preserve">, Evelyne </w:t>
      </w:r>
      <w:proofErr w:type="spellStart"/>
      <w:r w:rsidRPr="001C4CB9">
        <w:rPr>
          <w:sz w:val="22"/>
          <w:lang w:val="en-US"/>
        </w:rPr>
        <w:t>Cassar-Lajeunesse</w:t>
      </w:r>
      <w:proofErr w:type="spellEnd"/>
      <w:r w:rsidRPr="001C4CB9">
        <w:rPr>
          <w:sz w:val="22"/>
          <w:vertAlign w:val="superscript"/>
          <w:lang w:val="en-US"/>
        </w:rPr>
        <w:t>[a]</w:t>
      </w:r>
      <w:r w:rsidRPr="001C4CB9">
        <w:rPr>
          <w:sz w:val="22"/>
          <w:lang w:val="en-US"/>
        </w:rPr>
        <w:t xml:space="preserve">, Carole </w:t>
      </w:r>
      <w:proofErr w:type="spellStart"/>
      <w:r w:rsidRPr="001C4CB9">
        <w:rPr>
          <w:sz w:val="22"/>
          <w:lang w:val="en-US"/>
        </w:rPr>
        <w:t>Fruchart</w:t>
      </w:r>
      <w:proofErr w:type="spellEnd"/>
      <w:r w:rsidRPr="001C4CB9">
        <w:rPr>
          <w:sz w:val="22"/>
          <w:vertAlign w:val="superscript"/>
          <w:lang w:val="en-US"/>
        </w:rPr>
        <w:t>[a]</w:t>
      </w:r>
      <w:r w:rsidRPr="001C4CB9">
        <w:rPr>
          <w:sz w:val="22"/>
          <w:lang w:val="en-US"/>
        </w:rPr>
        <w:t xml:space="preserve">, </w:t>
      </w:r>
      <w:proofErr w:type="spellStart"/>
      <w:r w:rsidR="002554F4" w:rsidRPr="001C4CB9">
        <w:rPr>
          <w:sz w:val="22"/>
          <w:lang w:val="en-US"/>
        </w:rPr>
        <w:t>Mélissa</w:t>
      </w:r>
      <w:proofErr w:type="spellEnd"/>
      <w:r w:rsidR="002554F4" w:rsidRPr="001C4CB9">
        <w:rPr>
          <w:sz w:val="22"/>
          <w:lang w:val="en-US"/>
        </w:rPr>
        <w:t xml:space="preserve"> De Souza</w:t>
      </w:r>
      <w:r w:rsidR="002554F4" w:rsidRPr="001C4CB9">
        <w:rPr>
          <w:sz w:val="22"/>
          <w:vertAlign w:val="superscript"/>
          <w:lang w:val="en-US"/>
        </w:rPr>
        <w:t>[a]</w:t>
      </w:r>
      <w:r w:rsidR="002554F4" w:rsidRPr="001C4CB9">
        <w:rPr>
          <w:sz w:val="22"/>
          <w:lang w:val="en-US"/>
        </w:rPr>
        <w:t xml:space="preserve">, </w:t>
      </w:r>
      <w:r w:rsidRPr="001C4CB9">
        <w:rPr>
          <w:sz w:val="22"/>
          <w:lang w:val="en-US"/>
        </w:rPr>
        <w:t>Fabrice Beau</w:t>
      </w:r>
      <w:r w:rsidRPr="001C4CB9">
        <w:rPr>
          <w:sz w:val="22"/>
          <w:vertAlign w:val="superscript"/>
          <w:lang w:val="en-US"/>
        </w:rPr>
        <w:t>[a]</w:t>
      </w:r>
      <w:r w:rsidRPr="001C4CB9">
        <w:rPr>
          <w:sz w:val="22"/>
          <w:lang w:val="en-US"/>
        </w:rPr>
        <w:t>, Robert Thai</w:t>
      </w:r>
      <w:r w:rsidRPr="001C4CB9">
        <w:rPr>
          <w:sz w:val="22"/>
          <w:vertAlign w:val="superscript"/>
          <w:lang w:val="en-US"/>
        </w:rPr>
        <w:t>[a]</w:t>
      </w:r>
      <w:r w:rsidRPr="001C4CB9">
        <w:rPr>
          <w:sz w:val="22"/>
          <w:lang w:val="en-US"/>
        </w:rPr>
        <w:t xml:space="preserve">, Isabelle </w:t>
      </w:r>
      <w:proofErr w:type="spellStart"/>
      <w:r w:rsidRPr="001C4CB9">
        <w:rPr>
          <w:sz w:val="22"/>
          <w:lang w:val="en-US"/>
        </w:rPr>
        <w:t>Correia</w:t>
      </w:r>
      <w:proofErr w:type="spellEnd"/>
      <w:r w:rsidRPr="001C4CB9">
        <w:rPr>
          <w:sz w:val="22"/>
          <w:vertAlign w:val="superscript"/>
          <w:lang w:val="en-US"/>
        </w:rPr>
        <w:t>[b]</w:t>
      </w:r>
      <w:r w:rsidRPr="001C4CB9">
        <w:rPr>
          <w:sz w:val="22"/>
          <w:lang w:val="en-US"/>
        </w:rPr>
        <w:t xml:space="preserve"> Andrzej </w:t>
      </w:r>
      <w:proofErr w:type="spellStart"/>
      <w:r w:rsidRPr="001C4CB9">
        <w:rPr>
          <w:sz w:val="22"/>
          <w:lang w:val="en-US"/>
        </w:rPr>
        <w:t>Galat</w:t>
      </w:r>
      <w:proofErr w:type="spellEnd"/>
      <w:r w:rsidRPr="001C4CB9">
        <w:rPr>
          <w:sz w:val="22"/>
          <w:vertAlign w:val="superscript"/>
          <w:lang w:val="en-US"/>
        </w:rPr>
        <w:t>[a]</w:t>
      </w:r>
      <w:r w:rsidRPr="001C4CB9">
        <w:rPr>
          <w:sz w:val="22"/>
          <w:lang w:val="en-US"/>
        </w:rPr>
        <w:t xml:space="preserve">, Dimitris </w:t>
      </w:r>
      <w:proofErr w:type="spellStart"/>
      <w:r w:rsidRPr="001C4CB9">
        <w:rPr>
          <w:sz w:val="22"/>
          <w:lang w:val="en-US"/>
        </w:rPr>
        <w:t>Georgiadis</w:t>
      </w:r>
      <w:proofErr w:type="spellEnd"/>
      <w:r w:rsidRPr="001C4CB9">
        <w:rPr>
          <w:sz w:val="22"/>
          <w:vertAlign w:val="superscript"/>
          <w:lang w:val="en-US"/>
        </w:rPr>
        <w:t>[c]</w:t>
      </w:r>
      <w:r w:rsidRPr="001C4CB9">
        <w:rPr>
          <w:sz w:val="22"/>
          <w:lang w:val="en-US"/>
        </w:rPr>
        <w:t xml:space="preserve">, Olivier </w:t>
      </w:r>
      <w:proofErr w:type="spellStart"/>
      <w:r w:rsidRPr="001C4CB9">
        <w:rPr>
          <w:sz w:val="22"/>
          <w:lang w:val="en-US"/>
        </w:rPr>
        <w:t>Lequin</w:t>
      </w:r>
      <w:proofErr w:type="spellEnd"/>
      <w:r w:rsidRPr="001C4CB9">
        <w:rPr>
          <w:sz w:val="22"/>
          <w:vertAlign w:val="superscript"/>
          <w:lang w:val="en-US"/>
        </w:rPr>
        <w:t>[b]</w:t>
      </w:r>
      <w:r w:rsidRPr="001C4CB9">
        <w:rPr>
          <w:sz w:val="22"/>
          <w:lang w:val="en-US"/>
        </w:rPr>
        <w:t>, Vincent Dive</w:t>
      </w:r>
      <w:r w:rsidRPr="001C4CB9">
        <w:rPr>
          <w:sz w:val="22"/>
          <w:vertAlign w:val="superscript"/>
          <w:lang w:val="en-US"/>
        </w:rPr>
        <w:t>[a]</w:t>
      </w:r>
      <w:r w:rsidRPr="001C4CB9">
        <w:rPr>
          <w:sz w:val="22"/>
          <w:lang w:val="en-US"/>
        </w:rPr>
        <w:t xml:space="preserve">, Sarah </w:t>
      </w:r>
      <w:proofErr w:type="spellStart"/>
      <w:r w:rsidRPr="001C4CB9">
        <w:rPr>
          <w:sz w:val="22"/>
          <w:lang w:val="en-US"/>
        </w:rPr>
        <w:t>Bregant</w:t>
      </w:r>
      <w:proofErr w:type="spellEnd"/>
      <w:r w:rsidRPr="001C4CB9">
        <w:rPr>
          <w:sz w:val="22"/>
          <w:vertAlign w:val="superscript"/>
          <w:lang w:val="en-US"/>
        </w:rPr>
        <w:t>[a]</w:t>
      </w:r>
      <w:r w:rsidRPr="001C4CB9">
        <w:rPr>
          <w:sz w:val="22"/>
          <w:lang w:val="en-US"/>
        </w:rPr>
        <w:t>, and Laurent Devel</w:t>
      </w:r>
      <w:r w:rsidRPr="001C4CB9">
        <w:rPr>
          <w:sz w:val="22"/>
          <w:vertAlign w:val="superscript"/>
          <w:lang w:val="en-US"/>
        </w:rPr>
        <w:t>[a]</w:t>
      </w:r>
      <w:r w:rsidRPr="001C4CB9">
        <w:rPr>
          <w:sz w:val="22"/>
          <w:lang w:val="en-US"/>
        </w:rPr>
        <w:t>*</w:t>
      </w:r>
    </w:p>
    <w:p w:rsidR="002C330A" w:rsidRPr="001C4CB9" w:rsidRDefault="002C330A" w:rsidP="00FF3BB5">
      <w:pPr>
        <w:pStyle w:val="Adress"/>
        <w:pBdr>
          <w:top w:val="single" w:sz="4" w:space="1" w:color="000000"/>
        </w:pBdr>
        <w:rPr>
          <w:lang w:val="fr-FR"/>
        </w:rPr>
      </w:pPr>
      <w:r w:rsidRPr="001C4CB9">
        <w:rPr>
          <w:lang w:val="en-US"/>
        </w:rPr>
        <w:t xml:space="preserve"> </w:t>
      </w:r>
      <w:r w:rsidR="00CF143A" w:rsidRPr="001C4CB9">
        <w:rPr>
          <w:lang w:val="fr-FR"/>
        </w:rPr>
        <w:t>[a]</w:t>
      </w:r>
      <w:r w:rsidR="00CF143A" w:rsidRPr="001C4CB9">
        <w:rPr>
          <w:lang w:val="fr-FR"/>
        </w:rPr>
        <w:tab/>
      </w:r>
      <w:r w:rsidRPr="001C4CB9">
        <w:rPr>
          <w:lang w:val="fr-FR"/>
        </w:rPr>
        <w:t xml:space="preserve">Dr. M. </w:t>
      </w:r>
      <w:proofErr w:type="spellStart"/>
      <w:r w:rsidRPr="001C4CB9">
        <w:rPr>
          <w:lang w:val="fr-FR"/>
        </w:rPr>
        <w:t>Kaminska</w:t>
      </w:r>
      <w:proofErr w:type="spellEnd"/>
      <w:r w:rsidRPr="001C4CB9">
        <w:rPr>
          <w:lang w:val="fr-FR"/>
        </w:rPr>
        <w:t xml:space="preserve">, Dr. P. </w:t>
      </w:r>
      <w:proofErr w:type="spellStart"/>
      <w:r w:rsidRPr="001C4CB9">
        <w:rPr>
          <w:lang w:val="fr-FR"/>
        </w:rPr>
        <w:t>Bruyat</w:t>
      </w:r>
      <w:proofErr w:type="spellEnd"/>
      <w:r w:rsidRPr="001C4CB9">
        <w:rPr>
          <w:lang w:val="fr-FR"/>
        </w:rPr>
        <w:t xml:space="preserve">, C. </w:t>
      </w:r>
      <w:proofErr w:type="spellStart"/>
      <w:r w:rsidRPr="001C4CB9">
        <w:rPr>
          <w:lang w:val="fr-FR"/>
        </w:rPr>
        <w:t>Malgorn</w:t>
      </w:r>
      <w:proofErr w:type="spellEnd"/>
      <w:r w:rsidRPr="001C4CB9">
        <w:rPr>
          <w:lang w:val="fr-FR"/>
        </w:rPr>
        <w:t xml:space="preserve">, M. </w:t>
      </w:r>
      <w:proofErr w:type="spellStart"/>
      <w:r w:rsidRPr="001C4CB9">
        <w:rPr>
          <w:lang w:val="fr-FR"/>
        </w:rPr>
        <w:t>Doladilhe</w:t>
      </w:r>
      <w:proofErr w:type="spellEnd"/>
      <w:r w:rsidRPr="001C4CB9">
        <w:rPr>
          <w:lang w:val="fr-FR"/>
        </w:rPr>
        <w:t>, E. Cassar-</w:t>
      </w:r>
      <w:proofErr w:type="spellStart"/>
      <w:r w:rsidRPr="001C4CB9">
        <w:rPr>
          <w:lang w:val="fr-FR"/>
        </w:rPr>
        <w:t>lajeunesse</w:t>
      </w:r>
      <w:proofErr w:type="spellEnd"/>
      <w:r w:rsidRPr="001C4CB9">
        <w:rPr>
          <w:lang w:val="fr-FR"/>
        </w:rPr>
        <w:t xml:space="preserve">, Dr. C. </w:t>
      </w:r>
      <w:proofErr w:type="spellStart"/>
      <w:r w:rsidRPr="001C4CB9">
        <w:rPr>
          <w:lang w:val="fr-FR"/>
        </w:rPr>
        <w:t>Fruchart</w:t>
      </w:r>
      <w:proofErr w:type="spellEnd"/>
      <w:r w:rsidRPr="001C4CB9">
        <w:rPr>
          <w:lang w:val="fr-FR"/>
        </w:rPr>
        <w:t xml:space="preserve">, F. Beau, Dr. R. </w:t>
      </w:r>
      <w:proofErr w:type="spellStart"/>
      <w:r w:rsidRPr="001C4CB9">
        <w:rPr>
          <w:lang w:val="fr-FR"/>
        </w:rPr>
        <w:t>Thai</w:t>
      </w:r>
      <w:proofErr w:type="spellEnd"/>
      <w:r w:rsidRPr="001C4CB9">
        <w:rPr>
          <w:lang w:val="fr-FR"/>
        </w:rPr>
        <w:t xml:space="preserve">, Dr. A. </w:t>
      </w:r>
      <w:proofErr w:type="spellStart"/>
      <w:r w:rsidRPr="001C4CB9">
        <w:rPr>
          <w:lang w:val="fr-FR"/>
        </w:rPr>
        <w:t>Galat</w:t>
      </w:r>
      <w:proofErr w:type="spellEnd"/>
      <w:r w:rsidRPr="001C4CB9">
        <w:rPr>
          <w:lang w:val="fr-FR"/>
        </w:rPr>
        <w:t xml:space="preserve">, Dr. V. Dive, Dr. </w:t>
      </w:r>
      <w:r w:rsidR="00B02B5C" w:rsidRPr="001C4CB9">
        <w:rPr>
          <w:lang w:val="fr-FR"/>
        </w:rPr>
        <w:t xml:space="preserve">S. </w:t>
      </w:r>
      <w:proofErr w:type="spellStart"/>
      <w:r w:rsidRPr="001C4CB9">
        <w:rPr>
          <w:lang w:val="fr-FR"/>
        </w:rPr>
        <w:t>Bregant</w:t>
      </w:r>
      <w:proofErr w:type="spellEnd"/>
      <w:r w:rsidRPr="001C4CB9">
        <w:rPr>
          <w:lang w:val="fr-FR"/>
        </w:rPr>
        <w:t>, Dr. L. Devel</w:t>
      </w:r>
      <w:r w:rsidRPr="001C4CB9">
        <w:rPr>
          <w:lang w:val="fr-FR"/>
        </w:rPr>
        <w:br/>
      </w:r>
      <w:proofErr w:type="spellStart"/>
      <w:r w:rsidRPr="001C4CB9">
        <w:rPr>
          <w:lang w:val="fr-FR"/>
        </w:rPr>
        <w:t>Medicaments</w:t>
      </w:r>
      <w:proofErr w:type="spellEnd"/>
      <w:r w:rsidRPr="001C4CB9">
        <w:rPr>
          <w:lang w:val="fr-FR"/>
        </w:rPr>
        <w:t xml:space="preserve"> et Technologies pour la Sante (MTS), </w:t>
      </w:r>
      <w:proofErr w:type="spellStart"/>
      <w:r w:rsidRPr="001C4CB9">
        <w:rPr>
          <w:lang w:val="fr-FR"/>
        </w:rPr>
        <w:t>SIMoS</w:t>
      </w:r>
      <w:proofErr w:type="spellEnd"/>
      <w:r w:rsidRPr="001C4CB9">
        <w:rPr>
          <w:lang w:val="fr-FR"/>
        </w:rPr>
        <w:br/>
        <w:t xml:space="preserve">CEA, INRAE, Paris-Saclay </w:t>
      </w:r>
      <w:proofErr w:type="spellStart"/>
      <w:r w:rsidRPr="001C4CB9">
        <w:rPr>
          <w:lang w:val="fr-FR"/>
        </w:rPr>
        <w:t>University</w:t>
      </w:r>
      <w:proofErr w:type="spellEnd"/>
      <w:r w:rsidRPr="001C4CB9">
        <w:rPr>
          <w:lang w:val="fr-FR"/>
        </w:rPr>
        <w:br/>
        <w:t>91191, Gif-sur-Yvette, (France).</w:t>
      </w:r>
      <w:r w:rsidRPr="001C4CB9">
        <w:rPr>
          <w:lang w:val="fr-FR"/>
        </w:rPr>
        <w:br/>
        <w:t xml:space="preserve">E-mail: </w:t>
      </w:r>
      <w:hyperlink r:id="rId8" w:history="1">
        <w:r w:rsidRPr="001C4CB9">
          <w:rPr>
            <w:rStyle w:val="Lienhypertexte"/>
            <w:lang w:val="fr-FR"/>
          </w:rPr>
          <w:t>laurent.devel@cea.fr</w:t>
        </w:r>
      </w:hyperlink>
      <w:r w:rsidRPr="001C4CB9">
        <w:rPr>
          <w:lang w:val="fr-FR"/>
        </w:rPr>
        <w:t xml:space="preserve"> </w:t>
      </w:r>
    </w:p>
    <w:p w:rsidR="002C330A" w:rsidRPr="001C4CB9" w:rsidRDefault="00CF143A" w:rsidP="00FF3BB5">
      <w:pPr>
        <w:pStyle w:val="Adress"/>
        <w:rPr>
          <w:lang w:val="fr-FR"/>
        </w:rPr>
      </w:pPr>
      <w:r w:rsidRPr="001C4CB9">
        <w:rPr>
          <w:lang w:val="fr-FR"/>
        </w:rPr>
        <w:t>[</w:t>
      </w:r>
      <w:proofErr w:type="gramStart"/>
      <w:r w:rsidRPr="001C4CB9">
        <w:rPr>
          <w:lang w:val="fr-FR"/>
        </w:rPr>
        <w:t>b</w:t>
      </w:r>
      <w:proofErr w:type="gramEnd"/>
      <w:r w:rsidRPr="001C4CB9">
        <w:rPr>
          <w:lang w:val="fr-FR"/>
        </w:rPr>
        <w:t>]</w:t>
      </w:r>
      <w:r w:rsidRPr="001C4CB9">
        <w:rPr>
          <w:lang w:val="fr-FR"/>
        </w:rPr>
        <w:tab/>
      </w:r>
      <w:r w:rsidR="002C330A" w:rsidRPr="001C4CB9">
        <w:rPr>
          <w:lang w:val="fr-FR"/>
        </w:rPr>
        <w:t xml:space="preserve">Dr. I. </w:t>
      </w:r>
      <w:proofErr w:type="spellStart"/>
      <w:r w:rsidR="002C330A" w:rsidRPr="001C4CB9">
        <w:rPr>
          <w:lang w:val="fr-FR"/>
        </w:rPr>
        <w:t>Correia</w:t>
      </w:r>
      <w:proofErr w:type="spellEnd"/>
      <w:r w:rsidR="002C330A" w:rsidRPr="001C4CB9">
        <w:rPr>
          <w:lang w:val="fr-FR"/>
        </w:rPr>
        <w:t xml:space="preserve">, Dr. O. </w:t>
      </w:r>
      <w:proofErr w:type="spellStart"/>
      <w:r w:rsidR="002C330A" w:rsidRPr="001C4CB9">
        <w:rPr>
          <w:lang w:val="fr-FR"/>
        </w:rPr>
        <w:t>Lequin</w:t>
      </w:r>
      <w:proofErr w:type="spellEnd"/>
      <w:r w:rsidR="002C330A" w:rsidRPr="001C4CB9">
        <w:rPr>
          <w:lang w:val="fr-FR"/>
        </w:rPr>
        <w:br/>
        <w:t xml:space="preserve">CNRS, Laboratoire des Biomolécules, LBM </w:t>
      </w:r>
      <w:r w:rsidR="002C330A" w:rsidRPr="001C4CB9">
        <w:rPr>
          <w:lang w:val="fr-FR"/>
        </w:rPr>
        <w:br/>
        <w:t xml:space="preserve">Sorbonne Université, </w:t>
      </w:r>
      <w:proofErr w:type="spellStart"/>
      <w:r w:rsidR="002C330A" w:rsidRPr="001C4CB9">
        <w:rPr>
          <w:lang w:val="fr-FR"/>
        </w:rPr>
        <w:t>Ecole</w:t>
      </w:r>
      <w:proofErr w:type="spellEnd"/>
      <w:r w:rsidR="002C330A" w:rsidRPr="001C4CB9">
        <w:rPr>
          <w:lang w:val="fr-FR"/>
        </w:rPr>
        <w:t xml:space="preserve"> Normale Supérieure, PSL </w:t>
      </w:r>
      <w:proofErr w:type="spellStart"/>
      <w:r w:rsidR="002C330A" w:rsidRPr="001C4CB9">
        <w:rPr>
          <w:lang w:val="fr-FR"/>
        </w:rPr>
        <w:t>University</w:t>
      </w:r>
      <w:proofErr w:type="spellEnd"/>
    </w:p>
    <w:p w:rsidR="002C330A" w:rsidRPr="001C4CB9" w:rsidRDefault="002C330A" w:rsidP="00FF3BB5">
      <w:pPr>
        <w:pStyle w:val="Adress"/>
        <w:ind w:firstLine="0"/>
        <w:rPr>
          <w:lang w:val="en-US"/>
        </w:rPr>
      </w:pPr>
      <w:r w:rsidRPr="001C4CB9">
        <w:rPr>
          <w:lang w:val="en-US"/>
        </w:rPr>
        <w:t>75005 Paris, (France)</w:t>
      </w:r>
    </w:p>
    <w:p w:rsidR="002C330A" w:rsidRPr="001C4CB9" w:rsidRDefault="002C330A" w:rsidP="00FF3BB5">
      <w:pPr>
        <w:pStyle w:val="Adress"/>
        <w:rPr>
          <w:lang w:val="en-US"/>
        </w:rPr>
      </w:pPr>
      <w:r w:rsidRPr="001C4CB9">
        <w:rPr>
          <w:lang w:val="en-US"/>
        </w:rPr>
        <w:t>[c]</w:t>
      </w:r>
      <w:r w:rsidRPr="001C4CB9">
        <w:rPr>
          <w:lang w:val="en-US"/>
        </w:rPr>
        <w:tab/>
        <w:t xml:space="preserve">Dr. D. </w:t>
      </w:r>
      <w:proofErr w:type="spellStart"/>
      <w:r w:rsidRPr="001C4CB9">
        <w:rPr>
          <w:lang w:val="en-US"/>
        </w:rPr>
        <w:t>Georgiadis</w:t>
      </w:r>
      <w:proofErr w:type="spellEnd"/>
      <w:r w:rsidRPr="001C4CB9">
        <w:rPr>
          <w:lang w:val="en-US"/>
        </w:rPr>
        <w:br/>
        <w:t xml:space="preserve">Department of Chemistry, Laboratory of Organic Chemistry </w:t>
      </w:r>
      <w:r w:rsidRPr="001C4CB9">
        <w:rPr>
          <w:lang w:val="en-US"/>
        </w:rPr>
        <w:br/>
        <w:t>University of Athens</w:t>
      </w:r>
      <w:r w:rsidRPr="001C4CB9">
        <w:rPr>
          <w:lang w:val="en-US"/>
        </w:rPr>
        <w:br/>
      </w:r>
      <w:proofErr w:type="spellStart"/>
      <w:r w:rsidRPr="001C4CB9">
        <w:rPr>
          <w:lang w:val="en-US"/>
        </w:rPr>
        <w:t>Panepistimiopolis</w:t>
      </w:r>
      <w:proofErr w:type="spellEnd"/>
      <w:r w:rsidRPr="001C4CB9">
        <w:rPr>
          <w:lang w:val="en-US"/>
        </w:rPr>
        <w:t xml:space="preserve">, </w:t>
      </w:r>
      <w:proofErr w:type="spellStart"/>
      <w:r w:rsidRPr="001C4CB9">
        <w:rPr>
          <w:lang w:val="en-US"/>
        </w:rPr>
        <w:t>Zografou</w:t>
      </w:r>
      <w:proofErr w:type="spellEnd"/>
      <w:r w:rsidRPr="001C4CB9">
        <w:rPr>
          <w:lang w:val="en-US"/>
        </w:rPr>
        <w:t>, 15771, Athens (Greece)</w:t>
      </w:r>
    </w:p>
    <w:p w:rsidR="002C330A" w:rsidRPr="001C4CB9" w:rsidRDefault="002C330A" w:rsidP="00FF3BB5">
      <w:pPr>
        <w:pStyle w:val="Adress"/>
        <w:rPr>
          <w:lang w:val="en-US"/>
        </w:rPr>
      </w:pPr>
    </w:p>
    <w:p w:rsidR="00CF143A" w:rsidRPr="001C4CB9" w:rsidRDefault="00CF143A" w:rsidP="00CF143A">
      <w:pPr>
        <w:pStyle w:val="Footnote"/>
        <w:spacing w:after="360"/>
        <w:rPr>
          <w:color w:val="FF0000"/>
          <w:lang w:val="en-US"/>
        </w:rPr>
      </w:pPr>
      <w:r w:rsidRPr="001C4CB9">
        <w:rPr>
          <w:lang w:val="en-US"/>
        </w:rPr>
        <w:tab/>
        <w:t>Supporting information for this article is given via a link at the end of the document</w:t>
      </w:r>
      <w:r w:rsidR="002C330A" w:rsidRPr="001C4CB9">
        <w:rPr>
          <w:lang w:val="en-US"/>
        </w:rPr>
        <w:t>.</w:t>
      </w:r>
    </w:p>
    <w:p w:rsidR="00CF143A" w:rsidRPr="001C4CB9" w:rsidRDefault="00CF143A" w:rsidP="00CF143A">
      <w:pPr>
        <w:rPr>
          <w:lang w:val="en-US"/>
        </w:rPr>
      </w:pPr>
    </w:p>
    <w:p w:rsidR="006D4F77" w:rsidRPr="001C4CB9" w:rsidRDefault="006D4F77" w:rsidP="006D4F77">
      <w:pPr>
        <w:pStyle w:val="Dedication"/>
        <w:rPr>
          <w:lang w:val="en-US"/>
        </w:rPr>
        <w:sectPr w:rsidR="006D4F77" w:rsidRPr="001C4CB9" w:rsidSect="0095126A">
          <w:headerReference w:type="default" r:id="rId9"/>
          <w:footerReference w:type="default" r:id="rId10"/>
          <w:headerReference w:type="first" r:id="rId11"/>
          <w:pgSz w:w="11906" w:h="16838" w:code="9"/>
          <w:pgMar w:top="1134" w:right="936" w:bottom="1134" w:left="936" w:header="1021" w:footer="0" w:gutter="0"/>
          <w:cols w:space="425"/>
          <w:docGrid w:linePitch="360"/>
        </w:sectPr>
      </w:pPr>
    </w:p>
    <w:p w:rsidR="00B606D5" w:rsidRPr="001C4CB9" w:rsidRDefault="00CF143A" w:rsidP="002B3201">
      <w:pPr>
        <w:pStyle w:val="Abstract"/>
        <w:rPr>
          <w:lang w:val="en-US"/>
        </w:rPr>
      </w:pPr>
      <w:r w:rsidRPr="001C4CB9">
        <w:rPr>
          <w:b/>
          <w:lang w:val="en-US"/>
        </w:rPr>
        <w:t>Abstract:</w:t>
      </w:r>
      <w:r w:rsidRPr="001C4CB9">
        <w:rPr>
          <w:lang w:val="en-US"/>
        </w:rPr>
        <w:t xml:space="preserve"> </w:t>
      </w:r>
      <w:r w:rsidR="00B606D5" w:rsidRPr="001C4CB9">
        <w:rPr>
          <w:i/>
          <w:lang w:val="en-US"/>
        </w:rPr>
        <w:t xml:space="preserve">Activity-based probes enable </w:t>
      </w:r>
      <w:r w:rsidR="00EB2FB5" w:rsidRPr="001C4CB9">
        <w:rPr>
          <w:i/>
          <w:lang w:val="en-US"/>
        </w:rPr>
        <w:t>discriminating</w:t>
      </w:r>
      <w:r w:rsidR="00B606D5" w:rsidRPr="001C4CB9">
        <w:rPr>
          <w:i/>
          <w:lang w:val="en-US"/>
        </w:rPr>
        <w:t xml:space="preserve"> between the active enzyme and its inactive </w:t>
      </w:r>
      <w:r w:rsidR="00D77F85" w:rsidRPr="001C4CB9">
        <w:rPr>
          <w:i/>
          <w:lang w:val="en-US"/>
        </w:rPr>
        <w:t xml:space="preserve">or inactivated </w:t>
      </w:r>
      <w:r w:rsidR="00B606D5" w:rsidRPr="001C4CB9">
        <w:rPr>
          <w:i/>
          <w:lang w:val="en-US"/>
        </w:rPr>
        <w:t>counterparts. Since metalloproteases catalysis is non-covalent, activity-based probes targeting them have been systematically developed by decorating reversible inhibitors with photo-crosslinkers.</w:t>
      </w:r>
      <w:r w:rsidR="00D77F85" w:rsidRPr="001C4CB9">
        <w:rPr>
          <w:i/>
          <w:lang w:val="en-US"/>
        </w:rPr>
        <w:t xml:space="preserve"> </w:t>
      </w:r>
      <w:r w:rsidR="00B606D5" w:rsidRPr="001C4CB9">
        <w:rPr>
          <w:i/>
          <w:lang w:val="en-US"/>
        </w:rPr>
        <w:t xml:space="preserve">By exploiting two types of ligand-guided chemistry, we identified novel activity-based probes capable of covalently modifying matrix metalloproteases (MMPs) </w:t>
      </w:r>
      <w:r w:rsidR="002C55BE" w:rsidRPr="001C4CB9">
        <w:rPr>
          <w:i/>
          <w:lang w:val="en-US"/>
        </w:rPr>
        <w:t xml:space="preserve">active site </w:t>
      </w:r>
      <w:r w:rsidR="00B606D5" w:rsidRPr="001C4CB9">
        <w:rPr>
          <w:i/>
          <w:lang w:val="en-US"/>
        </w:rPr>
        <w:t xml:space="preserve">without any external trigger. The ability of these probes to label recombinant MMPs </w:t>
      </w:r>
      <w:r w:rsidR="007E2BFD" w:rsidRPr="001C4CB9">
        <w:rPr>
          <w:i/>
          <w:lang w:val="en-US"/>
        </w:rPr>
        <w:t>was</w:t>
      </w:r>
      <w:r w:rsidR="00B606D5" w:rsidRPr="001C4CB9">
        <w:rPr>
          <w:i/>
          <w:lang w:val="en-US"/>
        </w:rPr>
        <w:t xml:space="preserve"> validated in vitro and</w:t>
      </w:r>
      <w:r w:rsidR="00E7297B" w:rsidRPr="001C4CB9">
        <w:rPr>
          <w:i/>
          <w:lang w:val="en-US"/>
        </w:rPr>
        <w:t xml:space="preserve"> </w:t>
      </w:r>
      <w:r w:rsidR="00D77F85" w:rsidRPr="001C4CB9">
        <w:rPr>
          <w:i/>
          <w:lang w:val="en-US"/>
        </w:rPr>
        <w:t>the</w:t>
      </w:r>
      <w:r w:rsidR="00B606D5" w:rsidRPr="001C4CB9">
        <w:rPr>
          <w:i/>
          <w:lang w:val="en-US"/>
        </w:rPr>
        <w:t xml:space="preserve"> identity of the </w:t>
      </w:r>
      <w:r w:rsidR="00D77F85" w:rsidRPr="001C4CB9">
        <w:rPr>
          <w:i/>
          <w:lang w:val="en-US"/>
        </w:rPr>
        <w:t>main labelling sites within their S</w:t>
      </w:r>
      <w:r w:rsidR="00D77F85" w:rsidRPr="001C4CB9">
        <w:rPr>
          <w:i/>
          <w:vertAlign w:val="subscript"/>
          <w:lang w:val="en-US"/>
        </w:rPr>
        <w:t>3</w:t>
      </w:r>
      <w:r w:rsidR="00D77F85" w:rsidRPr="001C4CB9">
        <w:rPr>
          <w:i/>
          <w:lang w:val="en-US"/>
        </w:rPr>
        <w:t xml:space="preserve">’ region </w:t>
      </w:r>
      <w:r w:rsidR="00B606D5" w:rsidRPr="001C4CB9">
        <w:rPr>
          <w:i/>
          <w:lang w:val="en-US"/>
        </w:rPr>
        <w:t xml:space="preserve">unambiguously </w:t>
      </w:r>
      <w:r w:rsidR="00ED2AEE" w:rsidRPr="001C4CB9">
        <w:rPr>
          <w:i/>
          <w:lang w:val="en-US"/>
        </w:rPr>
        <w:t>assigned</w:t>
      </w:r>
      <w:r w:rsidR="00B606D5" w:rsidRPr="001C4CB9">
        <w:rPr>
          <w:i/>
          <w:lang w:val="en-US"/>
        </w:rPr>
        <w:t xml:space="preserve">. </w:t>
      </w:r>
      <w:r w:rsidR="00C6467C" w:rsidRPr="001C4CB9">
        <w:rPr>
          <w:i/>
          <w:lang w:val="en-US"/>
        </w:rPr>
        <w:t xml:space="preserve">We also demonstrated </w:t>
      </w:r>
      <w:r w:rsidR="000C340D" w:rsidRPr="001C4CB9">
        <w:rPr>
          <w:i/>
          <w:lang w:val="en-US"/>
        </w:rPr>
        <w:t xml:space="preserve">that our </w:t>
      </w:r>
      <w:r w:rsidR="00294897" w:rsidRPr="001C4CB9">
        <w:rPr>
          <w:i/>
          <w:lang w:val="en-US"/>
        </w:rPr>
        <w:t>affinity</w:t>
      </w:r>
      <w:r w:rsidR="00C6467C" w:rsidRPr="001C4CB9">
        <w:rPr>
          <w:i/>
          <w:lang w:val="en-US"/>
        </w:rPr>
        <w:t xml:space="preserve"> probe</w:t>
      </w:r>
      <w:r w:rsidR="00294897" w:rsidRPr="001C4CB9">
        <w:rPr>
          <w:i/>
          <w:lang w:val="en-US"/>
        </w:rPr>
        <w:t>s</w:t>
      </w:r>
      <w:r w:rsidR="00C6467C" w:rsidRPr="001C4CB9">
        <w:rPr>
          <w:i/>
          <w:lang w:val="en-US"/>
        </w:rPr>
        <w:t xml:space="preserve"> can react with </w:t>
      </w:r>
      <w:r w:rsidR="00041750" w:rsidRPr="001C4CB9">
        <w:rPr>
          <w:i/>
          <w:lang w:val="en-US"/>
        </w:rPr>
        <w:t>rh</w:t>
      </w:r>
      <w:r w:rsidR="000C340D" w:rsidRPr="001C4CB9">
        <w:rPr>
          <w:i/>
          <w:lang w:val="en-US"/>
        </w:rPr>
        <w:t xml:space="preserve">MMP12 </w:t>
      </w:r>
      <w:r w:rsidR="002C55BE" w:rsidRPr="001C4CB9">
        <w:rPr>
          <w:i/>
          <w:lang w:val="en-US"/>
        </w:rPr>
        <w:t>at n</w:t>
      </w:r>
      <w:r w:rsidR="00672C3B" w:rsidRPr="001C4CB9">
        <w:rPr>
          <w:i/>
          <w:lang w:val="en-US"/>
        </w:rPr>
        <w:t>anogram</w:t>
      </w:r>
      <w:r w:rsidR="002C55BE" w:rsidRPr="001C4CB9">
        <w:rPr>
          <w:i/>
          <w:lang w:val="en-US"/>
        </w:rPr>
        <w:t xml:space="preserve"> scale </w:t>
      </w:r>
      <w:r w:rsidR="000C340D" w:rsidRPr="001C4CB9">
        <w:rPr>
          <w:i/>
          <w:lang w:val="en-US"/>
        </w:rPr>
        <w:t xml:space="preserve">present at </w:t>
      </w:r>
      <w:r w:rsidR="000C340D" w:rsidRPr="001C4CB9">
        <w:rPr>
          <w:i/>
          <w:color w:val="000000" w:themeColor="text1"/>
          <w:lang w:val="en-US"/>
        </w:rPr>
        <w:t>0.</w:t>
      </w:r>
      <w:r w:rsidR="00041750" w:rsidRPr="001C4CB9">
        <w:rPr>
          <w:i/>
          <w:color w:val="000000" w:themeColor="text1"/>
          <w:lang w:val="en-US"/>
        </w:rPr>
        <w:t>07</w:t>
      </w:r>
      <w:r w:rsidR="000C340D" w:rsidRPr="001C4CB9">
        <w:rPr>
          <w:i/>
          <w:color w:val="000000" w:themeColor="text1"/>
          <w:lang w:val="en-US"/>
        </w:rPr>
        <w:t>%</w:t>
      </w:r>
      <w:r w:rsidR="000C340D" w:rsidRPr="001C4CB9">
        <w:rPr>
          <w:i/>
          <w:lang w:val="en-US"/>
        </w:rPr>
        <w:t xml:space="preserve"> </w:t>
      </w:r>
      <w:r w:rsidR="001C4795" w:rsidRPr="001C4CB9">
        <w:rPr>
          <w:i/>
          <w:lang w:val="en-US"/>
        </w:rPr>
        <w:t xml:space="preserve">(w/w) </w:t>
      </w:r>
      <w:r w:rsidR="000C340D" w:rsidRPr="001C4CB9">
        <w:rPr>
          <w:i/>
          <w:lang w:val="en-US"/>
        </w:rPr>
        <w:t>in complex proteome</w:t>
      </w:r>
      <w:r w:rsidR="00041750" w:rsidRPr="001C4CB9">
        <w:rPr>
          <w:i/>
          <w:lang w:val="en-US"/>
        </w:rPr>
        <w:t>s</w:t>
      </w:r>
      <w:r w:rsidR="000C340D" w:rsidRPr="001C4CB9">
        <w:rPr>
          <w:i/>
          <w:lang w:val="en-US"/>
        </w:rPr>
        <w:t xml:space="preserve">. </w:t>
      </w:r>
      <w:r w:rsidR="00C6467C" w:rsidRPr="001C4CB9">
        <w:rPr>
          <w:i/>
          <w:lang w:val="en-US"/>
        </w:rPr>
        <w:t xml:space="preserve"> </w:t>
      </w:r>
      <w:r w:rsidR="00B606D5" w:rsidRPr="001C4CB9">
        <w:rPr>
          <w:i/>
          <w:lang w:val="en-US"/>
        </w:rPr>
        <w:t xml:space="preserve">Finally, this </w:t>
      </w:r>
      <w:r w:rsidR="0056494C" w:rsidRPr="001C4CB9">
        <w:rPr>
          <w:i/>
          <w:lang w:val="en-US"/>
        </w:rPr>
        <w:t>ligand-directed chemistry</w:t>
      </w:r>
      <w:r w:rsidR="00B606D5" w:rsidRPr="001C4CB9">
        <w:rPr>
          <w:i/>
          <w:lang w:val="en-US"/>
        </w:rPr>
        <w:t xml:space="preserve"> was</w:t>
      </w:r>
      <w:r w:rsidR="00041750" w:rsidRPr="001C4CB9">
        <w:rPr>
          <w:i/>
          <w:lang w:val="en-US"/>
        </w:rPr>
        <w:t xml:space="preserve"> successfully</w:t>
      </w:r>
      <w:r w:rsidR="00B606D5" w:rsidRPr="001C4CB9">
        <w:rPr>
          <w:i/>
          <w:lang w:val="en-US"/>
        </w:rPr>
        <w:t xml:space="preserve"> </w:t>
      </w:r>
      <w:r w:rsidR="000C340D" w:rsidRPr="001C4CB9">
        <w:rPr>
          <w:i/>
          <w:lang w:val="en-US"/>
        </w:rPr>
        <w:t xml:space="preserve">applied </w:t>
      </w:r>
      <w:r w:rsidR="00B606D5" w:rsidRPr="001C4CB9">
        <w:rPr>
          <w:i/>
          <w:lang w:val="en-US"/>
        </w:rPr>
        <w:t xml:space="preserve">to </w:t>
      </w:r>
      <w:r w:rsidR="00DF5C16" w:rsidRPr="001C4CB9">
        <w:rPr>
          <w:i/>
          <w:lang w:val="en-US"/>
        </w:rPr>
        <w:t xml:space="preserve">label </w:t>
      </w:r>
      <w:r w:rsidR="00901094" w:rsidRPr="001C4CB9">
        <w:rPr>
          <w:i/>
          <w:lang w:val="en-US"/>
        </w:rPr>
        <w:t xml:space="preserve">active </w:t>
      </w:r>
      <w:r w:rsidR="00B606D5" w:rsidRPr="001C4CB9">
        <w:rPr>
          <w:i/>
          <w:lang w:val="en-US"/>
        </w:rPr>
        <w:t>MMP-12</w:t>
      </w:r>
      <w:r w:rsidR="00F4544A" w:rsidRPr="001C4CB9">
        <w:rPr>
          <w:i/>
          <w:lang w:val="en-US"/>
        </w:rPr>
        <w:t xml:space="preserve"> secreted by </w:t>
      </w:r>
      <w:r w:rsidR="00704157" w:rsidRPr="001C4CB9">
        <w:rPr>
          <w:i/>
          <w:lang w:val="en-US"/>
        </w:rPr>
        <w:t>eukaryot</w:t>
      </w:r>
      <w:r w:rsidR="00672C3B" w:rsidRPr="001C4CB9">
        <w:rPr>
          <w:i/>
          <w:lang w:val="en-US"/>
        </w:rPr>
        <w:t xml:space="preserve">e </w:t>
      </w:r>
      <w:r w:rsidR="00F4544A" w:rsidRPr="001C4CB9">
        <w:rPr>
          <w:i/>
          <w:lang w:val="en-US"/>
        </w:rPr>
        <w:t>cells</w:t>
      </w:r>
      <w:r w:rsidR="00B606D5" w:rsidRPr="001C4CB9">
        <w:rPr>
          <w:i/>
          <w:lang w:val="en-US"/>
        </w:rPr>
        <w:t>. We believe that this approach could be transferred more widely to many other metalloproteases, thus contributing to tackle their unresolved proteomic profiling in vivo.</w:t>
      </w:r>
    </w:p>
    <w:p w:rsidR="00B606D5" w:rsidRPr="001C4CB9" w:rsidRDefault="00AD78DA" w:rsidP="002B3201">
      <w:pPr>
        <w:pStyle w:val="H1"/>
        <w:rPr>
          <w:lang w:val="en-US"/>
        </w:rPr>
      </w:pPr>
      <w:r w:rsidRPr="001C4CB9">
        <w:rPr>
          <w:lang w:val="en-US"/>
        </w:rPr>
        <w:t>Introduction</w:t>
      </w:r>
    </w:p>
    <w:p w:rsidR="00B606D5" w:rsidRPr="001C4CB9" w:rsidRDefault="00B606D5" w:rsidP="002B3201">
      <w:pPr>
        <w:pStyle w:val="H1"/>
        <w:spacing w:before="0" w:after="0"/>
        <w:jc w:val="both"/>
        <w:rPr>
          <w:lang w:val="en-US"/>
        </w:rPr>
      </w:pPr>
      <w:r w:rsidRPr="001C4CB9">
        <w:rPr>
          <w:b w:val="0"/>
          <w:sz w:val="17"/>
          <w:lang w:val="en-US"/>
        </w:rPr>
        <w:t xml:space="preserve">Within the human protease family composed of more than 500 members with approximately one third of metalloproteinases, </w:t>
      </w:r>
      <w:r w:rsidR="00AB1A5E" w:rsidRPr="001C4CB9">
        <w:rPr>
          <w:b w:val="0"/>
          <w:sz w:val="17"/>
          <w:lang w:val="en-US"/>
        </w:rPr>
        <w:t xml:space="preserve">Matrix </w:t>
      </w:r>
      <w:proofErr w:type="spellStart"/>
      <w:r w:rsidR="00AB1A5E" w:rsidRPr="001C4CB9">
        <w:rPr>
          <w:b w:val="0"/>
          <w:sz w:val="17"/>
          <w:lang w:val="en-US"/>
        </w:rPr>
        <w:t>MetalloProteases</w:t>
      </w:r>
      <w:proofErr w:type="spellEnd"/>
      <w:r w:rsidR="00AB1A5E" w:rsidRPr="001C4CB9">
        <w:rPr>
          <w:b w:val="0"/>
          <w:sz w:val="17"/>
          <w:lang w:val="en-US"/>
        </w:rPr>
        <w:t xml:space="preserve"> </w:t>
      </w:r>
      <w:r w:rsidRPr="001C4CB9">
        <w:rPr>
          <w:b w:val="0"/>
          <w:sz w:val="17"/>
          <w:lang w:val="en-US"/>
        </w:rPr>
        <w:t>(MMPs) constitute a small family of 23 members. Although studied for several decades, the role of these zinc-dependent endopeptidases remains to be clarified in numerous physiological and pathological processes</w:t>
      </w:r>
      <w:r w:rsidR="00536F0E" w:rsidRPr="001C4CB9">
        <w:rPr>
          <w:b w:val="0"/>
          <w:sz w:val="17"/>
          <w:lang w:val="en-US"/>
        </w:rPr>
        <w:fldChar w:fldCharType="begin"/>
      </w:r>
      <w:r w:rsidR="00536F0E" w:rsidRPr="001C4CB9">
        <w:rPr>
          <w:b w:val="0"/>
          <w:sz w:val="17"/>
          <w:lang w:val="en-US"/>
        </w:rPr>
        <w:instrText xml:space="preserve"> ADDIN ZOTERO_ITEM CSL_CITATION {"citationID":"ibblGTDD","properties":{"formattedCitation":"\\super [1]\\nosupersub{}","plainCitation":"[1]","noteIndex":0},"citationItems":[{"id":573,"uris":["http://zotero.org/users/local/t888UWzB/items/MPHNBIE8"],"uri":["http://zotero.org/users/local/t888UWzB/items/MPHNBIE8"],"itemData":{"id":573,"type":"article-journal","abstract":"Proteases enzymatically hydrolyze peptide bonds in substrate proteins, resulting in a widespread, irreversible posttranslational modification of the protein's structure and biological function. Often regarded as a mere degradative mechanism in destruction of proteins or turnover in maintaining physiological homeostasis, recent research in the field of degradomics has led to the recognition of two main yet unexpected concepts. First, that targeted, limited proteolytic cleavage events by a wide repertoire of proteases are pivotal regulators of most, if not all, physiological and pathological processes. Second, an unexpected in vivo abundance of stable cleaved proteins revealed pervasive, functionally relevant protein processing in normal and diseased tissue-from 40 to 70% of proteins also occur in vivo as distinct stable proteoforms with undocumented N- or C-termini, meaning these proteoforms are stable functional cleavage products, most with unknown functional implications. In this Review, we discuss the structural biology aspects and mechanisms of catalysis by different protease classes. We also provide an overview of biological pathways that utilize specific proteolytic cleavage as a precision control mechanism in protein quality control, stability, localization, and maturation, as well as proteolytic cleavage as a mediator in signaling pathways. Lastly, we provide a comprehensive overview of analytical methods and approaches to study activity and substrates of proteolytic enzymes in relevant biological models, both historical and focusing on state of the art proteomics techniques in the field of degradomics research.","container-title":"Chemical Reviews","DOI":"10.1021/acs.chemrev.7b00120","ISSN":"1520-6890","issue":"3","journalAbbreviation":"Chem. Rev.","language":"eng","note":"PMID: 29265812","page":"1137-1168","source":"PubMed","title":"Proteolytic Cleavage-Mechanisms, Function, and \"Omic\" Approaches for a Near-Ubiquitous Posttranslational Modification","volume":"118","author":[{"family":"Klein","given":"Theo"},{"family":"Eckhard","given":"Ulrich"},{"family":"Dufour","given":"Antoine"},{"family":"Solis","given":"Nestor"},{"family":"Overall","given":"Christopher M."}],"issued":{"date-parts":[["2018",2,14]]}}}],"schema":"https://github.com/citation-style-language/schema/raw/master/csl-citation.json"} </w:instrText>
      </w:r>
      <w:r w:rsidR="00536F0E" w:rsidRPr="001C4CB9">
        <w:rPr>
          <w:b w:val="0"/>
          <w:sz w:val="17"/>
          <w:lang w:val="en-US"/>
        </w:rPr>
        <w:fldChar w:fldCharType="separate"/>
      </w:r>
      <w:r w:rsidR="00536F0E" w:rsidRPr="001C4CB9">
        <w:rPr>
          <w:rFonts w:cs="Arial"/>
          <w:sz w:val="17"/>
          <w:vertAlign w:val="superscript"/>
          <w:lang w:val="en-US"/>
        </w:rPr>
        <w:t>[1]</w:t>
      </w:r>
      <w:r w:rsidR="00536F0E" w:rsidRPr="001C4CB9">
        <w:rPr>
          <w:b w:val="0"/>
          <w:sz w:val="17"/>
          <w:lang w:val="en-US"/>
        </w:rPr>
        <w:fldChar w:fldCharType="end"/>
      </w:r>
      <w:r w:rsidRPr="001C4CB9">
        <w:rPr>
          <w:b w:val="0"/>
          <w:sz w:val="17"/>
          <w:lang w:val="en-US"/>
        </w:rPr>
        <w:t xml:space="preserve">. These enzymes initially secreted within the extracellular compartment under latent forms, are subsequently activated into functional forms whose proteolytic activity is finely tuned by endogenous competitive inhibitors such as tissue inhibitors </w:t>
      </w:r>
      <w:r w:rsidRPr="001C4CB9">
        <w:rPr>
          <w:b w:val="0"/>
          <w:sz w:val="17"/>
          <w:lang w:val="en-US"/>
        </w:rPr>
        <w:t>of metalloprotease</w:t>
      </w:r>
      <w:r w:rsidR="00AB1A5E" w:rsidRPr="001C4CB9">
        <w:rPr>
          <w:b w:val="0"/>
          <w:sz w:val="17"/>
          <w:lang w:val="en-US"/>
        </w:rPr>
        <w:t>s</w:t>
      </w:r>
      <w:r w:rsidRPr="001C4CB9">
        <w:rPr>
          <w:b w:val="0"/>
          <w:sz w:val="17"/>
          <w:lang w:val="en-US"/>
        </w:rPr>
        <w:t xml:space="preserve"> (TIMPs). Due to their delineated area of activation, active MMPs have long been considered for their unique ability to degrade extracellular substrates. However, turnover and breakdown of the extracellular matrix are neither the sole nor the main function of MMPs. These proteases indeed process a wide variety of substrates including growth factors, proinflammatory cytokines and chemokines, thus finely regulating multiple aspects of immunity and inflammation</w:t>
      </w:r>
      <w:r w:rsidR="00536F0E" w:rsidRPr="001C4CB9">
        <w:rPr>
          <w:b w:val="0"/>
          <w:sz w:val="17"/>
          <w:lang w:val="en-US"/>
        </w:rPr>
        <w:fldChar w:fldCharType="begin"/>
      </w:r>
      <w:r w:rsidR="00536F0E" w:rsidRPr="001C4CB9">
        <w:rPr>
          <w:b w:val="0"/>
          <w:sz w:val="17"/>
          <w:lang w:val="en-US"/>
        </w:rPr>
        <w:instrText xml:space="preserve"> ADDIN ZOTERO_ITEM CSL_CITATION {"citationID":"HZZRKQDy","properties":{"formattedCitation":"\\super [2]\\nosupersub{}","plainCitation":"[2]","noteIndex":0},"citationItems":[{"id":24,"uris":["http://zotero.org/users/local/t888UWzB/items/F4V9SSXK"],"uri":["http://zotero.org/users/local/t888UWzB/items/F4V9SSXK"],"itemData":{"id":24,"type":"article-journal","abstract":"Matrix metalloproteinases (MMPs) are zinc-dependent endopeptidases that form a family of 24 members in mammals. Evidence of the pathological roles of MMPs in various diseases, combined with their druggability, has made them attractive therapeutic targets. Initial drug discovery efforts focused on the roles of MMPs in cancer progression, and more than 50 MMP inhibitors have been investigated in clinical trials in various cancers. However, all of these trials failed. Reasons for failure include the lack of inhibitor specificity and insufficient knowledge about the complexity of the disease biology. MMPs are also known to be involved in several inflammatory processes, and there are new therapeutic opportunities for MMP inhibitors to treat such diseases. In this Review, we discuss the recent advances made in understanding the role of MMPs in inflammatory diseases and the therapeutic potential of MMP inhibition in those conditions.","container-title":"Nature Reviews Drug Discovery","DOI":"10.1038/nrd4390","ISSN":"1474-1776","issue":"12","journalAbbreviation":"Nat Rev Drug Discov","language":"en","page":"904-927","source":"www.nature.com","title":"Is there new hope for therapeutic matrix metalloproteinase inhibition?","volume":"13","author":[{"family":"Vandenbroucke","given":"Roosmarijn E."},{"family":"Libert","given":"Claude"}],"issued":{"date-parts":[["2014",12]]}}}],"schema":"https://github.com/citation-style-language/schema/raw/master/csl-citation.json"} </w:instrText>
      </w:r>
      <w:r w:rsidR="00536F0E" w:rsidRPr="001C4CB9">
        <w:rPr>
          <w:b w:val="0"/>
          <w:sz w:val="17"/>
          <w:lang w:val="en-US"/>
        </w:rPr>
        <w:fldChar w:fldCharType="separate"/>
      </w:r>
      <w:r w:rsidR="00536F0E" w:rsidRPr="001C4CB9">
        <w:rPr>
          <w:rFonts w:cs="Arial"/>
          <w:sz w:val="17"/>
          <w:vertAlign w:val="superscript"/>
          <w:lang w:val="en-US"/>
        </w:rPr>
        <w:t>[2]</w:t>
      </w:r>
      <w:r w:rsidR="00536F0E" w:rsidRPr="001C4CB9">
        <w:rPr>
          <w:b w:val="0"/>
          <w:sz w:val="17"/>
          <w:lang w:val="en-US"/>
        </w:rPr>
        <w:fldChar w:fldCharType="end"/>
      </w:r>
      <w:r w:rsidRPr="001C4CB9">
        <w:rPr>
          <w:b w:val="0"/>
          <w:sz w:val="17"/>
          <w:lang w:val="en-US"/>
        </w:rPr>
        <w:t>. To add further complexity to MMPs biology, some of them were recently reported to have intracellular activity in different organelles including nucleus</w:t>
      </w:r>
      <w:r w:rsidR="00536F0E" w:rsidRPr="001C4CB9">
        <w:rPr>
          <w:b w:val="0"/>
          <w:sz w:val="17"/>
          <w:lang w:val="en-US"/>
        </w:rPr>
        <w:fldChar w:fldCharType="begin"/>
      </w:r>
      <w:r w:rsidR="00536F0E" w:rsidRPr="001C4CB9">
        <w:rPr>
          <w:b w:val="0"/>
          <w:sz w:val="17"/>
          <w:lang w:val="en-US"/>
        </w:rPr>
        <w:instrText xml:space="preserve"> ADDIN ZOTERO_ITEM CSL_CITATION {"citationID":"KAJJxmOF","properties":{"formattedCitation":"\\super [3]\\nosupersub{}","plainCitation":"[3]","noteIndex":0},"citationItems":[{"id":500,"uris":["http://zotero.org/users/local/t888UWzB/items/RAC5EIFU"],"uri":["http://zotero.org/users/local/t888UWzB/items/RAC5EIFU"],"itemData":{"id":500,"type":"article-journal","abstract":"Adaption of a single protein to perform multiple independent functions facilitates functional plasticity of the proteome allowing a limited number of protein-coding genes to perform a multitude of cellular processes. Multifunctionality is achievable by post-translational modifications and by modulating subcellular localization. Matrix metalloproteinases (MMPs), classically viewed as degraders of the extracellular matrix (ECM) responsible for matrix protein turnover, are more recently recognized as regulators of a range of extracellular bioactive molecules including chemokines, cytokines, and their binders. However, growing evidence has convincingly identified select MMPs in intracellular compartments with unexpected physiological and pathological roles. Intracellular MMPs have both proteolytic and non-proteolytic functions, including signal transduction and transcription factor activity thereby challenging their traditional designation as extracellular proteases. This review highlights current knowledge of subcellular location and activity of these \"moonlighting\" MMPs. Intracellular roles herald a new era of MMP research, rejuvenating interest in targeting these proteases in therapeutic strategies. This article is part of a Special Issue entitled: Matrix Metalloproteinases edited by Rafael Fridman.","container-title":"Biochimica Et Biophysica Acta","DOI":"10.1016/j.bbamcr.2017.05.013","ISSN":"0006-3002","issue":"11 Pt A","journalAbbreviation":"Biochim. Biophys. Acta","language":"eng","note":"PMID: 28526562","page":"2043-2055","source":"PubMed","title":"New intracellular activities of matrix metalloproteinases shine in the moonlight","volume":"1864","author":[{"family":"Jobin","given":"Parker G."},{"family":"Butler","given":"Georgina S."},{"family":"Overall","given":"Christopher M."}],"issued":{"date-parts":[["2017",11]]}}}],"schema":"https://github.com/citation-style-language/schema/raw/master/csl-citation.json"} </w:instrText>
      </w:r>
      <w:r w:rsidR="00536F0E" w:rsidRPr="001C4CB9">
        <w:rPr>
          <w:b w:val="0"/>
          <w:sz w:val="17"/>
          <w:lang w:val="en-US"/>
        </w:rPr>
        <w:fldChar w:fldCharType="separate"/>
      </w:r>
      <w:r w:rsidR="00536F0E" w:rsidRPr="001C4CB9">
        <w:rPr>
          <w:rFonts w:cs="Arial"/>
          <w:sz w:val="17"/>
          <w:vertAlign w:val="superscript"/>
          <w:lang w:val="en-US"/>
        </w:rPr>
        <w:t>[3]</w:t>
      </w:r>
      <w:r w:rsidR="00536F0E" w:rsidRPr="001C4CB9">
        <w:rPr>
          <w:b w:val="0"/>
          <w:sz w:val="17"/>
          <w:lang w:val="en-US"/>
        </w:rPr>
        <w:fldChar w:fldCharType="end"/>
      </w:r>
      <w:r w:rsidRPr="001C4CB9">
        <w:rPr>
          <w:b w:val="0"/>
          <w:sz w:val="17"/>
          <w:lang w:val="en-US"/>
        </w:rPr>
        <w:t>. In such a scenario, MMPs cleave intracellular substrates but can also play a completely different role such as transcriptional role in the case of macrophage elastase (MMP-12)</w:t>
      </w:r>
      <w:r w:rsidR="00536F0E" w:rsidRPr="001C4CB9">
        <w:rPr>
          <w:b w:val="0"/>
          <w:sz w:val="17"/>
          <w:lang w:val="en-US"/>
        </w:rPr>
        <w:fldChar w:fldCharType="begin"/>
      </w:r>
      <w:r w:rsidR="00536F0E" w:rsidRPr="001C4CB9">
        <w:rPr>
          <w:b w:val="0"/>
          <w:sz w:val="17"/>
          <w:lang w:val="en-US"/>
        </w:rPr>
        <w:instrText xml:space="preserve"> ADDIN ZOTERO_ITEM CSL_CITATION {"citationID":"3P2z6FtR","properties":{"formattedCitation":"\\super [4]\\nosupersub{}","plainCitation":"[4]","noteIndex":0},"citationItems":[{"id":48,"uris":["http://zotero.org/users/local/t888UWzB/items/685RCVR8"],"uri":["http://zotero.org/users/local/t888UWzB/items/685RCVR8"],"itemData":{"id":48,"type":"article-journal","abstract":"Interferon-α (IFN-α) is essential for antiviral immunity, but in the absence of matrix metalloproteinase-12 (MMP-12) or IκBα (encoded by NFKBIA) we show that IFN-α is retained in the cytosol of virus-infected cells and is not secreted. Our findings suggest that activated IκBα mediates the export of IFN-α from virus-infected cells and that the inability of cells in Mmp12−/− but not wild-type mice to express IκBα and thus export IFN-α makes coxsackievirus type B3 infection lethal and renders respiratory syncytial virus more pathogenic. We show here that after macrophage secretion, MMP-12 is transported into virus-infected cells. In HeLa cells MMP-12 is also translocated to the nucleus, where it binds to the NFKBIA promoter, driving transcription. We also identified dual-regulated substrates that are repressed both by MMP-12 binding to the substrate's gene exons and by MMP-12–mediated cleavage of the substrate protein itself. Whereas intracellular MMP-12 mediates NFKBIA transcription, leading to IFN-α secretion and host protection, extracellular MMP-12 cleaves off the IFN-α receptor 2 binding site of systemic IFN-α, preventing an unchecked immune response. Consistent with an unexpected role for MMP-12 in clearing systemic IFN-α, treatment of coxsackievirus type B3–infected wild-type mice with a membrane-impermeable MMP-12 inhibitor elevates systemic IFN-α levels and reduces viral replication in pancreas while sparing intracellular MMP-12. These findings suggest that inhibiting extracellular MMP-12 could be a new avenue for the development of antiviral treatments.","container-title":"Nature Medicine","DOI":"10.1038/nm.3508","ISSN":"1078-8956","issue":"5","journalAbbreviation":"Nat Med","language":"en","page":"493-502","source":"www.nature.com","title":"A new transcriptional role for matrix metalloproteinase-12 in antiviral immunity","volume":"20","author":[{"family":"Marchant","given":"David J."},{"family":"Bellac","given":"Caroline L."},{"family":"Moraes","given":"Theo J."},{"family":"Wadsworth","given":"Samuel J."},{"family":"Dufour","given":"Antoine"},{"family":"Butler","given":"Georgina S."},{"family":"Bilawchuk","given":"Leanne M."},{"family":"Hendry","given":"Reid G."},{"family":"Robertson","given":"A. Gordon"},{"family":"Cheung","given":"Caroline T."},{"family":"Ng","given":"Julie"},{"family":"Ang","given":"Lisa"},{"family":"Luo","given":"Zongshu"},{"family":"Heilbron","given":"Karl"},{"family":"Norris","given":"Michael J."},{"family":"Duan","given":"Wenming"},{"family":"Bucyk","given":"Taylor"},{"family":"Karpov","given":"Andrei"},{"family":"Devel","given":"Laurent"},{"family":"Georgiadis","given":"Dimitris"},{"family":"Hegele","given":"Richard G."},{"family":"Luo","given":"Honglin"},{"family":"Granville","given":"David J."},{"family":"Dive","given":"Vincent"},{"family":"McManus","given":"Bruce M."},{"family":"Overall","given":"Christopher M."}],"issued":{"date-parts":[["2014",5]]}}}],"schema":"https://github.com/citation-style-language/schema/raw/master/csl-citation.json"} </w:instrText>
      </w:r>
      <w:r w:rsidR="00536F0E" w:rsidRPr="001C4CB9">
        <w:rPr>
          <w:b w:val="0"/>
          <w:sz w:val="17"/>
          <w:lang w:val="en-US"/>
        </w:rPr>
        <w:fldChar w:fldCharType="separate"/>
      </w:r>
      <w:r w:rsidR="00536F0E" w:rsidRPr="001C4CB9">
        <w:rPr>
          <w:rFonts w:cs="Arial"/>
          <w:sz w:val="17"/>
          <w:vertAlign w:val="superscript"/>
          <w:lang w:val="en-US"/>
        </w:rPr>
        <w:t>[4]</w:t>
      </w:r>
      <w:r w:rsidR="00536F0E" w:rsidRPr="001C4CB9">
        <w:rPr>
          <w:b w:val="0"/>
          <w:sz w:val="17"/>
          <w:lang w:val="en-US"/>
        </w:rPr>
        <w:fldChar w:fldCharType="end"/>
      </w:r>
      <w:r w:rsidRPr="001C4CB9">
        <w:rPr>
          <w:b w:val="0"/>
          <w:sz w:val="17"/>
          <w:lang w:val="en-US"/>
        </w:rPr>
        <w:t>. These observations</w:t>
      </w:r>
      <w:r w:rsidR="00A5708E" w:rsidRPr="001C4CB9">
        <w:rPr>
          <w:b w:val="0"/>
          <w:sz w:val="17"/>
          <w:lang w:val="en-US"/>
        </w:rPr>
        <w:t>,</w:t>
      </w:r>
      <w:r w:rsidRPr="001C4CB9">
        <w:rPr>
          <w:b w:val="0"/>
          <w:sz w:val="17"/>
          <w:lang w:val="en-US"/>
        </w:rPr>
        <w:t xml:space="preserve"> but also those evidencing that some MMPs participate in diseases progression while others have a protective function</w:t>
      </w:r>
      <w:r w:rsidR="00536F0E" w:rsidRPr="001C4CB9">
        <w:rPr>
          <w:b w:val="0"/>
          <w:sz w:val="17"/>
          <w:lang w:val="en-US"/>
        </w:rPr>
        <w:fldChar w:fldCharType="begin"/>
      </w:r>
      <w:r w:rsidR="00536F0E" w:rsidRPr="001C4CB9">
        <w:rPr>
          <w:b w:val="0"/>
          <w:sz w:val="17"/>
          <w:lang w:val="en-US"/>
        </w:rPr>
        <w:instrText xml:space="preserve"> ADDIN ZOTERO_ITEM CSL_CITATION {"citationID":"arncBcdu","properties":{"formattedCitation":"\\super [5,6]\\nosupersub{}","plainCitation":"[5,6]","noteIndex":0},"citationItems":[{"id":36,"uris":["http://zotero.org/users/local/t888UWzB/items/46EMBDIB"],"uri":["http://zotero.org/users/local/t888UWzB/items/46EMBDIB"],"itemData":{"id":36,"type":"article-journal","abstract":"The matrix metalloproteinases (MMPs) mediate homeostasis of the extracellular environment. They have multiple signalling activities that are commonly altered during tumorigenesis and that might serve as intervention points for anticancer drugs. However, there are many criteria to consider in validating MMPs as drug targets and for the development of MMP inhibitors. The inhibition of some MMPs could have pro-tumorigenic effects (making them anti-targets), counterbalancing the benefits of target inhibition. These effects might partially account for the failure of MMP inhibitors in clinical trials. What are the major challenges in MMP target validation and MMP-inhibitor-drug development?","container-title":"Nature Reviews Cancer","DOI":"10.1038/nrc1821","ISSN":"1474-175X","issue":"3","journalAbbreviation":"Nat Rev Cancer","language":"en","page":"227-239","source":"www.nature.com","title":"Validating matrix metalloproteinases as drug targets and anti-targets for cancer therapy","volume":"6","author":[{"family":"Overall","given":"Christopher M."},{"family":"Kleifeld","given":"Oded"}],"issued":{"date-parts":[["2006",3]]}}},{"id":1058,"uris":["http://zotero.org/users/local/t888UWzB/items/SY3YWREH"],"uri":["http://zotero.org/users/local/t888UWzB/items/SY3YWREH"],"itemData":{"id":1058,"type":"article-journal","abstract":"For at least 30 years, matrix metalloproteinases (MMPs) have been heralded as promising targets for cancer therapy on the basis of their massive up-regulation in malignant tissues and their unique ability to degrade all components of the extracellular matrix. Preclinical studies testing the efficacy of MMP suppression in tumor models were so compelling that synthetic metalloproteinase inhibitors (MPIs) were rapidly developed and routed into human clinical trials. The results of these trials have been disappointing. Here we review the studies that brought MPIs into clinical testing and discuss the design and outcome of the trials in light of new information about the cellular source, substrates, and mode of action of MMPs at different stages of tumor progression. The important lessons learned from the MPI experience may be of great value for future studies of MPIs and for cancer drug development in general.","container-title":"Science (New York, N.Y.)","DOI":"10.1126/science.1067100","ISSN":"1095-9203","issue":"5564","journalAbbreviation":"Science","language":"eng","note":"PMID: 11923519","page":"2387-2392","source":"PubMed","title":"Matrix metalloproteinase inhibitors and cancer: trials and tribulations","title-short":"Matrix metalloproteinase inhibitors and cancer","volume":"295","author":[{"family":"Coussens","given":"Lisa M."},{"family":"Fingleton","given":"Barbara"},{"family":"Matrisian","given":"Lynn M."}],"issued":{"date-parts":[["2002",3,29]]}}}],"schema":"https://github.com/citation-style-language/schema/raw/master/csl-citation.json"} </w:instrText>
      </w:r>
      <w:r w:rsidR="00536F0E" w:rsidRPr="001C4CB9">
        <w:rPr>
          <w:b w:val="0"/>
          <w:sz w:val="17"/>
          <w:lang w:val="en-US"/>
        </w:rPr>
        <w:fldChar w:fldCharType="separate"/>
      </w:r>
      <w:r w:rsidR="00536F0E" w:rsidRPr="001C4CB9">
        <w:rPr>
          <w:rFonts w:cs="Arial"/>
          <w:sz w:val="17"/>
          <w:vertAlign w:val="superscript"/>
          <w:lang w:val="en-US"/>
        </w:rPr>
        <w:t>[5,6]</w:t>
      </w:r>
      <w:r w:rsidR="00536F0E" w:rsidRPr="001C4CB9">
        <w:rPr>
          <w:b w:val="0"/>
          <w:sz w:val="17"/>
          <w:lang w:val="en-US"/>
        </w:rPr>
        <w:fldChar w:fldCharType="end"/>
      </w:r>
      <w:r w:rsidRPr="001C4CB9">
        <w:rPr>
          <w:b w:val="0"/>
          <w:sz w:val="17"/>
          <w:lang w:val="en-US"/>
        </w:rPr>
        <w:t xml:space="preserve">, stress the need to better document their spatial and temporal activation.  </w:t>
      </w:r>
    </w:p>
    <w:p w:rsidR="00640F85" w:rsidRPr="001C4CB9" w:rsidRDefault="00B606D5" w:rsidP="002B3201">
      <w:pPr>
        <w:pStyle w:val="H1"/>
        <w:spacing w:before="0" w:after="0"/>
        <w:jc w:val="both"/>
        <w:rPr>
          <w:b w:val="0"/>
          <w:sz w:val="17"/>
          <w:lang w:val="en-US"/>
        </w:rPr>
        <w:sectPr w:rsidR="00640F85" w:rsidRPr="001C4CB9" w:rsidSect="00640F85">
          <w:type w:val="continuous"/>
          <w:pgSz w:w="11906" w:h="16838" w:code="9"/>
          <w:pgMar w:top="1673" w:right="936" w:bottom="1134" w:left="936" w:header="709" w:footer="709" w:gutter="0"/>
          <w:cols w:num="2" w:space="709"/>
          <w:docGrid w:linePitch="360"/>
        </w:sectPr>
      </w:pPr>
      <w:r w:rsidRPr="001C4CB9">
        <w:rPr>
          <w:b w:val="0"/>
          <w:sz w:val="17"/>
          <w:lang w:val="en-US"/>
        </w:rPr>
        <w:t>To monitor the activity of proteases, several approaches using FRET-quenched substrates have been employed on cells, tissues as well as in animal models</w:t>
      </w:r>
      <w:r w:rsidR="00536F0E" w:rsidRPr="001C4CB9">
        <w:rPr>
          <w:b w:val="0"/>
          <w:sz w:val="17"/>
          <w:lang w:val="en-US"/>
        </w:rPr>
        <w:fldChar w:fldCharType="begin"/>
      </w:r>
      <w:r w:rsidR="00910991" w:rsidRPr="001C4CB9">
        <w:rPr>
          <w:b w:val="0"/>
          <w:sz w:val="17"/>
          <w:lang w:val="en-US"/>
        </w:rPr>
        <w:instrText xml:space="preserve"> ADDIN ZOTERO_ITEM CSL_CITATION {"citationID":"Wc9yGkYF","properties":{"formattedCitation":"\\super [7\\uc0\\u8211{}10]\\nosupersub{}","plainCitation":"[7–10]","noteIndex":0},"citationItems":[{"id":844,"uris":["http://zotero.org/users/local/t888UWzB/items/N3NL8FUX"],"uri":["http://zotero.org/users/local/t888UWzB/items/N3NL8FUX"],"itemData":{"id":844,"type":"article-journal","abstract":"Proteases are considered of major importance in biomedical research because of their crucial roles in health and disease. Their ability to hydrolyze their protein and peptide substrates at single or multiple sites, depending on their specificity, makes them unique among the enzymes. Understanding protease specificity is therefore crucial to understand their biology as well as to develop tools and drugs. Recent advancements in the fields of proteomics and chemical biology have improved our understanding of protease biology through extensive specificity profiling and identification of physiological protease substrates. There are growing efforts to transfer this knowledge into clinical modalities, but their success is often limited because of overlapping protease features, protease redundancy, and chemical tools lacking specificity. Herein, we discuss the current trends and challenges in protease research and how to exploit the growing information on protease specificities for understanding protease biology, as well as for development of selective substrates, cleavable linkers, and activity-based probes and for biomarker discovery.","container-title":"Trends in Biochemical Sciences","DOI":"10.1016/j.tibs.2018.07.003","ISSN":"0968-0004","issue":"10","journalAbbreviation":"Trends Biochem. Sci.","language":"eng","note":"PMID: 30097385","page":"829-844","source":"PubMed","title":"Protease Specificity: Towards In Vivo Imaging Applications and Biomarker Discovery","title-short":"Protease Specificity","volume":"43","author":[{"family":"Vizovišek","given":"Matej"},{"family":"Vidmar","given":"Robert"},{"family":"Drag","given":"Marcin"},{"family":"Fonović","given":"Marko"},{"family":"Salvesen","given":"Guy S."},{"family":"Turk","given":"Boris"}],"issued":{"date-parts":[["2018"]]}}},{"id":472,"uris":["http://zotero.org/users/local/t888UWzB/items/UQ5CFZ33"],"uri":["http://zotero.org/users/local/t888UWzB/items/UQ5CFZ33"],"itemData":{"id":472,"type":"article-journal","abstract":"Proteases are involved in a wide variety of biologically and medically important events. They are entangled in a complex network of processes that regulate their activity, which makes their study intriguing, but challenging. For comprehensive understanding of protease biology and effective drug discovery, it is therefore essential to study proteases in models that are close to their complex native environments such as live cells or whole organisms. Protease activity can be detected by reporter substrates and activity-based probes, but not all of these reagents are suitable for intracellular or in vivo use. This review focuses on the detection of proteases in cells and in vivo. We summarize the use of probes and substrates as molecular tools, discuss strategies to deliver these tools inside cells, and describe sophisticated read-out techniques such as mass spectrometry and various imaging applications. This article is part of a Special Issue entitled: Physiological Enzymology and Protein Functions.","container-title":"Biochimica Et Biophysica Acta","DOI":"10.1016/j.bbapap.2015.04.029","ISSN":"0006-3002","issue":"1","journalAbbreviation":"Biochim. Biophys. Acta","language":"eng","note":"PMID: 25960278","page":"130-142","source":"PubMed","title":"Detection of protease activity in cells and animals","volume":"1864","author":[{"family":"Verdoes","given":"Martijn"},{"family":"Verhelst","given":"Steven H. L."}],"issued":{"date-parts":[["2016",1]]}}},{"id":988,"uris":["http://zotero.org/users/local/t888UWzB/items/SEYG42FD"],"uri":["http://zotero.org/users/local/t888UWzB/items/SEYG42FD"],"itemData":{"id":988,"type":"article-journal","abstract":"Early detection of both primary tumors and metastatic disease remains a major challenge in the diagnosis and staging of cancer. The recognition of the role of MMPs in both the growth and metastasis of tumors has guided the development not only of therapeutic strategies utilizing synthetic, small-molecule MMP inhibitors (MMPIs), but has also catalyzed methods to detect and image tumors in vivo by means of tumor-associated proteolytic activity. These imaging approaches target MMPs involved in cancer progression via contrast agents linked to MMPIs or to MMP selective and specific substrates with sensitivity enhanced by amplification during enzymatic processing. This review draws attention to a variety of strategies utilized to image MMP activity in vivo.","container-title":"Cancer Metastasis Reviews","DOI":"10.1007/s10555-008-9152-9","ISSN":"0167-7659","issue":"4","journalAbbreviation":"Cancer Metastasis Rev","language":"eng","note":"PMID: 18465089","page":"679-690","source":"PubMed","title":"Imaging matrix metalloproteinases in cancer","volume":"27","author":[{"family":"Scherer","given":"Randy L."},{"family":"McIntyre","given":"J. Oliver"},{"family":"Matrisian","given":"Lynn M."}],"issued":{"date-parts":[["2008",12]]}}},{"id":147,"uris":["http://zotero.org/users/local/t888UWzB/items/2AHHVXTC"],"uri":["http://zotero.org/users/local/t888UWzB/items/2AHHVXTC"],"itemData":{"id":147,"type":"article-journal","abstract":"We demonstrate the first true real-time in vivo video imaging of extracellular protease expression using an ultrafast-acting and extended-use activatable probe. This simple, one-step technique is capable of boosting fluorescent signals upon target protease cleavage as early as 30 minutes from injection in a small animal model and is able to sustain the strong fluorescent signal up to 24 hours. Using this method, we video imaged the expression and inhibition of matrix metalloproteinases (MMPs) in a tumor-bearing mouse model. The current platform can be universally applied to any target protease of interest with a known peptide substrate and is adaptable to a wide range of real-time imaging applications with high throughputs such as for in vivo drug screening, examinations of the therapeutic efficacy of drugs, and monitoring of disease onset and development in animal models.","container-title":"Theranostics","ISSN":"1838-7640","journalAbbreviation":"Theranostics","note":"PMID: 21461134\nPMCID: PMC3068198","page":"18-27","source":"PubMed Central","title":"Real-Time Video Imaging of Protease Expression In Vivo","volume":"1","author":[{"family":"Zhu","given":"Lei"},{"family":"Xie","given":"Jin"},{"family":"Swierczewska","given":"Magdalena"},{"family":"Zhang","given":"Fan"},{"family":"Quan","given":"Qimeng"},{"family":"Ma","given":"Ying"},{"family":"Fang","given":"Xuexun"},{"family":"Kim","given":"Kwangmeyung"},{"family":"Lee","given":"Seulki"},{"family":"Chen","given":"Xiaoyuan"}],"issued":{"date-parts":[["2011",1,12]]}}}],"schema":"https://github.com/citation-style-language/schema/raw/master/csl-citation.json"} </w:instrText>
      </w:r>
      <w:r w:rsidR="00536F0E" w:rsidRPr="001C4CB9">
        <w:rPr>
          <w:b w:val="0"/>
          <w:sz w:val="17"/>
          <w:lang w:val="en-US"/>
        </w:rPr>
        <w:fldChar w:fldCharType="separate"/>
      </w:r>
      <w:r w:rsidR="00910991" w:rsidRPr="001C4CB9">
        <w:rPr>
          <w:rFonts w:cs="Arial"/>
          <w:sz w:val="17"/>
          <w:vertAlign w:val="superscript"/>
          <w:lang w:val="en-US"/>
        </w:rPr>
        <w:t>[7–10]</w:t>
      </w:r>
      <w:r w:rsidR="00536F0E" w:rsidRPr="001C4CB9">
        <w:rPr>
          <w:b w:val="0"/>
          <w:sz w:val="17"/>
          <w:lang w:val="en-US"/>
        </w:rPr>
        <w:fldChar w:fldCharType="end"/>
      </w:r>
      <w:r w:rsidRPr="001C4CB9">
        <w:rPr>
          <w:b w:val="0"/>
          <w:sz w:val="17"/>
          <w:lang w:val="en-US"/>
        </w:rPr>
        <w:t xml:space="preserve">. </w:t>
      </w:r>
      <w:r w:rsidR="00C32BC5" w:rsidRPr="001C4CB9">
        <w:rPr>
          <w:b w:val="0"/>
          <w:sz w:val="17"/>
          <w:lang w:val="en-US"/>
        </w:rPr>
        <w:t>Although</w:t>
      </w:r>
      <w:r w:rsidRPr="001C4CB9">
        <w:rPr>
          <w:b w:val="0"/>
          <w:sz w:val="17"/>
          <w:lang w:val="en-US"/>
        </w:rPr>
        <w:t xml:space="preserve"> these chemical tools provide sensitive and potentially high-resolution data on the status of proteases activation, they do not allow their unambiguous identification. To overcome these limitations, Activity-Based Probes (ABPs) have been developed to report directly the proteases functional status and have been successfully used for the profiling of active serine and cysteine proteases in cells and whole animals</w:t>
      </w:r>
      <w:r w:rsidR="00536F0E" w:rsidRPr="001C4CB9">
        <w:rPr>
          <w:b w:val="0"/>
          <w:sz w:val="17"/>
          <w:lang w:val="en-US"/>
        </w:rPr>
        <w:fldChar w:fldCharType="begin"/>
      </w:r>
      <w:r w:rsidR="00910991" w:rsidRPr="001C4CB9">
        <w:rPr>
          <w:b w:val="0"/>
          <w:sz w:val="17"/>
          <w:lang w:val="en-US"/>
        </w:rPr>
        <w:instrText xml:space="preserve"> ADDIN ZOTERO_ITEM CSL_CITATION {"citationID":"eGRaBEyX","properties":{"formattedCitation":"\\super [11\\uc0\\u8211{}14]\\nosupersub{}","plainCitation":"[11–14]","noteIndex":0},"citationItems":[{"id":842,"uris":["http://zotero.org/users/local/t888UWzB/items/6APFGDK6"],"uri":["http://zotero.org/users/local/t888UWzB/items/6APFGDK6"],"itemData":{"id":842,"type":"article-journal","abstract":"The activity of proteases is tightly regulated, and dysregulation is linked to a variety of human diseases. For this reason, ABPP is a well-suited method to study protease biology and the design of protease probes has pushed the boundaries of ABPP. The development of highly selective protease probes is still a challenging task. After an introduction, the first section of this chapter discusses several strategies to enable detection of a single active protease species. These range from the usage of non-natural amino acids, combination of probes with antibodies, and engineering of the target proteases. A next section describes the different types of detection tags that facilitate the read-out possibilities including various types of imaging methods and mass spectrometry-based target identification. The power of protease ABPP is illustrated by examples for a selected number of proteases. It is expected that some protease probes that have been evaluated in animal models of human disease will find translation into clinical application in the near future.","container-title":"Current Topics in Microbiology and Immunology","DOI":"10.1007/82_2018_138","ISSN":"0070-217X","journalAbbreviation":"Curr. Top. Microbiol. Immunol.","language":"eng","note":"PMID: 30244324","page":"253-281","source":"PubMed","title":"Recent Advances in Activity-Based Protein Profiling of Proteases","volume":"420","author":[{"family":"Chakrabarty","given":"Suravi"},{"family":"Kahler","given":"Jan Pascal"},{"family":"Plassche","given":"Merel A. T.","non-dropping-particle":"van de"},{"family":"Vanhoutte","given":"Roeland"},{"family":"Verhelst","given":"Steven H. L."}],"issued":{"date-parts":[["2019"]]}}},{"id":995,"uris":["http://zotero.org/users/local/t888UWzB/items/L54NYMQQ"],"uri":["http://zotero.org/users/local/t888UWzB/items/L54NYMQQ"],"itemData":{"id":995,"type":"article-journal","abstract":"Activity-based protein profiling (ABPP) has emerged as a powerful strategy to study the activity of enzymes in complex proteomes. The aim of ABPP is to selectively visualize only the active forms of particular enzymes using chemical probes termed activity-based probes (ABPs). These probes are directed to the active site of a particular target protein (or protein family) where they react in a mechanism-based manner with an active site residue. This results in the selective labeling of only the catalytically active form of the enzyme, usually in a covalent manner. Besides the monitoring of a specific enzymatic activity, ABPP strategies have also been used to identify and characterize (unknown) protein functions, to study up- and down-regulation of enzymatic activity in various disease states, to discover and evaluate putative new enzyme inhibitors, and to identify the protein targets of covalently binding natural products. In this Topical Review we will provide a brief overview of some of the recent developments in the field of ABPP.","container-title":"Bioconjugate Chemistry","DOI":"10.1021/bc500208y","ISSN":"1520-4812","issue":"7","journalAbbreviation":"Bioconjug Chem","language":"eng","note":"PMID: 24946272","page":"1181-1191","source":"PubMed","title":"Current developments in activity-based protein profiling","volume":"25","author":[{"family":"Willems","given":"Lianne I."},{"family":"Overkleeft","given":"Herman S."},{"family":"Kasteren","given":"Sander I.","non-dropping-particle":"van"}],"issued":{"date-parts":[["2014",7,16]]}}},{"id":510,"uris":["http://zotero.org/users/local/t888UWzB/items/BBT9NFT3"],"uri":["http://zotero.org/users/local/t888UWzB/items/BBT9NFT3"],"itemData":{"id":510,"type":"article-journal","abstract":"Proteases are important targets for the treatment of human disease. Several protease inhibitors have failed in clinical trials due to a lack of in vivo specificity, indicating the need for studies of protease function and inhibition in complex, disease-related models. The tight post-translational regulation of protease activity complicates protease analysis by traditional proteomics methods. Activity-based protein profiling is a powerful technique that can resolve this issue. It uses small-molecule tools-activity-based probes-to label and analyze active enzymes in lysates, cells, and whole animals. Over the last twelve years, a wide variety of protease activity-based probes have been developed. These synthetic efforts have enabled techniques ranging from real-time in vivo imaging of protease activity to high-throughput screening of uncharacterized proteases. This Review introduces the general principles of activity-based protein profiling and describes the recent advancements in probe design and analysis techniques, which have increased the knowledge of protease biology and will aid future protease drug discovery.","container-title":"ChemMedChem","DOI":"10.1002/cmdc.201200057","ISSN":"1860-7187","issue":"7","journalAbbreviation":"ChemMedChem","language":"eng","note":"PMID: 22431376","page":"1146-1159","source":"PubMed","title":"Activity-based probes for the study of proteases: recent advances and developments","title-short":"Activity-based probes for the study of proteases","volume":"7","author":[{"family":"Serim","given":"Sevnur"},{"family":"Haedke","given":"Ute"},{"family":"Verhelst","given":"Steven H. L."}],"issued":{"date-parts":[["2012",7]]}}},{"id":508,"uris":["http://zotero.org/users/local/t888UWzB/items/VC6BKDAG"],"uri":["http://zotero.org/users/local/t888UWzB/items/VC6BKDAG"],"itemData":{"id":508,"type":"article-journal","abstract":"Proteases are well-established targets for pharmaceutical development because of their known enzymatic mechanism and their regulatory roles in many pathologies. However, many potent clinical lead compounds have been unsuccessful either because of a lack of specificity or because of our limited understanding of the biological roles of the targeted protease. In order to successfully develop protease inhibitors as drugs, it is necessary to understand protease functions and to expand the platform of inhibitor development beyond active site-directed design and in vitro optimization. Several newly developed technologies will enhance assessment of drug selectivity in living cells and animal models, allowing researchers to focus on compounds with high specificity and minimal side effects in vivo. In this review, we highlight advances in the development of chemical probes, proteomic methods and screening tools that we feel will help facilitate this paradigm shift in drug discovery.","container-title":"Nature Structural &amp; Molecular Biology","DOI":"10.1038/nsmb.2203","ISSN":"1545-9985","issue":"1","journalAbbreviation":"Nat. Struct. Mol. Biol.","language":"eng","note":"PMID: 22218294\nPMCID: PMC3513415","page":"9-16","source":"PubMed","title":"New approaches for dissecting protease functions to improve probe development and drug discovery","volume":"19","author":[{"family":"Deu","given":"Edgar"},{"family":"Verdoes","given":"Martijn"},{"family":"Bogyo","given":"Matthew"}],"issued":{"date-parts":[["2012",1,5]]}}}],"schema":"https://github.com/citation-style-language/schema/raw/master/csl-citation.json"} </w:instrText>
      </w:r>
      <w:r w:rsidR="00536F0E" w:rsidRPr="001C4CB9">
        <w:rPr>
          <w:b w:val="0"/>
          <w:sz w:val="17"/>
          <w:lang w:val="en-US"/>
        </w:rPr>
        <w:fldChar w:fldCharType="separate"/>
      </w:r>
      <w:r w:rsidR="00910991" w:rsidRPr="001C4CB9">
        <w:rPr>
          <w:rFonts w:cs="Arial"/>
          <w:sz w:val="17"/>
          <w:vertAlign w:val="superscript"/>
          <w:lang w:val="en-US"/>
        </w:rPr>
        <w:t>[11–14]</w:t>
      </w:r>
      <w:r w:rsidR="00536F0E" w:rsidRPr="001C4CB9">
        <w:rPr>
          <w:b w:val="0"/>
          <w:sz w:val="17"/>
          <w:lang w:val="en-US"/>
        </w:rPr>
        <w:fldChar w:fldCharType="end"/>
      </w:r>
      <w:r w:rsidRPr="001C4CB9">
        <w:rPr>
          <w:b w:val="0"/>
          <w:sz w:val="17"/>
          <w:lang w:val="en-US"/>
        </w:rPr>
        <w:t xml:space="preserve">. All these probes contain an electrophilic “warhead” to react with </w:t>
      </w:r>
      <w:r w:rsidR="00365129" w:rsidRPr="001C4CB9">
        <w:rPr>
          <w:b w:val="0"/>
          <w:sz w:val="17"/>
          <w:lang w:val="en-US"/>
        </w:rPr>
        <w:t>the</w:t>
      </w:r>
      <w:r w:rsidRPr="001C4CB9">
        <w:rPr>
          <w:b w:val="0"/>
          <w:sz w:val="17"/>
          <w:lang w:val="en-US"/>
        </w:rPr>
        <w:t xml:space="preserve"> catalytic nucleophile present within the protease active site and an analytical handle for subsequent </w:t>
      </w:r>
      <w:r w:rsidR="00704157" w:rsidRPr="001C4CB9">
        <w:rPr>
          <w:b w:val="0"/>
          <w:sz w:val="17"/>
          <w:lang w:val="en-US"/>
        </w:rPr>
        <w:t>detection</w:t>
      </w:r>
      <w:r w:rsidR="00A96436" w:rsidRPr="001C4CB9">
        <w:rPr>
          <w:b w:val="0"/>
          <w:sz w:val="17"/>
          <w:lang w:val="en-US"/>
        </w:rPr>
        <w:t xml:space="preserve"> and identification</w:t>
      </w:r>
      <w:r w:rsidR="00704157" w:rsidRPr="001C4CB9">
        <w:rPr>
          <w:b w:val="0"/>
          <w:sz w:val="17"/>
          <w:lang w:val="en-US"/>
        </w:rPr>
        <w:t xml:space="preserve"> of the covalent adduct</w:t>
      </w:r>
      <w:r w:rsidRPr="001C4CB9">
        <w:rPr>
          <w:b w:val="0"/>
          <w:sz w:val="17"/>
          <w:lang w:val="en-US"/>
        </w:rPr>
        <w:t xml:space="preserve">. </w:t>
      </w:r>
    </w:p>
    <w:p w:rsidR="00640F85" w:rsidRPr="001C4CB9" w:rsidRDefault="00B7416A" w:rsidP="002B3201">
      <w:pPr>
        <w:pStyle w:val="H1"/>
        <w:spacing w:before="0" w:after="0"/>
        <w:jc w:val="both"/>
        <w:rPr>
          <w:b w:val="0"/>
          <w:sz w:val="14"/>
          <w:szCs w:val="14"/>
          <w:lang w:val="en-US"/>
        </w:rPr>
      </w:pPr>
      <w:r>
        <w:rPr>
          <w:noProof/>
          <w:sz w:val="14"/>
          <w:szCs w:val="14"/>
          <w:lang w:val="en-US"/>
        </w:rPr>
        <w:lastRenderedPageBreak/>
        <w:drawing>
          <wp:anchor distT="0" distB="0" distL="114300" distR="114300" simplePos="0" relativeHeight="251698176" behindDoc="0" locked="0" layoutInCell="1" allowOverlap="1">
            <wp:simplePos x="0" y="0"/>
            <wp:positionH relativeFrom="column">
              <wp:posOffset>3810</wp:posOffset>
            </wp:positionH>
            <wp:positionV relativeFrom="paragraph">
              <wp:posOffset>-3463925</wp:posOffset>
            </wp:positionV>
            <wp:extent cx="6372000" cy="3578400"/>
            <wp:effectExtent l="0" t="0" r="3810" b="3175"/>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72000" cy="3578400"/>
                    </a:xfrm>
                    <a:prstGeom prst="rect">
                      <a:avLst/>
                    </a:prstGeom>
                  </pic:spPr>
                </pic:pic>
              </a:graphicData>
            </a:graphic>
            <wp14:sizeRelH relativeFrom="margin">
              <wp14:pctWidth>0</wp14:pctWidth>
            </wp14:sizeRelH>
            <wp14:sizeRelV relativeFrom="margin">
              <wp14:pctHeight>0</wp14:pctHeight>
            </wp14:sizeRelV>
          </wp:anchor>
        </w:drawing>
      </w:r>
      <w:r w:rsidR="00640F85" w:rsidRPr="001C4CB9">
        <w:rPr>
          <w:sz w:val="14"/>
          <w:szCs w:val="14"/>
          <w:lang w:val="en-US"/>
        </w:rPr>
        <w:t>Figure 1</w:t>
      </w:r>
      <w:r w:rsidR="00640F85" w:rsidRPr="001C4CB9">
        <w:rPr>
          <w:b w:val="0"/>
          <w:sz w:val="14"/>
          <w:szCs w:val="14"/>
          <w:lang w:val="en-US"/>
        </w:rPr>
        <w:t xml:space="preserve">. Design of the </w:t>
      </w:r>
      <w:r w:rsidR="00294897" w:rsidRPr="001C4CB9">
        <w:rPr>
          <w:b w:val="0"/>
          <w:sz w:val="14"/>
          <w:szCs w:val="14"/>
          <w:lang w:val="en-US"/>
        </w:rPr>
        <w:t>a</w:t>
      </w:r>
      <w:r w:rsidR="00640F85" w:rsidRPr="001C4CB9">
        <w:rPr>
          <w:b w:val="0"/>
          <w:sz w:val="14"/>
          <w:szCs w:val="14"/>
          <w:lang w:val="en-US"/>
        </w:rPr>
        <w:t>ffinity probes. A) Crystal structure of RXP470.1 in interaction with the catalytic domain of human rhMMP-12 (PDB code: 4GQL, 1.15 Å), rhMMP12 is represented as surface and RXP470.1 inhibitor as green stick. The catalytic zinc ion is shown as a grey ball. The potential nucleophilic residues</w:t>
      </w:r>
      <w:r w:rsidR="00874AFE" w:rsidRPr="001C4CB9">
        <w:rPr>
          <w:b w:val="0"/>
          <w:sz w:val="14"/>
          <w:szCs w:val="14"/>
          <w:lang w:val="en-US"/>
        </w:rPr>
        <w:t>,</w:t>
      </w:r>
      <w:r w:rsidR="00640F85" w:rsidRPr="001C4CB9">
        <w:rPr>
          <w:b w:val="0"/>
          <w:sz w:val="14"/>
          <w:szCs w:val="14"/>
          <w:lang w:val="en-US"/>
        </w:rPr>
        <w:t xml:space="preserve"> facing the P</w:t>
      </w:r>
      <w:r w:rsidR="00640F85" w:rsidRPr="001C4CB9">
        <w:rPr>
          <w:b w:val="0"/>
          <w:sz w:val="14"/>
          <w:szCs w:val="14"/>
          <w:vertAlign w:val="subscript"/>
          <w:lang w:val="en-US"/>
        </w:rPr>
        <w:t>3</w:t>
      </w:r>
      <w:r w:rsidR="00640F85" w:rsidRPr="001C4CB9">
        <w:rPr>
          <w:b w:val="0"/>
          <w:sz w:val="14"/>
          <w:szCs w:val="14"/>
          <w:lang w:val="en-US"/>
        </w:rPr>
        <w:t>’ position</w:t>
      </w:r>
      <w:r w:rsidR="00874AFE" w:rsidRPr="001C4CB9">
        <w:rPr>
          <w:b w:val="0"/>
          <w:sz w:val="14"/>
          <w:szCs w:val="14"/>
          <w:lang w:val="en-US"/>
        </w:rPr>
        <w:t>,</w:t>
      </w:r>
      <w:r w:rsidR="00640F85" w:rsidRPr="001C4CB9">
        <w:rPr>
          <w:b w:val="0"/>
          <w:sz w:val="14"/>
          <w:szCs w:val="14"/>
          <w:lang w:val="en-US"/>
        </w:rPr>
        <w:t xml:space="preserve"> are shown as red, green and blue sticks for Lys</w:t>
      </w:r>
      <w:r w:rsidR="00640F85" w:rsidRPr="001C4CB9">
        <w:rPr>
          <w:b w:val="0"/>
          <w:sz w:val="14"/>
          <w:szCs w:val="14"/>
          <w:vertAlign w:val="superscript"/>
          <w:lang w:val="en-US"/>
        </w:rPr>
        <w:t>177</w:t>
      </w:r>
      <w:r w:rsidR="00640F85" w:rsidRPr="001C4CB9">
        <w:rPr>
          <w:b w:val="0"/>
          <w:sz w:val="14"/>
          <w:szCs w:val="14"/>
          <w:lang w:val="en-US"/>
        </w:rPr>
        <w:t>/Lys</w:t>
      </w:r>
      <w:r w:rsidR="00640F85" w:rsidRPr="001C4CB9">
        <w:rPr>
          <w:b w:val="0"/>
          <w:sz w:val="14"/>
          <w:szCs w:val="14"/>
          <w:vertAlign w:val="superscript"/>
          <w:lang w:val="en-US"/>
        </w:rPr>
        <w:t>241</w:t>
      </w:r>
      <w:r w:rsidR="00640F85" w:rsidRPr="001C4CB9">
        <w:rPr>
          <w:b w:val="0"/>
          <w:sz w:val="14"/>
          <w:szCs w:val="14"/>
          <w:lang w:val="en-US"/>
        </w:rPr>
        <w:t>, Thr</w:t>
      </w:r>
      <w:r w:rsidR="00640F85" w:rsidRPr="001C4CB9">
        <w:rPr>
          <w:b w:val="0"/>
          <w:sz w:val="14"/>
          <w:szCs w:val="14"/>
          <w:vertAlign w:val="superscript"/>
          <w:lang w:val="en-US"/>
        </w:rPr>
        <w:t>210</w:t>
      </w:r>
      <w:r w:rsidR="00640F85" w:rsidRPr="001C4CB9">
        <w:rPr>
          <w:b w:val="0"/>
          <w:sz w:val="14"/>
          <w:szCs w:val="14"/>
          <w:lang w:val="en-US"/>
        </w:rPr>
        <w:t xml:space="preserve"> and Tyr</w:t>
      </w:r>
      <w:r w:rsidR="00640F85" w:rsidRPr="001C4CB9">
        <w:rPr>
          <w:b w:val="0"/>
          <w:sz w:val="14"/>
          <w:szCs w:val="14"/>
          <w:vertAlign w:val="superscript"/>
          <w:lang w:val="en-US"/>
        </w:rPr>
        <w:t>240</w:t>
      </w:r>
      <w:r w:rsidR="00640F85" w:rsidRPr="001C4CB9">
        <w:rPr>
          <w:b w:val="0"/>
          <w:sz w:val="14"/>
          <w:szCs w:val="14"/>
          <w:lang w:val="en-US"/>
        </w:rPr>
        <w:t xml:space="preserve"> respectively. The distances between the P</w:t>
      </w:r>
      <w:r w:rsidR="00640F85" w:rsidRPr="001C4CB9">
        <w:rPr>
          <w:b w:val="0"/>
          <w:sz w:val="14"/>
          <w:szCs w:val="14"/>
          <w:vertAlign w:val="subscript"/>
          <w:lang w:val="en-US"/>
        </w:rPr>
        <w:t>3</w:t>
      </w:r>
      <w:r w:rsidR="00640F85" w:rsidRPr="001C4CB9">
        <w:rPr>
          <w:b w:val="0"/>
          <w:sz w:val="14"/>
          <w:szCs w:val="14"/>
          <w:lang w:val="en-US"/>
        </w:rPr>
        <w:t xml:space="preserve">’ side chain and potential nucleophiles are given in Å. B) Chemical structure of acyl imidazole and </w:t>
      </w:r>
      <w:r w:rsidR="00294897" w:rsidRPr="001C4CB9">
        <w:rPr>
          <w:b w:val="0"/>
          <w:sz w:val="14"/>
          <w:szCs w:val="14"/>
          <w:lang w:val="en-US"/>
        </w:rPr>
        <w:t xml:space="preserve">N-acyl-N-alkyl </w:t>
      </w:r>
      <w:proofErr w:type="spellStart"/>
      <w:r w:rsidR="00294897" w:rsidRPr="001C4CB9">
        <w:rPr>
          <w:b w:val="0"/>
          <w:sz w:val="14"/>
          <w:szCs w:val="14"/>
          <w:lang w:val="en-US"/>
        </w:rPr>
        <w:t>sulphonamide</w:t>
      </w:r>
      <w:proofErr w:type="spellEnd"/>
      <w:r w:rsidR="00294897" w:rsidRPr="001C4CB9">
        <w:rPr>
          <w:b w:val="0"/>
          <w:sz w:val="14"/>
          <w:szCs w:val="14"/>
          <w:lang w:val="en-US"/>
        </w:rPr>
        <w:t xml:space="preserve"> (NASA)</w:t>
      </w:r>
      <w:r w:rsidR="00640F85" w:rsidRPr="001C4CB9">
        <w:rPr>
          <w:b w:val="0"/>
          <w:sz w:val="14"/>
          <w:szCs w:val="14"/>
          <w:lang w:val="en-US"/>
        </w:rPr>
        <w:t xml:space="preserve"> cleavable electrophiles that preferentially react with Lys/</w:t>
      </w:r>
      <w:proofErr w:type="spellStart"/>
      <w:r w:rsidR="00640F85" w:rsidRPr="001C4CB9">
        <w:rPr>
          <w:b w:val="0"/>
          <w:sz w:val="14"/>
          <w:szCs w:val="14"/>
          <w:lang w:val="en-US"/>
        </w:rPr>
        <w:t>Thr</w:t>
      </w:r>
      <w:proofErr w:type="spellEnd"/>
      <w:r w:rsidR="00640F85" w:rsidRPr="001C4CB9">
        <w:rPr>
          <w:b w:val="0"/>
          <w:sz w:val="14"/>
          <w:szCs w:val="14"/>
          <w:lang w:val="en-US"/>
        </w:rPr>
        <w:t xml:space="preserve">/Tyr and Lys respectively. C) Chemical structure of activity-based probes </w:t>
      </w:r>
      <w:proofErr w:type="spellStart"/>
      <w:r w:rsidR="00640F85" w:rsidRPr="001C4CB9">
        <w:rPr>
          <w:b w:val="0"/>
          <w:sz w:val="14"/>
          <w:szCs w:val="14"/>
          <w:lang w:val="en-US"/>
        </w:rPr>
        <w:t>harbouring</w:t>
      </w:r>
      <w:proofErr w:type="spellEnd"/>
      <w:r w:rsidR="00640F85" w:rsidRPr="001C4CB9">
        <w:rPr>
          <w:b w:val="0"/>
          <w:sz w:val="14"/>
          <w:szCs w:val="14"/>
          <w:lang w:val="en-US"/>
        </w:rPr>
        <w:t xml:space="preserve"> either an acyl imidazole (probe </w:t>
      </w:r>
      <w:r w:rsidR="00640F85" w:rsidRPr="001C4CB9">
        <w:rPr>
          <w:sz w:val="14"/>
          <w:szCs w:val="14"/>
          <w:lang w:val="en-US"/>
        </w:rPr>
        <w:t>1</w:t>
      </w:r>
      <w:r w:rsidR="00640F85" w:rsidRPr="001C4CB9">
        <w:rPr>
          <w:b w:val="0"/>
          <w:sz w:val="14"/>
          <w:szCs w:val="14"/>
          <w:lang w:val="en-US"/>
        </w:rPr>
        <w:t xml:space="preserve">) or NASA (probe </w:t>
      </w:r>
      <w:r w:rsidR="00640F85" w:rsidRPr="001C4CB9">
        <w:rPr>
          <w:sz w:val="14"/>
          <w:szCs w:val="14"/>
          <w:lang w:val="en-US"/>
        </w:rPr>
        <w:t>2</w:t>
      </w:r>
      <w:r w:rsidR="00640F85" w:rsidRPr="001C4CB9">
        <w:rPr>
          <w:b w:val="0"/>
          <w:sz w:val="14"/>
          <w:szCs w:val="14"/>
          <w:lang w:val="en-US"/>
        </w:rPr>
        <w:t>) cleavable electrophile</w:t>
      </w:r>
      <w:r w:rsidR="00874AFE" w:rsidRPr="001C4CB9">
        <w:rPr>
          <w:b w:val="0"/>
          <w:sz w:val="14"/>
          <w:szCs w:val="14"/>
          <w:lang w:val="en-US"/>
        </w:rPr>
        <w:t>.</w:t>
      </w:r>
    </w:p>
    <w:p w:rsidR="00640F85" w:rsidRPr="001C4CB9" w:rsidRDefault="00640F85" w:rsidP="002B3201">
      <w:pPr>
        <w:pStyle w:val="H1"/>
        <w:spacing w:before="0" w:after="0"/>
        <w:jc w:val="both"/>
        <w:rPr>
          <w:b w:val="0"/>
          <w:sz w:val="17"/>
          <w:lang w:val="en-US"/>
        </w:rPr>
      </w:pPr>
    </w:p>
    <w:p w:rsidR="00640F85" w:rsidRPr="001C4CB9" w:rsidRDefault="00640F85" w:rsidP="002B3201">
      <w:pPr>
        <w:pStyle w:val="H1"/>
        <w:spacing w:before="0" w:after="0"/>
        <w:jc w:val="both"/>
        <w:rPr>
          <w:b w:val="0"/>
          <w:sz w:val="17"/>
          <w:lang w:val="en-US"/>
        </w:rPr>
        <w:sectPr w:rsidR="00640F85" w:rsidRPr="001C4CB9" w:rsidSect="0092153A">
          <w:type w:val="continuous"/>
          <w:pgSz w:w="11906" w:h="16838" w:code="9"/>
          <w:pgMar w:top="1673" w:right="936" w:bottom="1134" w:left="936" w:header="709" w:footer="709" w:gutter="0"/>
          <w:cols w:space="709"/>
          <w:docGrid w:linePitch="360"/>
        </w:sectPr>
      </w:pPr>
    </w:p>
    <w:p w:rsidR="00B606D5" w:rsidRPr="001C4CB9" w:rsidRDefault="009E39B7" w:rsidP="002B3201">
      <w:pPr>
        <w:pStyle w:val="H1"/>
        <w:spacing w:before="0" w:after="0"/>
        <w:jc w:val="both"/>
        <w:rPr>
          <w:lang w:val="en-US"/>
        </w:rPr>
      </w:pPr>
      <w:r w:rsidRPr="001C4CB9">
        <w:rPr>
          <w:b w:val="0"/>
          <w:sz w:val="17"/>
          <w:lang w:val="en-US"/>
        </w:rPr>
        <w:t xml:space="preserve">This approach is however not straightforward applicable to metalloproteinases, which </w:t>
      </w:r>
      <w:r w:rsidR="00B606D5" w:rsidRPr="001C4CB9">
        <w:rPr>
          <w:b w:val="0"/>
          <w:sz w:val="17"/>
          <w:lang w:val="en-US"/>
        </w:rPr>
        <w:t xml:space="preserve">lack a </w:t>
      </w:r>
      <w:r w:rsidR="00FA7EC7" w:rsidRPr="001C4CB9">
        <w:rPr>
          <w:b w:val="0"/>
          <w:sz w:val="17"/>
          <w:lang w:val="en-US"/>
        </w:rPr>
        <w:t>canonical</w:t>
      </w:r>
      <w:r w:rsidR="00B606D5" w:rsidRPr="001C4CB9">
        <w:rPr>
          <w:b w:val="0"/>
          <w:sz w:val="17"/>
          <w:lang w:val="en-US"/>
        </w:rPr>
        <w:t xml:space="preserve"> nucleophile involved </w:t>
      </w:r>
      <w:r w:rsidR="008C6C4F" w:rsidRPr="001C4CB9">
        <w:rPr>
          <w:b w:val="0"/>
          <w:sz w:val="17"/>
          <w:lang w:val="en-US"/>
        </w:rPr>
        <w:t xml:space="preserve">in </w:t>
      </w:r>
      <w:r w:rsidR="00B606D5" w:rsidRPr="001C4CB9">
        <w:rPr>
          <w:b w:val="0"/>
          <w:sz w:val="17"/>
          <w:lang w:val="en-US"/>
        </w:rPr>
        <w:t xml:space="preserve">catalysis. In this case, ABPs </w:t>
      </w:r>
      <w:r w:rsidR="00DF5C16" w:rsidRPr="001C4CB9">
        <w:rPr>
          <w:b w:val="0"/>
          <w:sz w:val="17"/>
          <w:lang w:val="en-US"/>
        </w:rPr>
        <w:t xml:space="preserve">must </w:t>
      </w:r>
      <w:r w:rsidR="00B606D5" w:rsidRPr="001C4CB9">
        <w:rPr>
          <w:b w:val="0"/>
          <w:sz w:val="17"/>
          <w:lang w:val="en-US"/>
        </w:rPr>
        <w:t xml:space="preserve">incorporate a photo labile group, that promotes the formation of a covalent bond under </w:t>
      </w:r>
      <w:r w:rsidR="00365129" w:rsidRPr="001C4CB9">
        <w:rPr>
          <w:b w:val="0"/>
          <w:sz w:val="17"/>
          <w:lang w:val="en-US"/>
        </w:rPr>
        <w:t>photo</w:t>
      </w:r>
      <w:r w:rsidR="00B606D5" w:rsidRPr="001C4CB9">
        <w:rPr>
          <w:b w:val="0"/>
          <w:sz w:val="17"/>
          <w:lang w:val="en-US"/>
        </w:rPr>
        <w:t>-irradiation</w:t>
      </w:r>
      <w:r w:rsidR="00910991" w:rsidRPr="001C4CB9">
        <w:rPr>
          <w:b w:val="0"/>
          <w:sz w:val="17"/>
          <w:lang w:val="en-US"/>
        </w:rPr>
        <w:fldChar w:fldCharType="begin"/>
      </w:r>
      <w:r w:rsidR="00910991" w:rsidRPr="001C4CB9">
        <w:rPr>
          <w:b w:val="0"/>
          <w:sz w:val="17"/>
          <w:lang w:val="en-US"/>
        </w:rPr>
        <w:instrText xml:space="preserve"> ADDIN ZOTERO_ITEM CSL_CITATION {"citationID":"nzgT9i9g","properties":{"formattedCitation":"\\super [15\\uc0\\u8211{}24]\\nosupersub{}","plainCitation":"[15–24]","noteIndex":0},"citationItems":[{"id":427,"uris":["http://zotero.org/users/local/t888UWzB/items/TZRQGUKV"],"uri":["http://zotero.org/users/local/t888UWzB/items/TZRQGUKV"],"itemData":{"id":427,"type":"article-journal","abstract":"Metalloproteases (MPs) are a large and diverse class of enzymes implicated in numerous physiological and pathological processes, including tissue remodeling, peptide hormone processing, and cancer. MPs are tightly regulated by multiple posttranslational mechanisms in vivo, hindering their functional analysis by conventional genomic and proteomic methods. Here we describe a general strategy for creating activity-based proteomic probes for MPs by coupling a zinc-chelating hydroxamate to a benzophenone photocrosslinker, which promote selective binding and modification of MP active sites, respectively. These probes labeled active MPs but not their zymogen or inhibitor-bound counterparts and were used to identify members of this enzyme class up-regulated in invasive cancer cells and to evaluate the selectivity of MP inhibitors in whole proteomes. Interestingly, the matrix metalloproteinase inhibitor GM6001 (ilomastat), which is currently in clinical development, was found to also target the neprilysin, aminopeptidase, and dipeptidylpeptidase clans of MPs. These results demonstrate that MPs can display overlapping inhibitor sensitivities despite lacking sequence homology and stress the need to evaluate MP inhibitors broadly across this enzyme class to develop agents with suitable target selectivities in vivo. Activity-based profiling offers a powerful means for conducting such screens, as this approach can be carried out directly in whole proteomes, thereby facilitating the discovery of disease-associated MPs concurrently with inhibitors that selectively target these proteins.","container-title":"Proceedings of the National Academy of Sciences of the United States of America","DOI":"10.1073/pnas.0402784101","ISSN":"0027-8424","issue":"27","journalAbbreviation":"Proc. Natl. Acad. Sci. U.S.A.","language":"eng","note":"PMID: 15220480\nPMCID: PMC454150","page":"10000-10005","source":"PubMed","title":"Activity-based probes for the proteomic profiling of metalloproteases","volume":"101","author":[{"family":"Saghatelian","given":"Alan"},{"family":"Jessani","given":"Nadim"},{"family":"Joseph","given":"Arul"},{"family":"Humphrey","given":"Mark"},{"family":"Cravatt","given":"Benjamin F."}],"issued":{"date-parts":[["2004",7,6]]}}},{"id":9,"uris":["http://zotero.org/users/local/t888UWzB/items/WGF75NDZ"],"uri":["http://zotero.org/users/local/t888UWzB/items/WGF75NDZ"],"itemData":{"id":9,"type":"article-journal","abstract":"The denaturing aspect of current activity-based protein profiling strategies limits the classes of chemical probes to those which irreversibly and covalently modify their targeting enzymes. Herein, we present a complimentary, affinity-based labeling approach to profile enzymes which do not possess covalently bound substrate intermediates. Using a variety of enzymes belonging to the class of metalloproteases, the feasibility of the approach was successfully demonstrated in several proof-of-concept experiments. The design template of affinity-based probes targeting metalloproteases consists of a peptidyl hydroxamate zinc-binding group (ZBG), a fluorescent reporter tag, and a photolabile diazirine group. Photolysis of the photolabile unit in the probe effectively generates a covalent, irreversible linkage between the probe and the target enzyme, rendering the enzyme distinguishable from unlabeled proteins upon separation on a SDS-PAGE gel. A variety of labeling studies were carried out to confirm that the affinity-based approach selectively labeled metalloproteases in the presence of a large excess of other proteins and that the success of the labeling reaction depends intimately upon the catalytic activity of the enzyme. Addition of competitive inhibitors proportionally diminished the extent of enzyme labeling, making the approach useful for potential in situ screening of metalloprotease inhibitors. Using different probes with varying P1 amino acids, we were able to generate unique “fingerprint” profiles of enzymes which may be used to determine their substrate specificities. Finally, by testing against a panel of yeast metalloproteases, we demonstrated that the affinity-based approach may be used for the large-scale profiling of metalloproteases in future proteomic experiments.","container-title":"Journal of the American Chemical Society","DOI":"10.1021/ja047044i","ISSN":"0002-7863","issue":"44","journalAbbreviation":"J. Am. Chem. Soc.","page":"14435-14446","source":"ACS Publications","title":"Developing Photoactive Affinity Probes for Proteomic Profiling:  Hydroxamate-based Probes for Metalloproteases","title-short":"Developing Photoactive Affinity Probes for Proteomic Profiling","volume":"126","author":[{"family":"Chan","given":"Elaine W. S."},{"family":"Chattopadhaya","given":"Souvik"},{"family":"Panicker","given":"Resmi C."},{"family":"Huang","given":"Xuan"},{"family":"Yao","given":"Shao Q."}],"issued":{"date-parts":[["2004",11,1]]}}},{"id":459,"uris":["http://zotero.org/users/local/t888UWzB/items/XQKBA5A4"],"uri":["http://zotero.org/users/local/t888UWzB/items/XQKBA5A4"],"itemData":{"id":459,"type":"article-journal","abstract":"Metalloproteases are a large, diverse class of enzymes involved in many physiological and disease processes. Metalloproteases are regulated by post-translational mechanisms that diminish the effectiveness of conventional genomic and proteomic methods for their functional characterization. Chemical probes directed at active sites offer a potential way to measure metalloprotease activities in biological systems; however, large variations in structure limit the scope of any single small-molecule probe aimed at profiling this enzyme class. Here, we address this problem by creating a library of metalloprotease-directed probes that show complementary target selectivity. These probes were applied as a 'cocktail' to proteomes and their labeling profiles were analyzed collectively using an advanced liquid chromatography-mass spectrometry platform. More than 20 metalloproteases were identified, including members from nearly all of the major branches of this enzyme class. These findings suggest that chemical proteomic methods can serve as a universal strategy to profile the activity of the metalloprotease superfamily in complex biological systems.","container-title":"Nature Chemical Biology","DOI":"10.1038/nchembio781","ISSN":"1552-4450","issue":"5","journalAbbreviation":"Nat. Chem. Biol.","language":"eng","note":"PMID: 16565715\nPMCID: PMC1538544","page":"274-281","source":"PubMed","title":"Proteomic profiling of metalloprotease activities with cocktails of active-site probes","volume":"2","author":[{"family":"Sieber","given":"Stephan A."},{"family":"Niessen","given":"Sherry"},{"family":"Hoover","given":"Heather S."},{"family":"Cravatt","given":"Benjamin F."}],"issued":{"date-parts":[["2006",5]]}}},{"id":1009,"uris":["http://zotero.org/users/local/t888UWzB/items/9MHJAFB6"],"uri":["http://zotero.org/users/local/t888UWzB/items/9MHJAFB6"],"itemData":{"id":1009,"type":"article-journal","abstract":"[reaction: see text] A novel solid-phase synthesis strategy toward succinylhydroxamate peptides, using an appropriately protected hydroxamate building block, is described. Rapid and efficient access is gained to amine-functionalized peptides, which can be decorated with, for instance, a fluorescent label. In addition, we demonstrate an on-resin synthesis of a biotinylated photoactivatable hydroxamate peptide, which can be used as an activity-based probe for matrix metalloproteinases and ADAMs.","container-title":"Organic Letters","DOI":"10.1021/ol060409e","ISSN":"1523-7060","issue":"8","journalAbbreviation":"Org Lett","language":"eng","note":"PMID: 16597146","page":"1705-1708","source":"PubMed","title":"Solid-phase synthesis of succinylhydroxamate peptides: functionalized matrix metalloproteinase inhibitors","title-short":"Solid-phase synthesis of succinylhydroxamate peptides","volume":"8","author":[{"family":"Leeuwenburgh","given":"Michiel A."},{"family":"Geurink","given":"Paul P."},{"family":"Klein","given":"Theo"},{"family":"Kauffman","given":"Henk F."},{"family":"Marel","given":"Gijs A.","non-dropping-particle":"van der"},{"family":"Bischoff","given":"Rainer"},{"family":"Overkleeft","given":"Herman S."}],"issued":{"date-parts":[["2006",4,13]]}}},{"id":292,"uris":["http://zotero.org/users/local/t888UWzB/items/HW72TE6D"],"uri":["http://zotero.org/users/local/t888UWzB/items/HW72TE6D"],"itemData":{"id":292,"type":"article-journal","abstract":"[reaction: see text] A panel of 96 metalloprotease inhibitors was assembled using \"click chemistry\" by reacting eight zinc-binding hydroxamate warheads with 12 azide building blocks. Screens of the bidentate compounds against representative metalloproteases provided discerning inhibition fingerprints, revealing compounds with low micromolar potency against MMP-7. The relative ease and convenience of the strategy in constructing focused chemical libraries for rapid in situ screening of MMPs is thereby demonstrated.","container-title":"Organic Letters","DOI":"10.1021/ol061431a","ISSN":"1523-7060","issue":"17","journalAbbreviation":"Org. Lett.","language":"eng","note":"PMID: 16898826","page":"3821-3824","source":"PubMed","title":"Rapid assembly of matrix metalloprotease inhibitors using click chemistry","volume":"8","author":[{"family":"Wang","given":"Jun"},{"family":"Uttamchandani","given":"Mahesh"},{"family":"Li","given":"Junqi"},{"family":"Hu","given":"Mingyu"},{"family":"Yao","given":"Shao Q."}],"issued":{"date-parts":[["2006",8,17]]}}},{"id":457,"uris":["http://zotero.org/users/local/t888UWzB/items/GVT28HTA"],"uri":["http://zotero.org/users/local/t888UWzB/items/GVT28HTA"],"itemData":{"id":457,"type":"article-journal","container-title":"Angewandte Chemie (International Ed. in English)","DOI":"10.1002/anie.200604408","ISSN":"1433-7851","issue":"18","journalAbbreviation":"Angew. Chem. Int. Ed. Engl.","language":"eng","note":"PMID: 17387672","page":"3275-3277","source":"PubMed","title":"Cross-linking yield variation of a potent matrix metalloproteinase photoaffinity probe and consequences for functional proteomics","volume":"46","author":[{"family":"David","given":"Arnaud"},{"family":"Steer","given":"David"},{"family":"Bregant","given":"Sarah"},{"family":"Devel","given":"Laurent"},{"family":"Makaritis","given":"Anastasios"},{"family":"Beau","given":"Fabrice"},{"family":"Yiotakis","given":"Athanasios"},{"family":"Dive","given":"Vincent"}],"issued":{"date-parts":[["2007"]]}}},{"id":435,"uris":["http://zotero.org/users/local/t888UWzB/items/IN6XQXIA"],"uri":["http://zotero.org/users/local/t888UWzB/items/IN6XQXIA"],"itemData":{"id":435,"type":"article-journal","abstract":"Activity-based protein profiling has come to the fore in recent years as a powerful strategy for studying enzyme activities in their natural surroundings. Substrate analogs that bind covalently and irreversibly to an enzyme active site and that are equipped with an identification or affinity tag can be used to unearth new enzyme activities, to establish whether and at what subcellular location the enzymes are active, and to study the inhibitory effects of small compounds. A specific class of activity-based protein probes includes those that employ a photo-activatable group to create the covalent bond. Such probes are targeted to those enzymes that do not employ a catalytic nucleophile that is part of the polypeptide backbone. An overview of the various photo-activatable groups that are available to chemical biology researchers is presented, with a focus on their (photo)chemistry and their application in various research fields. A number of comparative studies are described in which the efficiency of various photo-activatable groups are compared.","container-title":"Topics in Current Chemistry","DOI":"10.1007/128_2011_286","ISSN":"0340-1022","journalAbbreviation":"Top Curr Chem","language":"eng","note":"PMID: 22028098","page":"85-113","source":"PubMed","title":"Photoaffinity labeling in activity-based protein profiling","volume":"324","author":[{"family":"Geurink","given":"Paul P."},{"family":"Prely","given":"Laurette M."},{"family":"Marel","given":"Gijs A.","non-dropping-particle":"van der"},{"family":"Bischoff","given":"Rainer"},{"family":"Overkleeft","given":"Herman S."}],"issued":{"date-parts":[["2012"]]}}},{"id":391,"uris":["http://zotero.org/users/local/t888UWzB/items/JJJ5TATT"],"uri":["http://zotero.org/users/local/t888UWzB/items/JJJ5TATT"],"itemData":{"id":391,"type":"article-journal","abstract":"Various attempts to detect matrix metalloproteinase (MMP) active forms from complex proteomes, based on the use of specific photoactivatable affinity probes, have up to now failed. To overcome this failure, an affinity approach has been evaluated as an alternative to the photoaffinity one. For this purpose, two probes were synthesized to interact specifically with the active site of MMPs and allow isolation of MMP/probe complexes on magnetic beads through a biotin linker. Using phosphinic peptide chemistry, we prepared an affinity probe displaying picomolar potency toward several MMPs, and a related photoaffinity probe incorporating a photoactivatable azido group exhibiting subnanomolar affinity toward these targets. By a combination of silver-staining detection and MALDI peptide mass fingerprints, a systematic comparison was made of both strategies in terms of hMMP-12 and hMMP-8 recovery and identification when present in mixtures of different complexity. The results obtained show that the affinity protocol is superior to the photoaffinity strategy in terms of quantity of captured MMPs and number of MMP tryptic fragments detected in MALDI-MS. The specificity and efficiency of the affinity capture protocol developed in this study allowed easy, fast, and unambiguous detection by MALDI-MS of three hMMPs (2, 8, and 12), from a single affinity capture experiment, when added (10-36 ng of MMPs) to a tumor extract (10 microg). Thus, the tools and approaches reported should enable us to progress in the detection of endogenous active forms of MMPs in complex proteomes, an important objective with many diagnostic applications.","container-title":"Journal of Proteome Research","DOI":"10.1021/pr801069c","ISSN":"1535-3893","issue":"5","journalAbbreviation":"J. Proteome Res.","language":"ENG","note":"PMID: 19271733","page":"2484-2494","source":"PubMed","title":"Detection of matrix metalloproteinase active forms in complex proteomes: evaluation of affinity versus photoaffinity capture","title-short":"Detection of matrix metalloproteinase active forms in complex proteomes","volume":"8","author":[{"family":"Bregant","given":"Sarah"},{"family":"Huillet","given":"Céline"},{"family":"Devel","given":"Laurent"},{"family":"Dabert-Gay","given":"Anne-Sophie"},{"family":"Beau","given":"Fabrice"},{"family":"Thai","given":"Robert"},{"family":"Czarny","given":"Bertrand"},{"family":"Yiotakis","given":"Athanasios"},{"family":"Dive","given":"Vincent"}],"issued":{"date-parts":[["2009",5]]}}},{"id":393,"uris":["http://zotero.org/users/local/t888UWzB/items/DS98A5VR"],"uri":["http://zotero.org/users/local/t888UWzB/items/DS98A5VR"],"itemData":{"id":393,"type":"article-journal","abstract":"A photoaffinity probe based on the scaffold of a potent broad-spectrum phosphinic peptide inhibitor of matrix metalloproteinases (MMPs) has been developed. A photolabile diazirine group for covalent modification of MMP active forms was incorporated at the P(1) ' position, and a tritium radioactive label for the sensitive detection of MMP covalent adducts by radioimaging was attached. The probe was characterized on seven catalytic domains of human MMPs (MMP-2, -3, -8, -9, -12, -13 and -14) and was found to display nanomolar affinities towards this set of MMPs, covalently modifying them with crosslinking yields varying from 12 to 58 %, thus leading to highly sensitive detection of these MMPs. In a complex proteome complemented with four recombinant MMPs (MMP-2, -9, -12 and -13), this probe enabled their simultaneous detection with a threshold of few femtomoles and low background labelling. Those properties should make this new pan-activity-based MMP probe a valuable tool for the detection of MMP active forms from biological fluids or tissue extracts.","container-title":"Chembiochem: A European Journal of Chemical Biology","DOI":"10.1002/cbic.201200583","ISSN":"1439-7633","issue":"1","journalAbbreviation":"Chembiochem","language":"ENG","note":"PMID: 23203916","page":"107-114","source":"PubMed","title":"A pan photoaffinity probe for detecting active forms of matrix metalloproteinases","volume":"14","author":[{"family":"Nury","given":"Catherine"},{"family":"Czarny","given":"Bertrand"},{"family":"Cassar-Lajeunesse","given":"Evelyne"},{"family":"Georgiadis","given":"Dimitris"},{"family":"Bregant","given":"Sarah"},{"family":"Dive","given":"Vincent"}],"issued":{"date-parts":[["2013",1,2]]}}},{"id":433,"uris":["http://zotero.org/users/local/t888UWzB/items/CHQ2TBQZ"],"uri":["http://zotero.org/users/local/t888UWzB/items/CHQ2TBQZ"],"itemData":{"id":433,"type":"article-journal","abstract":"Metalloproteases, notably members of the matrix metalloprotease (MMP) and A Disintegrin And Metalloprotease (ADAM) families play crucial roles in tissue remodeling, the liberation of growth factors and cytokines from cell membranes (shedding) and cell-cell or cell-matrix interactions. Activity of MMPs or ADAMs must therefore be tightly controlled in time and space by activation of pro-enzymes upon appropriate stimuli and inhibition by endogenous tissue inhibitors of metalloproteases (TIMPs) or α2-macroglobulin to prevent irreversible tissue damage due to excessive degradation or uncontrolled release of potent inflammatory mediators, such as tumor necrosis factor-α (TNF-α).Although there is a wide range of methods to measure the amount of metalloproteases based on immunological approaches, relatively little is known about the activation status of a given enzyme at any given time and location. This information is, however, critical in order to understand the function and possible implication of these enzymes in disease. Since metalloproteases use an active-site bound water molecule to cleave the peptide bond, it is not possible to apply known active-site-directed labeling approaches with electrophilic \"warheads.\" We therefore developed novel metalloprotease inhibitors that contain a photoactivatable trifluoromethylphenyldiazirine group and show that such inhibitors are suitable for activity-dependent photoaffinity labeling of MMPs and ADAMs.","container-title":"Methods in Molecular Biology (Clifton, N.J.)","DOI":"10.1007/978-1-4939-6439-0_8","ISSN":"1940-6029","journalAbbreviation":"Methods Mol. Biol.","language":"eng","note":"PMID: 27778284","page":"103-111","source":"PubMed","title":"Activity-Dependent Photoaffinity Labeling of Metalloproteases","volume":"1491","author":[{"family":"Prely","given":"Laurette"},{"family":"Klein","given":"Theo"},{"family":"Geurink","given":"Paul P."},{"family":"Paal","given":"Krisztina"},{"family":"Overkleeft","given":"Herman S."},{"family":"Bischoff","given":"Rainer"}],"issued":{"date-parts":[["2017"]]}}}],"schema":"https://github.com/citation-style-language/schema/raw/master/csl-citation.json"}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[15–24]</w:t>
      </w:r>
      <w:r w:rsidR="00910991" w:rsidRPr="001C4CB9">
        <w:rPr>
          <w:b w:val="0"/>
          <w:sz w:val="17"/>
          <w:lang w:val="en-US"/>
        </w:rPr>
        <w:fldChar w:fldCharType="end"/>
      </w:r>
      <w:r w:rsidR="00B606D5" w:rsidRPr="001C4CB9">
        <w:rPr>
          <w:b w:val="0"/>
          <w:sz w:val="17"/>
          <w:lang w:val="en-US"/>
        </w:rPr>
        <w:t xml:space="preserve">. Such photoactivatable probes </w:t>
      </w:r>
      <w:r w:rsidR="00B35C2C" w:rsidRPr="001C4CB9">
        <w:rPr>
          <w:b w:val="0"/>
          <w:sz w:val="17"/>
          <w:lang w:val="en-US"/>
        </w:rPr>
        <w:t>were</w:t>
      </w:r>
      <w:r w:rsidR="00B606D5" w:rsidRPr="001C4CB9">
        <w:rPr>
          <w:b w:val="0"/>
          <w:sz w:val="17"/>
          <w:lang w:val="en-US"/>
        </w:rPr>
        <w:t xml:space="preserve"> successful</w:t>
      </w:r>
      <w:r w:rsidR="00B35C2C" w:rsidRPr="001C4CB9">
        <w:rPr>
          <w:b w:val="0"/>
          <w:sz w:val="17"/>
          <w:lang w:val="en-US"/>
        </w:rPr>
        <w:t>ly used</w:t>
      </w:r>
      <w:r w:rsidR="00B606D5" w:rsidRPr="001C4CB9">
        <w:rPr>
          <w:b w:val="0"/>
          <w:sz w:val="17"/>
          <w:lang w:val="en-US"/>
        </w:rPr>
        <w:t xml:space="preserve"> for the detection of metalloproteinases including </w:t>
      </w:r>
      <w:r w:rsidR="006F416C" w:rsidRPr="001C4CB9">
        <w:rPr>
          <w:b w:val="0"/>
          <w:sz w:val="17"/>
          <w:lang w:val="en-US"/>
        </w:rPr>
        <w:t>endogenous</w:t>
      </w:r>
      <w:r w:rsidR="002C55BE" w:rsidRPr="001C4CB9">
        <w:rPr>
          <w:b w:val="0"/>
          <w:sz w:val="17"/>
          <w:lang w:val="en-US"/>
        </w:rPr>
        <w:t xml:space="preserve"> </w:t>
      </w:r>
      <w:r w:rsidR="00B606D5" w:rsidRPr="001C4CB9">
        <w:rPr>
          <w:b w:val="0"/>
          <w:sz w:val="17"/>
          <w:lang w:val="en-US"/>
        </w:rPr>
        <w:t>native matrix-metalloproteases (MMPs) under their active forms in fluids and tissue extracts</w:t>
      </w:r>
      <w:r w:rsidR="00910991" w:rsidRPr="001C4CB9">
        <w:rPr>
          <w:b w:val="0"/>
          <w:sz w:val="17"/>
          <w:lang w:val="en-US"/>
        </w:rPr>
        <w:fldChar w:fldCharType="begin"/>
      </w:r>
      <w:r w:rsidR="00910991" w:rsidRPr="001C4CB9">
        <w:rPr>
          <w:b w:val="0"/>
          <w:sz w:val="17"/>
          <w:lang w:val="en-US"/>
        </w:rPr>
        <w:instrText xml:space="preserve"> ADDIN ZOTERO_ITEM CSL_CITATION {"citationID":"evuF9glQ","properties":{"formattedCitation":"\\super [23,25,26]\\nosupersub{}","plainCitation":"[23,25,26]","noteIndex":0},"citationItems":[{"id":393,"uris":["http://zotero.org/users/local/t888UWzB/items/DS98A5VR"],"uri":["http://zotero.org/users/local/t888UWzB/items/DS98A5VR"],"itemData":{"id":393,"type":"article-journal","abstract":"A photoaffinity probe based on the scaffold of a potent broad-spectrum phosphinic peptide inhibitor of matrix metalloproteinases (MMPs) has been developed. A photolabile diazirine group for covalent modification of MMP active forms was incorporated at the P(1) ' position, and a tritium radioactive label for the sensitive detection of MMP covalent adducts by radioimaging was attached. The probe was characterized on seven catalytic domains of human MMPs (MMP-2, -3, -8, -9, -12, -13 and -14) and was found to display nanomolar affinities towards this set of MMPs, covalently modifying them with crosslinking yields varying from 12 to 58 %, thus leading to highly sensitive detection of these MMPs. In a complex proteome complemented with four recombinant MMPs (MMP-2, -9, -12 and -13), this probe enabled their simultaneous detection with a threshold of few femtomoles and low background labelling. Those properties should make this new pan-activity-based MMP probe a valuable tool for the detection of MMP active forms from biological fluids or tissue extracts.","container-title":"Chembiochem: A European Journal of Chemical Biology","DOI":"10.1002/cbic.201200583","ISSN":"1439-7633","issue":"1","journalAbbreviation":"Chembiochem","language":"ENG","note":"PMID: 23203916","page":"107-114","source":"PubMed","title":"A pan photoaffinity probe for detecting active forms of matrix metalloproteinases","volume":"14","author":[{"family":"Nury","given":"Catherine"},{"family":"Czarny","given":"Bertrand"},{"family":"Cassar-Lajeunesse","given":"Evelyne"},{"family":"Georgiadis","given":"Dimitris"},{"family":"Bregant","given":"Sarah"},{"family":"Dive","given":"Vincent"}],"issued":{"date-parts":[["2013",1,2]]}}},{"id":1024,"uris":["http://zotero.org/users/local/t888UWzB/items/8NLRDQTX"],"uri":["http://zotero.org/users/local/t888UWzB/items/8NLRDQTX"],"itemData":{"id":1024,"type":"article-journal","abstract":"Active matrix metalloproteases (MMPs) play a significant role in the pathogenesis of many diseases including osteoarthritis (OA), which involves progressive proteolytic degradation of cartilage. Clinical success of OA interventions that target MMPs has been limited by a lack of information about the presence and activity of specific disease-related proteases. We therefore developed a chemoproteomics approach based on MS to characterize the release and activity of MMPs in an in vitro model of the early inflammatory phase of posttraumatic OA (PTOA). We designed and synthesized chemical activity-based probes (ABPs) to identify active MMPs in bovine cartilage explants cultured for 30 days with the proinflammatory cytokine, interleukin-1α. Using these probes in an activity-based protein profiling-multidimensional identification technology (ABPP-MudPIT) approach, we identified active MMP-1, -2, -3, -7, -9, -12, and -13 in the medium after 10 days of culture, the time at which irreversible proteolysis of the collagen network in the explant was detected using proteolytic activation of FRET-quenched MMP substrates. Total MMP levels were quantified by shotgun proteomics, which, taken with ABPP-MudPIT data, indicated the presence of predominantly inactive MMPs in the culture medium. The selectivity of the ABPP-MudPIT approach was further validated by detection of specific endogenous MMPs activated de novo with 4-aminophenylmurcuric acetate. The utility of the new ABPP-MudPIT approach for detecting molecular biomarkers of PTOA disease initiation and potential targets for therapeutics motivates possible application in other diseases involving MMP activity.","container-title":"The Journal of Biological Chemistry","DOI":"10.1074/jbc.M117.818542","ISSN":"1083-351X","issue":"29","journalAbbreviation":"J Biol Chem","language":"eng","note":"PMID: 29794029\nPMCID: PMC6065175","page":"11459-11469","source":"PubMed","title":"Chemoproteomics of matrix metalloproteases in a model of cartilage degeneration suggests functional biomarkers associated with posttraumatic osteoarthritis","volume":"293","author":[{"family":"Ravindra","given":"Kodihalli C."},{"family":"Ahrens","given":"Caroline C."},{"family":"Wang","given":"Yang"},{"family":"Ramseier","given":"Julie Y."},{"family":"Wishnok","given":"John S."},{"family":"Griffith","given":"Linda G."},{"family":"Grodzinsky","given":"Alan J."},{"family":"Tannenbaum","given":"Steven R."}],"issued":{"date-parts":[["2018"]],"season":"20"}}},{"id":868,"uris":["http://zotero.org/users/local/t888UWzB/items/ZKCAJDIL"],"uri":["http://zotero.org/users/local/t888UWzB/items/ZKCAJDIL"],"itemData":{"id":868,"type":"article-journal","abstract":"Metalloproteinases (MMPs) are zinc-dependent endopeptidases that cleave various proteins to regulate normal and diseased cellular functions, and as such, they play significant roles in human tissue development, homeostasis, and the pathogenesis of many diseases, including cancers, endometriosis, arthritis, etc. Most MMPs are produced as zymogenic latent enzymes that must be cleaved to activate their catalytic regions, and localized endogenous protein inhibitors further regulate activity. Accordingly, they operate within recursive networks to degrade extracellular matrix proteins and regulate cell signaling by cleaving growth factors and receptors at the cell surface and in the local pericellular environment. Thus, high-resolution information about the concentrations of specific active MMPs, revealing their intricate regulatory networks, may improve disease diagnosis and treatment. Here, we introduce a new and readily mastered method for measuring MMP activities in a multiplex fashion. We integrate aspects of activity-based enzyme labeling with commercial high-throughput, multiplexed protein quantification to yield the metalloproteinase activity multiplexed bead-based immunoassay (MAMBI). Assays of recombinant active MMP-1, -2, -3, -7, -8, -9, -12, and -13 establish the sensitivity and selectivity of MAMBI detection. Levels of active native MMPs are similarly characterized in conditioned cell culture medium, menstrual effluent, and uterine tissue. In a single MAMBI (5 μL), we achieve sensitivities equal to those from leading single-plex MMP activity detection strategies (e.g., 10-15 M for MMP-1). We also demonstrate high-throughput inhibitor screening via the MAMBI approach in complex, patient-derived samples.","container-title":"Biochemistry","DOI":"10.1021/acs.biochem.9b00584","ISSN":"1520-4995","issue":"38","journalAbbreviation":"Biochemistry","language":"eng","note":"PMID: 31474112","page":"3938-3942","source":"PubMed","title":"Development and Application of the Metalloprotease Activity Multiplexed Bead-Based Immunoassay (MAMBI)","volume":"58","author":[{"family":"Ahrens","given":"Caroline C."},{"family":"Chiswick","given":"Evan L."},{"family":"Ravindra","given":"Kodihalli C."},{"family":"Miller","given":"Miles A."},{"family":"Ramseier","given":"Julie Y."},{"family":"Isaacson","given":"Keith B."},{"family":"Lauffenburger","given":"Douglas A."},{"family":"Griffith","given":"Linda G."}],"issued":{"date-parts":[["2019"]],"season":"24"}}}],"schema":"https://github.com/citation-style-language/schema/raw/master/csl-citation.json"}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[23,25,26]</w:t>
      </w:r>
      <w:r w:rsidR="00910991" w:rsidRPr="001C4CB9">
        <w:rPr>
          <w:b w:val="0"/>
          <w:sz w:val="17"/>
          <w:lang w:val="en-US"/>
        </w:rPr>
        <w:fldChar w:fldCharType="end"/>
      </w:r>
      <w:r w:rsidR="00B606D5" w:rsidRPr="001C4CB9">
        <w:rPr>
          <w:b w:val="0"/>
          <w:sz w:val="17"/>
          <w:lang w:val="en-US"/>
        </w:rPr>
        <w:t xml:space="preserve">, but not in living animals where the photo-activation </w:t>
      </w:r>
      <w:r w:rsidR="00B35C2C" w:rsidRPr="001C4CB9">
        <w:rPr>
          <w:b w:val="0"/>
          <w:sz w:val="17"/>
          <w:lang w:val="en-US"/>
        </w:rPr>
        <w:t>process</w:t>
      </w:r>
      <w:r w:rsidR="00B606D5" w:rsidRPr="001C4CB9">
        <w:rPr>
          <w:b w:val="0"/>
          <w:sz w:val="17"/>
          <w:lang w:val="en-US"/>
        </w:rPr>
        <w:t xml:space="preserve"> remains difficult to implement.</w:t>
      </w:r>
      <w:r w:rsidR="00B606D5" w:rsidRPr="001C4CB9">
        <w:rPr>
          <w:lang w:val="en-US"/>
        </w:rPr>
        <w:t xml:space="preserve"> </w:t>
      </w:r>
      <w:r w:rsidR="00B606D5" w:rsidRPr="001C4CB9">
        <w:rPr>
          <w:b w:val="0"/>
          <w:sz w:val="17"/>
          <w:szCs w:val="17"/>
          <w:lang w:val="en-US"/>
        </w:rPr>
        <w:t xml:space="preserve">Among the very few alternatives proposed to </w:t>
      </w:r>
      <w:r w:rsidR="00A41A94" w:rsidRPr="001C4CB9">
        <w:rPr>
          <w:b w:val="0"/>
          <w:sz w:val="17"/>
          <w:szCs w:val="17"/>
          <w:lang w:val="en-US"/>
        </w:rPr>
        <w:t>circumvent</w:t>
      </w:r>
      <w:r w:rsidR="00B606D5" w:rsidRPr="001C4CB9">
        <w:rPr>
          <w:b w:val="0"/>
          <w:sz w:val="17"/>
          <w:szCs w:val="17"/>
          <w:lang w:val="en-US"/>
        </w:rPr>
        <w:t xml:space="preserve"> </w:t>
      </w:r>
      <w:r w:rsidR="00A41A94" w:rsidRPr="001C4CB9">
        <w:rPr>
          <w:b w:val="0"/>
          <w:sz w:val="17"/>
          <w:szCs w:val="17"/>
          <w:lang w:val="en-US"/>
        </w:rPr>
        <w:t>this</w:t>
      </w:r>
      <w:r w:rsidR="00674EFA" w:rsidRPr="001C4CB9">
        <w:rPr>
          <w:b w:val="0"/>
          <w:sz w:val="17"/>
          <w:szCs w:val="17"/>
          <w:lang w:val="en-US"/>
        </w:rPr>
        <w:t xml:space="preserve"> current</w:t>
      </w:r>
      <w:r w:rsidR="00B606D5" w:rsidRPr="001C4CB9">
        <w:rPr>
          <w:b w:val="0"/>
          <w:sz w:val="17"/>
          <w:szCs w:val="17"/>
          <w:lang w:val="en-US"/>
        </w:rPr>
        <w:t xml:space="preserve"> limitation, activatable probes with a highly reactive </w:t>
      </w:r>
      <w:proofErr w:type="spellStart"/>
      <w:r w:rsidR="00B606D5" w:rsidRPr="001C4CB9">
        <w:rPr>
          <w:b w:val="0"/>
          <w:sz w:val="17"/>
          <w:szCs w:val="17"/>
          <w:lang w:val="en-US"/>
        </w:rPr>
        <w:t>quinolimine</w:t>
      </w:r>
      <w:proofErr w:type="spellEnd"/>
      <w:r w:rsidR="00B606D5" w:rsidRPr="001C4CB9">
        <w:rPr>
          <w:b w:val="0"/>
          <w:sz w:val="17"/>
          <w:szCs w:val="17"/>
          <w:lang w:val="en-US"/>
        </w:rPr>
        <w:t xml:space="preserve"> methide that target active-site nucleophiles of different protease classes, including metalloproteases, were developed more than one decade ago</w:t>
      </w:r>
      <w:r w:rsidR="00910991" w:rsidRPr="001C4CB9">
        <w:rPr>
          <w:b w:val="0"/>
          <w:sz w:val="17"/>
          <w:szCs w:val="17"/>
          <w:lang w:val="en-US"/>
        </w:rPr>
        <w:fldChar w:fldCharType="begin"/>
      </w:r>
      <w:r w:rsidR="00910991" w:rsidRPr="001C4CB9">
        <w:rPr>
          <w:b w:val="0"/>
          <w:sz w:val="17"/>
          <w:szCs w:val="17"/>
          <w:lang w:val="en-US"/>
        </w:rPr>
        <w:instrText xml:space="preserve"> ADDIN ZOTERO_ITEM CSL_CITATION {"citationID":"ntmyxzLE","properties":{"formattedCitation":"\\super [27]\\nosupersub{}","plainCitation":"[27]","noteIndex":0},"citationItems":[{"id":524,"uris":["http://zotero.org/users/local/t888UWzB/items/MD8MWMZJ"],"uri":["http://zotero.org/users/local/t888UWzB/items/MD8MWMZJ"],"itemData":{"id":524,"type":"article-journal","abstract":"In this article, we report the design and synthesis of a group of novel activity-based probes that target different protease sub-classes based on their substrate specificities, rather than their enzymatic mechanisms. The feasibility of our approach has been demonstrated by using representative members of the different protease sub-classes.","container-title":"Chemical Communications (Cambridge, England)","DOI":"10.1039/b404471a","ISSN":"1359-7345","issue":"13","journalAbbreviation":"Chem. Commun. (Camb.)","language":"eng","note":"PMID: 15216356","page":"1512-1513","source":"PubMed","title":"Developing novel activity-based fluorescent probes that target different classes of proteases","author":[{"family":"Zhu","given":"Qing"},{"family":"Girish","given":"Aparna"},{"family":"Chattopadhaya","given":"Souvik"},{"family":"Yao","given":"Shao Q."}],"issued":{"date-parts":[["2004",7,7]]}}}],"schema":"https://github.com/citation-style-language/schema/raw/master/csl-citation.json"} </w:instrText>
      </w:r>
      <w:r w:rsidR="00910991" w:rsidRPr="001C4CB9">
        <w:rPr>
          <w:b w:val="0"/>
          <w:sz w:val="17"/>
          <w:szCs w:val="17"/>
          <w:lang w:val="en-US"/>
        </w:rPr>
        <w:fldChar w:fldCharType="separate"/>
      </w:r>
      <w:r w:rsidR="00910991" w:rsidRPr="001C4CB9">
        <w:rPr>
          <w:rFonts w:cs="Arial"/>
          <w:sz w:val="17"/>
          <w:vertAlign w:val="superscript"/>
          <w:lang w:val="en-US"/>
        </w:rPr>
        <w:t>[27]</w:t>
      </w:r>
      <w:r w:rsidR="00910991" w:rsidRPr="001C4CB9">
        <w:rPr>
          <w:b w:val="0"/>
          <w:sz w:val="17"/>
          <w:szCs w:val="17"/>
          <w:lang w:val="en-US"/>
        </w:rPr>
        <w:fldChar w:fldCharType="end"/>
      </w:r>
      <w:r w:rsidR="00B606D5" w:rsidRPr="001C4CB9">
        <w:rPr>
          <w:b w:val="0"/>
          <w:sz w:val="17"/>
          <w:szCs w:val="17"/>
          <w:lang w:val="en-US"/>
        </w:rPr>
        <w:t xml:space="preserve">. However, mainly due to their heightened reactivity </w:t>
      </w:r>
      <w:r w:rsidR="00DB3D91" w:rsidRPr="001C4CB9">
        <w:rPr>
          <w:b w:val="0"/>
          <w:sz w:val="17"/>
          <w:szCs w:val="17"/>
          <w:lang w:val="en-US"/>
        </w:rPr>
        <w:t>resulting</w:t>
      </w:r>
      <w:r w:rsidR="00B606D5" w:rsidRPr="001C4CB9">
        <w:rPr>
          <w:b w:val="0"/>
          <w:sz w:val="17"/>
          <w:szCs w:val="17"/>
          <w:lang w:val="en-US"/>
        </w:rPr>
        <w:t xml:space="preserve"> </w:t>
      </w:r>
      <w:r w:rsidR="00DB3D91" w:rsidRPr="001C4CB9">
        <w:rPr>
          <w:b w:val="0"/>
          <w:sz w:val="17"/>
          <w:szCs w:val="17"/>
          <w:lang w:val="en-US"/>
        </w:rPr>
        <w:t>in a</w:t>
      </w:r>
      <w:r w:rsidR="00B606D5" w:rsidRPr="001C4CB9">
        <w:rPr>
          <w:b w:val="0"/>
          <w:sz w:val="17"/>
          <w:szCs w:val="17"/>
          <w:lang w:val="en-US"/>
        </w:rPr>
        <w:t xml:space="preserve"> lack of selectivity, their use remained rather limited. Thiirane-based inhibitors were </w:t>
      </w:r>
      <w:r w:rsidR="00A5708E" w:rsidRPr="001C4CB9">
        <w:rPr>
          <w:b w:val="0"/>
          <w:sz w:val="17"/>
          <w:szCs w:val="17"/>
          <w:lang w:val="en-US"/>
        </w:rPr>
        <w:t xml:space="preserve">also </w:t>
      </w:r>
      <w:r w:rsidR="00B606D5" w:rsidRPr="001C4CB9">
        <w:rPr>
          <w:b w:val="0"/>
          <w:sz w:val="17"/>
          <w:szCs w:val="17"/>
          <w:lang w:val="en-US"/>
        </w:rPr>
        <w:t xml:space="preserve">proposed to target the canonical catalytic glutamate present in metalloproteases catalytic site. Although successful in the case of certain </w:t>
      </w:r>
      <w:proofErr w:type="spellStart"/>
      <w:r w:rsidR="00B606D5" w:rsidRPr="001C4CB9">
        <w:rPr>
          <w:b w:val="0"/>
          <w:sz w:val="17"/>
          <w:szCs w:val="17"/>
          <w:lang w:val="en-US"/>
        </w:rPr>
        <w:t>metallo</w:t>
      </w:r>
      <w:proofErr w:type="spellEnd"/>
      <w:r w:rsidR="00B606D5" w:rsidRPr="001C4CB9">
        <w:rPr>
          <w:b w:val="0"/>
          <w:sz w:val="17"/>
          <w:szCs w:val="17"/>
          <w:lang w:val="en-US"/>
        </w:rPr>
        <w:t xml:space="preserve"> carboxypeptidases</w:t>
      </w:r>
      <w:r w:rsidR="00910991" w:rsidRPr="001C4CB9">
        <w:rPr>
          <w:b w:val="0"/>
          <w:sz w:val="17"/>
          <w:szCs w:val="17"/>
          <w:lang w:val="en-US"/>
        </w:rPr>
        <w:fldChar w:fldCharType="begin"/>
      </w:r>
      <w:r w:rsidR="00910991" w:rsidRPr="001C4CB9">
        <w:rPr>
          <w:b w:val="0"/>
          <w:sz w:val="17"/>
          <w:szCs w:val="17"/>
          <w:lang w:val="en-US"/>
        </w:rPr>
        <w:instrText xml:space="preserve"> ADDIN ZOTERO_ITEM CSL_CITATION {"citationID":"1Ut8ZCFe","properties":{"formattedCitation":"\\super [28]\\nosupersub{}","plainCitation":"[28]","noteIndex":0},"citationItems":[{"id":528,"uris":["http://zotero.org/users/local/t888UWzB/items/BBPM3ZXC"],"uri":["http://zotero.org/users/local/t888UWzB/items/BBPM3ZXC"],"itemData":{"id":528,"type":"article-journal","abstract":"Metallocarboxypeptidases (MCPs) are involved in many biological processes such as fibrinolysis or inflammation, development, Alzheimer's disease, and various types of cancer. We describe the synthesis and kinetic characterization of a focused library of 22 thiirane- and oxirane-based potential mechanism-based inhibitors, which led to discovery of an inhibitor for the human pro-carboxypeptidase A1. Our structural analyses show that the thiirane-based small-molecule inhibitor penetrates the barrier of the pro-domain to bind within the active site. This binding leads to a chemical reaction that covalently modifies the catalytic Glu270. These results highlight the importance of combined structural, biophysical, and biochemical evaluation of inhibitors in design strategies for the development of spectroscopically nonsilent probes as effective beacons for in vitro, in cellulo, and/or in vivo localization in clinical and industrial applications.","container-title":"ACS medicinal chemistry letters","DOI":"10.1021/acsmedchemlett.7b00346","ISSN":"1948-5875","issue":"10","journalAbbreviation":"ACS Med Chem Lett","language":"eng","note":"PMID: 29057062\nPMCID: PMC5641956","page":"1122-1127","source":"PubMed","title":"Discovery of Mechanism-Based Inactivators for Human Pancreatic Carboxypeptidase A from a Focused Synthetic Library","volume":"8","author":[{"family":"Testero","given":"Sebastián A."},{"family":"Granados","given":"Carla"},{"family":"Fernández","given":"Daniel"},{"family":"Gallego","given":"Pablo"},{"family":"Covaleda","given":"Giovanni"},{"family":"Reverter","given":"David"},{"family":"Vendrell","given":"Josep"},{"family":"Avilés","given":"Francesc X."},{"family":"Pallarès","given":"Irantzu"},{"family":"Mobashery","given":"Shahriar"}],"issued":{"date-parts":[["2017",10,12]]}}}],"schema":"https://github.com/citation-style-language/schema/raw/master/csl-citation.json"} </w:instrText>
      </w:r>
      <w:r w:rsidR="00910991" w:rsidRPr="001C4CB9">
        <w:rPr>
          <w:b w:val="0"/>
          <w:sz w:val="17"/>
          <w:szCs w:val="17"/>
          <w:lang w:val="en-US"/>
        </w:rPr>
        <w:fldChar w:fldCharType="separate"/>
      </w:r>
      <w:r w:rsidR="00910991" w:rsidRPr="001C4CB9">
        <w:rPr>
          <w:rFonts w:cs="Arial"/>
          <w:sz w:val="17"/>
          <w:vertAlign w:val="superscript"/>
          <w:lang w:val="en-US"/>
        </w:rPr>
        <w:t>[28]</w:t>
      </w:r>
      <w:r w:rsidR="00910991" w:rsidRPr="001C4CB9">
        <w:rPr>
          <w:b w:val="0"/>
          <w:sz w:val="17"/>
          <w:szCs w:val="17"/>
          <w:lang w:val="en-US"/>
        </w:rPr>
        <w:fldChar w:fldCharType="end"/>
      </w:r>
      <w:r w:rsidR="00B606D5" w:rsidRPr="001C4CB9">
        <w:rPr>
          <w:b w:val="0"/>
          <w:sz w:val="17"/>
          <w:szCs w:val="17"/>
          <w:lang w:val="en-US"/>
        </w:rPr>
        <w:t>, these inhibitors failed to covalently modify the catalytic glutamate within MMPs active site</w:t>
      </w:r>
      <w:r w:rsidR="00910991" w:rsidRPr="001C4CB9">
        <w:rPr>
          <w:b w:val="0"/>
          <w:sz w:val="17"/>
          <w:szCs w:val="17"/>
          <w:lang w:val="en-US"/>
        </w:rPr>
        <w:fldChar w:fldCharType="begin"/>
      </w:r>
      <w:r w:rsidR="00910991" w:rsidRPr="001C4CB9">
        <w:rPr>
          <w:b w:val="0"/>
          <w:sz w:val="17"/>
          <w:szCs w:val="17"/>
          <w:lang w:val="en-US"/>
        </w:rPr>
        <w:instrText xml:space="preserve"> ADDIN ZOTERO_ITEM CSL_CITATION {"citationID":"DlmMPijp","properties":{"formattedCitation":"\\super [29]\\nosupersub{}","plainCitation":"[29]","noteIndex":0},"citationItems":[{"id":429,"uris":["http://zotero.org/users/local/t888UWzB/items/GXMRCS95"],"uri":["http://zotero.org/users/local/t888UWzB/items/GXMRCS95"],"itemData":{"id":429,"type":"article-journal","abstract":"(+/-)-2-[(4-Phenoxyphenylsulfonyl)methyl]thiirane 1 is a potent and selective mechanism-based inhibitor of the gelatinase sub-class of the zinc-dependent matrix metalloproteinase family. Inhibitor 1 has excellent activity in in vivo models of gelatinase-dependent disease. We demonstrate that the mechanism of inhibition is a rate-limiting gelatinase-catalyzed thiolate generation via deprotonation adjacent to the thiirane, with concomitant thiirane opening. A corollary to this mechanism is the prediction that thiol-containing structures, related to thiirane-opened 1, will possess potent matrix metalloproteinase inhibitory activity. This prediction was validated by the synthesis of the product of this enzyme-catalyzed reaction on 1, which exhibited a remarkable K(i) of 530 pm against matrix metalloproteinase-2. Thiirane 1 acts as a caged thiol, unmasked selectively in the active sites of gelatinases. This mechanism is unprecedented in the substantial literature on inhibition of zinc-dependent hydrolases.","container-title":"Chemical Biology &amp; Drug Design","DOI":"10.1111/j.1747-0285.2009.00881.x","ISSN":"1747-0285","issue":"6","journalAbbreviation":"Chem Biol Drug Des","language":"eng","note":"PMID: 19807733\nPMCID: PMC2837476","page":"527-534","source":"PubMed","title":"Active site ring-opening of a thiirane moiety and picomolar inhibition of gelatinases","volume":"74","author":[{"family":"Forbes","given":"Christopher"},{"family":"Shi","given":"Qicun"},{"family":"Fisher","given":"Jed F."},{"family":"Lee","given":"Mijoon"},{"family":"Hesek","given":"Dusan"},{"family":"Llarrull","given":"Leticia I."},{"family":"Toth","given":"Marta"},{"family":"Gossing","given":"Michael"},{"family":"Fridman","given":"Rafael"},{"family":"Mobashery","given":"Shahriar"}],"issued":{"date-parts":[["2009",12]]}}}],"schema":"https://github.com/citation-style-language/schema/raw/master/csl-citation.json"} </w:instrText>
      </w:r>
      <w:r w:rsidR="00910991" w:rsidRPr="001C4CB9">
        <w:rPr>
          <w:b w:val="0"/>
          <w:sz w:val="17"/>
          <w:szCs w:val="17"/>
          <w:lang w:val="en-US"/>
        </w:rPr>
        <w:fldChar w:fldCharType="separate"/>
      </w:r>
      <w:r w:rsidR="00910991" w:rsidRPr="001C4CB9">
        <w:rPr>
          <w:rFonts w:cs="Arial"/>
          <w:sz w:val="17"/>
          <w:vertAlign w:val="superscript"/>
          <w:lang w:val="en-US"/>
        </w:rPr>
        <w:t>[29]</w:t>
      </w:r>
      <w:r w:rsidR="00910991" w:rsidRPr="001C4CB9">
        <w:rPr>
          <w:b w:val="0"/>
          <w:sz w:val="17"/>
          <w:szCs w:val="17"/>
          <w:lang w:val="en-US"/>
        </w:rPr>
        <w:fldChar w:fldCharType="end"/>
      </w:r>
      <w:r w:rsidR="00B606D5" w:rsidRPr="001C4CB9">
        <w:rPr>
          <w:b w:val="0"/>
          <w:sz w:val="17"/>
          <w:szCs w:val="17"/>
          <w:lang w:val="en-US"/>
        </w:rPr>
        <w:t xml:space="preserve"> and, to our knowledge, were never derived into ABPs. More recently, </w:t>
      </w:r>
      <w:proofErr w:type="spellStart"/>
      <w:r w:rsidR="009F45B6" w:rsidRPr="001C4CB9">
        <w:rPr>
          <w:b w:val="0"/>
          <w:sz w:val="17"/>
          <w:szCs w:val="17"/>
          <w:lang w:val="en-US"/>
        </w:rPr>
        <w:t>Bogyo</w:t>
      </w:r>
      <w:proofErr w:type="spellEnd"/>
      <w:r w:rsidR="009F45B6" w:rsidRPr="001C4CB9">
        <w:rPr>
          <w:b w:val="0"/>
          <w:sz w:val="17"/>
          <w:szCs w:val="17"/>
          <w:lang w:val="en-US"/>
        </w:rPr>
        <w:t xml:space="preserve"> and colleagues</w:t>
      </w:r>
      <w:r w:rsidR="00B606D5" w:rsidRPr="001C4CB9">
        <w:rPr>
          <w:b w:val="0"/>
          <w:sz w:val="17"/>
          <w:szCs w:val="17"/>
          <w:lang w:val="en-US"/>
        </w:rPr>
        <w:t xml:space="preserve"> designed ABPs possessing an </w:t>
      </w:r>
      <w:r w:rsidR="00B606D5" w:rsidRPr="001C4CB9">
        <w:rPr>
          <w:rFonts w:ascii="Symbol" w:hAnsi="Symbol"/>
          <w:b w:val="0"/>
          <w:sz w:val="17"/>
          <w:szCs w:val="17"/>
          <w:lang w:val="en-US"/>
        </w:rPr>
        <w:t></w:t>
      </w:r>
      <w:r w:rsidR="00B606D5" w:rsidRPr="001C4CB9">
        <w:rPr>
          <w:b w:val="0"/>
          <w:sz w:val="17"/>
          <w:szCs w:val="17"/>
          <w:lang w:val="en-US"/>
        </w:rPr>
        <w:t xml:space="preserve">-chloroacetamide electrophile to assess the proteolytic activity of MMPs containing a </w:t>
      </w:r>
      <w:r w:rsidR="006C71F2" w:rsidRPr="001C4CB9">
        <w:rPr>
          <w:b w:val="0"/>
          <w:sz w:val="17"/>
          <w:szCs w:val="17"/>
          <w:lang w:val="en-US"/>
        </w:rPr>
        <w:t xml:space="preserve">engineered </w:t>
      </w:r>
      <w:r w:rsidR="00B606D5" w:rsidRPr="001C4CB9">
        <w:rPr>
          <w:b w:val="0"/>
          <w:sz w:val="17"/>
          <w:szCs w:val="17"/>
          <w:lang w:val="en-US"/>
        </w:rPr>
        <w:t>reactive cysteine</w:t>
      </w:r>
      <w:r w:rsidR="00910991" w:rsidRPr="001C4CB9">
        <w:rPr>
          <w:b w:val="0"/>
          <w:sz w:val="17"/>
          <w:szCs w:val="17"/>
          <w:lang w:val="en-US"/>
        </w:rPr>
        <w:fldChar w:fldCharType="begin"/>
      </w:r>
      <w:r w:rsidR="00910991" w:rsidRPr="001C4CB9">
        <w:rPr>
          <w:b w:val="0"/>
          <w:sz w:val="17"/>
          <w:szCs w:val="17"/>
          <w:lang w:val="en-US"/>
        </w:rPr>
        <w:instrText xml:space="preserve"> ADDIN ZOTERO_ITEM CSL_CITATION {"citationID":"tmPlx0AZ","properties":{"formattedCitation":"\\super [30,31]\\nosupersub{}","plainCitation":"[30,31]","noteIndex":0},"citationItems":[{"id":1037,"uris":["http://zotero.org/users/local/t888UWzB/items/T8LBC6Z3"],"uri":["http://zotero.org/users/local/t888UWzB/items/T8LBC6Z3"],"itemData":{"id":1037,"type":"article-journal","abstract":"Matrix metalloproteinases (MMPs) are zinc endopeptidases that play roles in numerous pathophysiological processes and therefore are promising drug targets. However, the large size of this family and a lack of highly selective compounds that can be used for imaging or inhibition of specific MMPs members has limited efforts to better define their biological function. Here we describe a protein engineering strategy coupled with small-molecule probe design to selectively target individual members of the MMP family. Specifically, we introduce a cysteine residue near the active-site of a selected protease that does not alter its overall activity or function but allows direct covalent modification by a small-molecule probe containing a reactive electrophile. This specific engineered interaction between the probe and the target protease provides a means to both image and inhibit the modified protease with absolute specificity. Here we demonstrate the feasibility of the approach for two distinct MMP proteases, MMP-12 and MT1-MMP (or MMP-14).","container-title":"Journal of the American Chemical Society","DOI":"10.1021/ja403523p","ISSN":"1520-5126","issue":"24","journalAbbreviation":"J Am Chem Soc","language":"eng","note":"PMID: 23701445\nPMCID: PMC3722588","page":"9139-9148","source":"PubMed","title":"Coupling protein engineering with probe design to inhibit and image matrix metalloproteinases with controlled specificity","volume":"135","author":[{"family":"Morell","given":"Montse"},{"family":"Nguyen Duc","given":"Thinh"},{"family":"Willis","given":"Amanda L."},{"family":"Syed","given":"Salahuddin"},{"family":"Lee","given":"Jiyoun"},{"family":"Deu","given":"Edgar"},{"family":"Deng","given":"Yang"},{"family":"Xiao","given":"Junpeng"},{"family":"Turk","given":"Benjamin E."},{"family":"Jessen","given":"Jason R."},{"family":"Weiss","given":"Stephen J."},{"family":"Bogyo","given":"Matthew"}],"issued":{"date-parts":[["2013",6,19]]}}},{"id":1040,"uris":["http://zotero.org/users/local/t888UWzB/items/TK4ZS6E5"],"uri":["http://zotero.org/users/local/t888UWzB/items/TK4ZS6E5"],"itemData":{"id":1040,"type":"article-journal","abstract":"Matrix metalloproteases (MMPs) are a large family of zinc-dependent endopeptidases involved in a diverse set of physiological and pathological processes, most notably in cancer. Current methods for imaging and quantifying MMP activity lack sufficient selectivity and spatiotemporal resolution to allow studies of specific MMP function in vivo. Previously, we reported a strategy for selective targeting of MMPs by engineering a functionally silent cysteine mutation that enables highly specific covalent modification by a designed activity-based probe. Here, we describe the translation of that technology into a mouse model of breast cancer and subsequent demonstration of the utility of the approach for studies of MMP-14 activation in the tumor microenvironment. Using this approach, we find that MMP-14 is active in late stage tumors and is predominantly associated with stromal cell populations that have been activated by specific signaling molecules (e.g., TGFβ) produced by tumor cells. Our data demonstrate the applicability of this approach for studies of MMP function in whole organisms and identify important regulatory mechanisms for MMP-14 activity in the tumor microenvironment.","container-title":"ACS chemical biology","DOI":"10.1021/acschembio.8b00562","ISSN":"1554-8937","issue":"9","journalAbbreviation":"ACS Chem Biol","language":"eng","note":"PMID: 30160940\nPMCID: PMC6763207","page":"2645-2654","source":"PubMed","title":"Chemical Tools for Selective Activity Profiling of Endogenously Expressed MMP-14 in Multicellular Models","volume":"13","author":[{"family":"Amara","given":"Neri"},{"family":"Tholen","given":"Martina"},{"family":"Bogyo","given":"Matthew"}],"issued":{"date-parts":[["2018"]],"season":"21"}}}],"schema":"https://github.com/citation-style-language/schema/raw/master/csl-citation.json"} </w:instrText>
      </w:r>
      <w:r w:rsidR="00910991" w:rsidRPr="001C4CB9">
        <w:rPr>
          <w:b w:val="0"/>
          <w:sz w:val="17"/>
          <w:szCs w:val="17"/>
          <w:lang w:val="en-US"/>
        </w:rPr>
        <w:fldChar w:fldCharType="separate"/>
      </w:r>
      <w:r w:rsidR="00910991" w:rsidRPr="001C4CB9">
        <w:rPr>
          <w:rFonts w:cs="Arial"/>
          <w:sz w:val="17"/>
          <w:vertAlign w:val="superscript"/>
          <w:lang w:val="en-US"/>
        </w:rPr>
        <w:t>[30,31]</w:t>
      </w:r>
      <w:r w:rsidR="00910991" w:rsidRPr="001C4CB9">
        <w:rPr>
          <w:b w:val="0"/>
          <w:sz w:val="17"/>
          <w:szCs w:val="17"/>
          <w:lang w:val="en-US"/>
        </w:rPr>
        <w:fldChar w:fldCharType="end"/>
      </w:r>
      <w:r w:rsidR="00B606D5" w:rsidRPr="001C4CB9">
        <w:rPr>
          <w:b w:val="0"/>
          <w:sz w:val="17"/>
          <w:szCs w:val="17"/>
          <w:lang w:val="en-US"/>
        </w:rPr>
        <w:t xml:space="preserve">. This approach indeed enables monitoring the activity of a single MMP in cells and in vivo, but requires </w:t>
      </w:r>
      <w:r w:rsidR="00B80D61" w:rsidRPr="001C4CB9">
        <w:rPr>
          <w:b w:val="0"/>
          <w:sz w:val="17"/>
          <w:szCs w:val="17"/>
          <w:lang w:val="en-US"/>
        </w:rPr>
        <w:t xml:space="preserve">a </w:t>
      </w:r>
      <w:r w:rsidR="00B606D5" w:rsidRPr="001C4CB9">
        <w:rPr>
          <w:b w:val="0"/>
          <w:sz w:val="17"/>
          <w:szCs w:val="17"/>
          <w:lang w:val="en-US"/>
        </w:rPr>
        <w:t xml:space="preserve">genetic </w:t>
      </w:r>
      <w:r w:rsidR="00B80D61" w:rsidRPr="001C4CB9">
        <w:rPr>
          <w:b w:val="0"/>
          <w:sz w:val="17"/>
          <w:szCs w:val="17"/>
          <w:lang w:val="en-US"/>
        </w:rPr>
        <w:t>manipulation</w:t>
      </w:r>
      <w:r w:rsidR="002C55BE" w:rsidRPr="001C4CB9">
        <w:rPr>
          <w:b w:val="0"/>
          <w:sz w:val="17"/>
          <w:szCs w:val="17"/>
          <w:lang w:val="en-US"/>
        </w:rPr>
        <w:t xml:space="preserve"> </w:t>
      </w:r>
      <w:r w:rsidR="00B606D5" w:rsidRPr="001C4CB9">
        <w:rPr>
          <w:b w:val="0"/>
          <w:sz w:val="17"/>
          <w:szCs w:val="17"/>
          <w:lang w:val="en-US"/>
        </w:rPr>
        <w:t xml:space="preserve">incompatible with </w:t>
      </w:r>
      <w:r w:rsidR="006C71F2" w:rsidRPr="001C4CB9">
        <w:rPr>
          <w:b w:val="0"/>
          <w:sz w:val="17"/>
          <w:szCs w:val="17"/>
          <w:lang w:val="en-US"/>
        </w:rPr>
        <w:t>physiological</w:t>
      </w:r>
      <w:r w:rsidR="00B606D5" w:rsidRPr="001C4CB9">
        <w:rPr>
          <w:b w:val="0"/>
          <w:sz w:val="17"/>
          <w:szCs w:val="17"/>
          <w:lang w:val="en-US"/>
        </w:rPr>
        <w:t xml:space="preserve"> </w:t>
      </w:r>
      <w:r w:rsidR="006C71F2" w:rsidRPr="001C4CB9">
        <w:rPr>
          <w:b w:val="0"/>
          <w:sz w:val="17"/>
          <w:szCs w:val="17"/>
          <w:lang w:val="en-US"/>
        </w:rPr>
        <w:t>MMP forms</w:t>
      </w:r>
      <w:r w:rsidR="00B606D5" w:rsidRPr="001C4CB9">
        <w:rPr>
          <w:b w:val="0"/>
          <w:sz w:val="17"/>
          <w:szCs w:val="17"/>
          <w:lang w:val="en-US"/>
        </w:rPr>
        <w:t>.</w:t>
      </w:r>
    </w:p>
    <w:p w:rsidR="00E20F07" w:rsidRPr="001C4CB9" w:rsidRDefault="00B606D5" w:rsidP="002B3201">
      <w:pPr>
        <w:pStyle w:val="H1"/>
        <w:spacing w:before="0" w:after="0"/>
        <w:jc w:val="both"/>
        <w:rPr>
          <w:b w:val="0"/>
          <w:sz w:val="17"/>
          <w:lang w:val="en-US"/>
        </w:rPr>
      </w:pPr>
      <w:r w:rsidRPr="001C4CB9">
        <w:rPr>
          <w:b w:val="0"/>
          <w:sz w:val="17"/>
          <w:lang w:val="en-US"/>
        </w:rPr>
        <w:t>Recently, a ligand-guided chemistry for the covalent modification of native proteins has been reported by Hamachi</w:t>
      </w:r>
      <w:r w:rsidR="008466D5" w:rsidRPr="001C4CB9">
        <w:rPr>
          <w:b w:val="0"/>
          <w:sz w:val="17"/>
          <w:lang w:val="en-US"/>
        </w:rPr>
        <w:t>’s</w:t>
      </w:r>
      <w:r w:rsidRPr="001C4CB9">
        <w:rPr>
          <w:b w:val="0"/>
          <w:sz w:val="17"/>
          <w:lang w:val="en-US"/>
        </w:rPr>
        <w:t xml:space="preserve"> group</w:t>
      </w:r>
      <w:r w:rsidR="00910991" w:rsidRPr="001C4CB9">
        <w:rPr>
          <w:b w:val="0"/>
          <w:sz w:val="17"/>
          <w:lang w:val="en-US"/>
        </w:rPr>
        <w:fldChar w:fldCharType="begin"/>
      </w:r>
      <w:r w:rsidR="00910991" w:rsidRPr="001C4CB9">
        <w:rPr>
          <w:b w:val="0"/>
          <w:sz w:val="17"/>
          <w:lang w:val="en-US"/>
        </w:rPr>
        <w:instrText xml:space="preserve"> ADDIN ZOTERO_ITEM CSL_CITATION {"citationID":"LEgUwKao","properties":{"formattedCitation":"\\super [32]\\nosupersub{}","plainCitation":"[32]","noteIndex":0},"citationItems":[{"id":870,"uris":["http://zotero.org/users/local/t888UWzB/items/MR5AUTMB"],"uri":["http://zotero.org/users/local/t888UWzB/items/MR5AUTMB"],"itemData":{"id":870,"type":"article-journal","abstract":"Chemical modification of proteins provides powerful tools to realize a broad range of exciting biological applications, including the development of new classes of biopharmaceuticals and functional studies of individual proteins in complex biological systems. Numerous strategies for linking desired chemical probes with target proteins have been developed in the last two decades, with most exploiting genetic protein engineering and/or bio-orthogonal chemistry that utilizes unnatural amino acids incorporated into proteins. Modification of native proteins in test tubes and biological contexts by site-specific and target-selective approaches remains challenging because appropriate organic chemistry to carry out such modifications is currently limited. Nonetheless, a variety of promising strategies have appeared recently that address this grand challenge in chemical biology. These new chemistries yield native protein-based well-defined bioconjugations, specific labeling of endogenous proteins in various biological crude milieus, and the establishment of chemical proteomics as a new research area in protein science. In this Perspective, we focus on recent remarkable progress in chemistry for native protein modification. We survey chemical characteristics of the methods and describe briefly these advanced applications to address unsolved biological issues. Current limitations and future directions of this research field are also discussed.","container-title":"Journal of the American Chemical Society","DOI":"10.1021/jacs.8b11747","ISSN":"1520-5126","issue":"7","journalAbbreviation":"J. Am. Chem. Soc.","language":"eng","note":"PMID: 30592612","page":"2782-2799","source":"PubMed","title":"Chemistry for Covalent Modification of Endogenous/Native Proteins: From Test Tubes to Complex Biological Systems","title-short":"Chemistry for Covalent Modification of Endogenous/Native Proteins","volume":"141","author":[{"family":"Tamura","given":"Tomonori"},{"family":"Hamachi","given":"Itaru"}],"issued":{"date-parts":[["2019"]],"season":"20"}}}],"schema":"https://github.com/citation-style-language/schema/raw/master/csl-citation.json"}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[32]</w:t>
      </w:r>
      <w:r w:rsidR="00910991" w:rsidRPr="001C4CB9">
        <w:rPr>
          <w:b w:val="0"/>
          <w:sz w:val="17"/>
          <w:lang w:val="en-US"/>
        </w:rPr>
        <w:fldChar w:fldCharType="end"/>
      </w:r>
      <w:r w:rsidRPr="001C4CB9">
        <w:rPr>
          <w:b w:val="0"/>
          <w:sz w:val="17"/>
          <w:lang w:val="en-US"/>
        </w:rPr>
        <w:t xml:space="preserve">. </w:t>
      </w:r>
      <w:r w:rsidR="00A815B7" w:rsidRPr="001C4CB9">
        <w:rPr>
          <w:b w:val="0"/>
          <w:sz w:val="17"/>
          <w:lang w:val="en-US"/>
        </w:rPr>
        <w:t xml:space="preserve">This </w:t>
      </w:r>
      <w:r w:rsidR="00FC00A5" w:rsidRPr="001C4CB9">
        <w:rPr>
          <w:b w:val="0"/>
          <w:sz w:val="17"/>
          <w:lang w:val="en-US"/>
        </w:rPr>
        <w:t>affinity-labelling</w:t>
      </w:r>
      <w:r w:rsidR="00A815B7" w:rsidRPr="001C4CB9">
        <w:rPr>
          <w:b w:val="0"/>
          <w:sz w:val="17"/>
          <w:lang w:val="en-US"/>
        </w:rPr>
        <w:t xml:space="preserve"> approach relie</w:t>
      </w:r>
      <w:r w:rsidR="00E250DB" w:rsidRPr="001C4CB9">
        <w:rPr>
          <w:b w:val="0"/>
          <w:sz w:val="17"/>
          <w:lang w:val="en-US"/>
        </w:rPr>
        <w:t>s</w:t>
      </w:r>
      <w:r w:rsidR="00A815B7" w:rsidRPr="001C4CB9">
        <w:rPr>
          <w:b w:val="0"/>
          <w:sz w:val="17"/>
          <w:lang w:val="en-US"/>
        </w:rPr>
        <w:t xml:space="preserve"> on </w:t>
      </w:r>
      <w:r w:rsidR="00FC00A5" w:rsidRPr="001C4CB9">
        <w:rPr>
          <w:b w:val="0"/>
          <w:sz w:val="17"/>
          <w:lang w:val="en-US"/>
        </w:rPr>
        <w:t>chemical</w:t>
      </w:r>
      <w:r w:rsidR="00AD324D" w:rsidRPr="001C4CB9">
        <w:rPr>
          <w:b w:val="0"/>
          <w:sz w:val="17"/>
          <w:lang w:val="en-US"/>
        </w:rPr>
        <w:t xml:space="preserve"> </w:t>
      </w:r>
      <w:r w:rsidRPr="001C4CB9">
        <w:rPr>
          <w:b w:val="0"/>
          <w:sz w:val="17"/>
          <w:lang w:val="en-US"/>
        </w:rPr>
        <w:t>probes possess</w:t>
      </w:r>
      <w:r w:rsidR="00A815B7" w:rsidRPr="001C4CB9">
        <w:rPr>
          <w:b w:val="0"/>
          <w:sz w:val="17"/>
          <w:lang w:val="en-US"/>
        </w:rPr>
        <w:t>ing</w:t>
      </w:r>
      <w:r w:rsidRPr="001C4CB9">
        <w:rPr>
          <w:b w:val="0"/>
          <w:sz w:val="17"/>
          <w:lang w:val="en-US"/>
        </w:rPr>
        <w:t xml:space="preserve"> a </w:t>
      </w:r>
      <w:r w:rsidR="00FC00A5" w:rsidRPr="001C4CB9">
        <w:rPr>
          <w:b w:val="0"/>
          <w:sz w:val="17"/>
          <w:lang w:val="en-US"/>
        </w:rPr>
        <w:t xml:space="preserve">reactive </w:t>
      </w:r>
      <w:r w:rsidRPr="001C4CB9">
        <w:rPr>
          <w:b w:val="0"/>
          <w:sz w:val="17"/>
          <w:lang w:val="en-US"/>
        </w:rPr>
        <w:t xml:space="preserve">cleavable linker as a leaving group between </w:t>
      </w:r>
      <w:r w:rsidR="00FC00A5" w:rsidRPr="001C4CB9">
        <w:rPr>
          <w:b w:val="0"/>
          <w:sz w:val="17"/>
          <w:lang w:val="en-US"/>
        </w:rPr>
        <w:t>a targeting</w:t>
      </w:r>
      <w:r w:rsidRPr="001C4CB9">
        <w:rPr>
          <w:b w:val="0"/>
          <w:sz w:val="17"/>
          <w:lang w:val="en-US"/>
        </w:rPr>
        <w:t xml:space="preserve"> </w:t>
      </w:r>
      <w:r w:rsidR="00DF63A1" w:rsidRPr="001C4CB9">
        <w:rPr>
          <w:b w:val="0"/>
          <w:sz w:val="17"/>
          <w:lang w:val="en-US"/>
        </w:rPr>
        <w:t>motif</w:t>
      </w:r>
      <w:r w:rsidRPr="001C4CB9">
        <w:rPr>
          <w:b w:val="0"/>
          <w:sz w:val="17"/>
          <w:lang w:val="en-US"/>
        </w:rPr>
        <w:t xml:space="preserve"> and a</w:t>
      </w:r>
      <w:r w:rsidR="00FC00A5" w:rsidRPr="001C4CB9">
        <w:rPr>
          <w:b w:val="0"/>
          <w:sz w:val="17"/>
          <w:lang w:val="en-US"/>
        </w:rPr>
        <w:t>n analytical</w:t>
      </w:r>
      <w:r w:rsidRPr="001C4CB9">
        <w:rPr>
          <w:b w:val="0"/>
          <w:sz w:val="17"/>
          <w:lang w:val="en-US"/>
        </w:rPr>
        <w:t xml:space="preserve"> tag. </w:t>
      </w:r>
      <w:r w:rsidR="00A5708E" w:rsidRPr="001C4CB9">
        <w:rPr>
          <w:b w:val="0"/>
          <w:sz w:val="17"/>
          <w:lang w:val="en-US"/>
        </w:rPr>
        <w:t xml:space="preserve">This tag is </w:t>
      </w:r>
      <w:r w:rsidRPr="001C4CB9">
        <w:rPr>
          <w:b w:val="0"/>
          <w:sz w:val="17"/>
          <w:lang w:val="en-US"/>
        </w:rPr>
        <w:t>transfer</w:t>
      </w:r>
      <w:r w:rsidR="00A5708E" w:rsidRPr="001C4CB9">
        <w:rPr>
          <w:b w:val="0"/>
          <w:sz w:val="17"/>
          <w:lang w:val="en-US"/>
        </w:rPr>
        <w:t>red</w:t>
      </w:r>
      <w:r w:rsidRPr="001C4CB9">
        <w:rPr>
          <w:b w:val="0"/>
          <w:sz w:val="17"/>
          <w:lang w:val="en-US"/>
        </w:rPr>
        <w:t xml:space="preserve"> to the protein</w:t>
      </w:r>
      <w:r w:rsidR="00A5708E" w:rsidRPr="001C4CB9">
        <w:rPr>
          <w:b w:val="0"/>
          <w:sz w:val="17"/>
          <w:lang w:val="en-US"/>
        </w:rPr>
        <w:t xml:space="preserve"> surface</w:t>
      </w:r>
      <w:r w:rsidRPr="001C4CB9">
        <w:rPr>
          <w:b w:val="0"/>
          <w:sz w:val="17"/>
          <w:lang w:val="en-US"/>
        </w:rPr>
        <w:t xml:space="preserve"> through a </w:t>
      </w:r>
      <w:r w:rsidR="00EF0B03" w:rsidRPr="001C4CB9">
        <w:rPr>
          <w:b w:val="0"/>
          <w:sz w:val="17"/>
          <w:lang w:val="en-US"/>
        </w:rPr>
        <w:t>proximity-driven</w:t>
      </w:r>
      <w:r w:rsidRPr="001C4CB9">
        <w:rPr>
          <w:b w:val="0"/>
          <w:sz w:val="17"/>
          <w:lang w:val="en-US"/>
        </w:rPr>
        <w:t xml:space="preserve"> reaction between protein nucleophiles and </w:t>
      </w:r>
      <w:r w:rsidR="008C6A19" w:rsidRPr="001C4CB9">
        <w:rPr>
          <w:b w:val="0"/>
          <w:sz w:val="17"/>
          <w:lang w:val="en-US"/>
        </w:rPr>
        <w:t xml:space="preserve">the </w:t>
      </w:r>
      <w:r w:rsidR="00A815B7" w:rsidRPr="001C4CB9">
        <w:rPr>
          <w:b w:val="0"/>
          <w:sz w:val="17"/>
          <w:lang w:val="en-US"/>
        </w:rPr>
        <w:t>cleavable</w:t>
      </w:r>
      <w:r w:rsidR="008C6A19" w:rsidRPr="001C4CB9">
        <w:rPr>
          <w:b w:val="0"/>
          <w:sz w:val="17"/>
          <w:lang w:val="en-US"/>
        </w:rPr>
        <w:t xml:space="preserve"> linker</w:t>
      </w:r>
      <w:r w:rsidR="00A815B7" w:rsidRPr="001C4CB9">
        <w:rPr>
          <w:b w:val="0"/>
          <w:sz w:val="17"/>
          <w:lang w:val="en-US"/>
        </w:rPr>
        <w:t xml:space="preserve"> as weak electrophile</w:t>
      </w:r>
      <w:r w:rsidRPr="001C4CB9">
        <w:rPr>
          <w:b w:val="0"/>
          <w:sz w:val="17"/>
          <w:lang w:val="en-US"/>
        </w:rPr>
        <w:t xml:space="preserve">, resulting in </w:t>
      </w:r>
      <w:r w:rsidR="00E844D7" w:rsidRPr="001C4CB9">
        <w:rPr>
          <w:b w:val="0"/>
          <w:sz w:val="17"/>
          <w:lang w:val="en-US"/>
        </w:rPr>
        <w:t xml:space="preserve">the </w:t>
      </w:r>
      <w:r w:rsidRPr="001C4CB9">
        <w:rPr>
          <w:b w:val="0"/>
          <w:sz w:val="17"/>
          <w:lang w:val="en-US"/>
        </w:rPr>
        <w:t xml:space="preserve">protein labelling and </w:t>
      </w:r>
      <w:r w:rsidR="00E844D7" w:rsidRPr="001C4CB9">
        <w:rPr>
          <w:b w:val="0"/>
          <w:sz w:val="17"/>
          <w:lang w:val="en-US"/>
        </w:rPr>
        <w:t xml:space="preserve">the </w:t>
      </w:r>
      <w:r w:rsidRPr="001C4CB9">
        <w:rPr>
          <w:b w:val="0"/>
          <w:sz w:val="17"/>
          <w:lang w:val="en-US"/>
        </w:rPr>
        <w:t xml:space="preserve">concomitant release of the ligand part.  </w:t>
      </w:r>
      <w:r w:rsidR="00A815B7" w:rsidRPr="001C4CB9">
        <w:rPr>
          <w:b w:val="0"/>
          <w:sz w:val="17"/>
          <w:lang w:val="en-US"/>
        </w:rPr>
        <w:t xml:space="preserve">Inspired by this strategy, we designed new affinity probes with a </w:t>
      </w:r>
      <w:proofErr w:type="spellStart"/>
      <w:r w:rsidR="00A815B7" w:rsidRPr="001C4CB9">
        <w:rPr>
          <w:b w:val="0"/>
          <w:sz w:val="17"/>
          <w:lang w:val="en-US"/>
        </w:rPr>
        <w:t>phosphinic</w:t>
      </w:r>
      <w:proofErr w:type="spellEnd"/>
      <w:r w:rsidR="00A815B7" w:rsidRPr="001C4CB9">
        <w:rPr>
          <w:b w:val="0"/>
          <w:sz w:val="17"/>
          <w:lang w:val="en-US"/>
        </w:rPr>
        <w:t xml:space="preserve"> pseudo peptide scaffold </w:t>
      </w:r>
      <w:r w:rsidR="00AF73F4" w:rsidRPr="001C4CB9">
        <w:rPr>
          <w:b w:val="0"/>
          <w:sz w:val="17"/>
          <w:lang w:val="en-US"/>
        </w:rPr>
        <w:t>potentially</w:t>
      </w:r>
      <w:r w:rsidR="00A815B7" w:rsidRPr="001C4CB9">
        <w:rPr>
          <w:b w:val="0"/>
          <w:sz w:val="17"/>
          <w:lang w:val="en-US"/>
        </w:rPr>
        <w:t xml:space="preserve"> able to covalently modify active metalloprotease</w:t>
      </w:r>
      <w:r w:rsidR="00E7297B" w:rsidRPr="001C4CB9">
        <w:rPr>
          <w:b w:val="0"/>
          <w:sz w:val="17"/>
          <w:lang w:val="en-US"/>
        </w:rPr>
        <w:t>s</w:t>
      </w:r>
      <w:r w:rsidR="00A815B7" w:rsidRPr="001C4CB9">
        <w:rPr>
          <w:b w:val="0"/>
          <w:sz w:val="17"/>
          <w:lang w:val="en-US"/>
        </w:rPr>
        <w:t xml:space="preserve"> without any external </w:t>
      </w:r>
      <w:r w:rsidR="00E250DB" w:rsidRPr="001C4CB9">
        <w:rPr>
          <w:b w:val="0"/>
          <w:sz w:val="17"/>
          <w:lang w:val="en-US"/>
        </w:rPr>
        <w:t>trigger</w:t>
      </w:r>
      <w:r w:rsidR="00AE5AA2" w:rsidRPr="001C4CB9">
        <w:rPr>
          <w:b w:val="0"/>
          <w:sz w:val="17"/>
          <w:lang w:val="en-US"/>
        </w:rPr>
        <w:t>.</w:t>
      </w:r>
      <w:r w:rsidR="00A815B7" w:rsidRPr="001C4CB9">
        <w:rPr>
          <w:b w:val="0"/>
          <w:sz w:val="17"/>
          <w:lang w:val="en-US"/>
        </w:rPr>
        <w:t xml:space="preserve"> </w:t>
      </w:r>
      <w:r w:rsidR="00FA7EC7" w:rsidRPr="001C4CB9">
        <w:rPr>
          <w:b w:val="0"/>
          <w:sz w:val="17"/>
          <w:lang w:val="en-US"/>
        </w:rPr>
        <w:t>A</w:t>
      </w:r>
      <w:r w:rsidRPr="001C4CB9">
        <w:rPr>
          <w:b w:val="0"/>
          <w:sz w:val="17"/>
          <w:lang w:val="en-US"/>
        </w:rPr>
        <w:t xml:space="preserve"> detailed analysis of </w:t>
      </w:r>
      <w:r w:rsidR="00EB2FB5" w:rsidRPr="001C4CB9">
        <w:rPr>
          <w:b w:val="0"/>
          <w:sz w:val="17"/>
          <w:lang w:val="en-US"/>
        </w:rPr>
        <w:t xml:space="preserve">the </w:t>
      </w:r>
      <w:r w:rsidRPr="001C4CB9">
        <w:rPr>
          <w:b w:val="0"/>
          <w:sz w:val="17"/>
          <w:lang w:val="en-US"/>
        </w:rPr>
        <w:t xml:space="preserve">X-ray structure of human MMP-12 catalytic domain in complex with the RXP470.1 </w:t>
      </w:r>
      <w:proofErr w:type="spellStart"/>
      <w:r w:rsidRPr="001C4CB9">
        <w:rPr>
          <w:b w:val="0"/>
          <w:sz w:val="17"/>
          <w:lang w:val="en-US"/>
        </w:rPr>
        <w:t>phosphinic</w:t>
      </w:r>
      <w:proofErr w:type="spellEnd"/>
      <w:r w:rsidRPr="001C4CB9">
        <w:rPr>
          <w:b w:val="0"/>
          <w:sz w:val="17"/>
          <w:lang w:val="en-US"/>
        </w:rPr>
        <w:t xml:space="preserve"> pseudo peptide, a potent and highly selective competitive inhibitor of this protease</w:t>
      </w:r>
      <w:r w:rsidR="00910991" w:rsidRPr="001C4CB9">
        <w:rPr>
          <w:b w:val="0"/>
          <w:sz w:val="17"/>
          <w:lang w:val="en-US"/>
        </w:rPr>
        <w:fldChar w:fldCharType="begin"/>
      </w:r>
      <w:r w:rsidR="00910991" w:rsidRPr="001C4CB9">
        <w:rPr>
          <w:b w:val="0"/>
          <w:sz w:val="17"/>
          <w:lang w:val="en-US"/>
        </w:rPr>
        <w:instrText xml:space="preserve"> ADDIN ZOTERO_ITEM CSL_CITATION {"citationID":"Pn4TQaJP","properties":{"formattedCitation":"\\super [33,34]\\nosupersub{}","plainCitation":"[33,34]","noteIndex":0},"citationItems":[{"id":81,"uris":["http://zotero.org/users/local/t888UWzB/items/PXESM5Q9"],"uri":["http://zotero.org/users/local/t888UWzB/items/PXESM5Q9"],"itemData":{"id":81,"type":"article-journal","abstract":"Four phosphinic peptide libraries with compounds having the general formula p-Br-Ph-(PO2-CH2)-Xaa′-Yaa′-Zaa′-NH2 have been prepared and screened against 10 matrix metalloproteinases (MMPs). We identified two phosphinic peptides with Ki values of 0.19 and 4.4 nm toward MMP-12 (macrophage elastase) that are more than 2-3 orders of magnitude less potent toward the other MMPs tested. These highly selective MMP-12 inhibitors contain a Glu-Glu motif in their Yaa′-Zaa′ positions. Incorporation of this Glu-Glu motif into the sequence of a nonspecific fluorogenic peptide cleaved by MMPs provides a highly selective substrate for MMP-12. A model of one of these inhibitors interacting with MMP-12 suggests that the selectivity observed might be due, in part, to the presence of two unique polar residues in MMP-12, Thr239 and Lys177. These MMP-12-selective inhibitors may have important therapeutic applications to diseases in which MMP-12 has been suggested to play a key role, such as in emphysema, atherosclerosis, and aortic abdominal aneurysm.","container-title":"Journal of Biological Chemistry","DOI":"10.1074/jbc.M600222200","ISSN":"0021-9258, 1083-351X","issue":"16","journalAbbreviation":"J. Biol. Chem.","language":"en","note":"PMID: 16481329","page":"11152-11160","source":"www.jbc.org","title":"Development of Selective Inhibitors and Substrate of Matrix Metalloproteinase-12","volume":"281","author":[{"family":"Devel","given":"Laurent"},{"family":"Rogakos","given":"Vassilis"},{"family":"David","given":"Arnaud"},{"family":"Makaritis","given":"Anastasios"},{"family":"Beau","given":"Fabrice"},{"family":"Cuniasse","given":"Philippe"},{"family":"Yiotakis","given":"Athanasios"},{"family":"Dive","given":"Vincent"}],"issued":{"date-parts":[["2006",4,21]]}}},{"id":102,"uris":["http://zotero.org/users/local/t888UWzB/items/KUVXQFUX"],"uri":["http://zotero.org/users/local/t888UWzB/items/KUVXQFUX"],"itemData":{"id":102,"type":"article-journal","abstract":"The molecular determinants responsible for the potency of the RXP470.1 phosphinic peptide inhibitor toward matrix metalloprotease-12 (MMP-12) remain elusive. To address this issue, structure-activity study, X-ray crystallography, and isothermal titration calorimetry (ITC) experiments were performed. The crystal structure of MMP-12/inhibitor complex (1.15 Å) reveals that the inhibitor establishes multiple interactions with the MMP-12 active site, with its long P(1)' side chain filling most of the S(1)' deep cavity. ITC experiments indicate that the binding of this inhibitor to MMP-12 is mostly entropy driven (ΔG° = -13.1 kcal/mol, ΔH° = -2.53 kcal/mol, and -TΔS° = -10.60 kcal/mol) and involves a proton uptake from the buffer. Comparing phosphinic versus hydroxamate inhibitors reveals that the chelation of the zinc ion is slightly different, leading the inhibitor backbone to adopt a position in which the hydrogen bonding with the MMP-12 active site is less favorable in phosphinic inhibitor while maintaining high affinity.","container-title":"Journal of Medicinal Chemistry","DOI":"10.1021/jm301574d","ISSN":"1520-4804","issue":"3","journalAbbreviation":"J. Med. Chem.","language":"eng","note":"PMID: 23343195","page":"1149-1159","source":"PubMed","title":"Molecular determinants of a selective matrix metalloprotease-12 inhibitor: insights from crystallography and thermodynamic studies","title-short":"Molecular determinants of a selective matrix metalloprotease-12 inhibitor","volume":"56","author":[{"family":"Czarny","given":"Bertrand"},{"family":"Stura","given":"Enrico A."},{"family":"Devel","given":"Laurent"},{"family":"Vera","given":"Laura"},{"family":"Cassar-Lajeunesse","given":"Evelyne"},{"family":"Beau","given":"Fabrice"},{"family":"Calderone","given":"Vito"},{"family":"Fragai","given":"Marco"},{"family":"Luchinat","given":"Claudio"},{"family":"Dive","given":"Vincent"}],"issued":{"date-parts":[["2013",2,14]]}}}],"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[33,34]</w:t>
      </w:r>
      <w:r w:rsidR="00910991" w:rsidRPr="001C4CB9">
        <w:rPr>
          <w:b w:val="0"/>
          <w:sz w:val="17"/>
          <w:lang w:val="en-US"/>
        </w:rPr>
        <w:fldChar w:fldCharType="end"/>
      </w:r>
      <w:r w:rsidRPr="001C4CB9">
        <w:rPr>
          <w:b w:val="0"/>
          <w:sz w:val="17"/>
          <w:lang w:val="en-US"/>
        </w:rPr>
        <w:t xml:space="preserve"> revealed that the RXP470.1 P</w:t>
      </w:r>
      <w:r w:rsidRPr="001C4CB9">
        <w:rPr>
          <w:b w:val="0"/>
          <w:sz w:val="17"/>
          <w:vertAlign w:val="subscript"/>
          <w:lang w:val="en-US"/>
        </w:rPr>
        <w:t>3</w:t>
      </w:r>
      <w:r w:rsidRPr="001C4CB9">
        <w:rPr>
          <w:b w:val="0"/>
          <w:sz w:val="17"/>
          <w:lang w:val="en-US"/>
        </w:rPr>
        <w:t xml:space="preserve">’ glutamate faces several </w:t>
      </w:r>
      <w:r w:rsidR="00B73304" w:rsidRPr="001C4CB9">
        <w:rPr>
          <w:b w:val="0"/>
          <w:sz w:val="17"/>
          <w:lang w:val="en-US"/>
        </w:rPr>
        <w:t xml:space="preserve">targetable </w:t>
      </w:r>
      <w:r w:rsidRPr="001C4CB9">
        <w:rPr>
          <w:b w:val="0"/>
          <w:sz w:val="17"/>
          <w:lang w:val="en-US"/>
        </w:rPr>
        <w:t>nucleophiles (Lysine</w:t>
      </w:r>
      <w:r w:rsidR="002C55BE" w:rsidRPr="001C4CB9">
        <w:rPr>
          <w:b w:val="0"/>
          <w:sz w:val="17"/>
          <w:vertAlign w:val="superscript"/>
          <w:lang w:val="en-US"/>
        </w:rPr>
        <w:t>177</w:t>
      </w:r>
      <w:r w:rsidRPr="001C4CB9">
        <w:rPr>
          <w:b w:val="0"/>
          <w:sz w:val="17"/>
          <w:lang w:val="en-US"/>
        </w:rPr>
        <w:t>, Threonine</w:t>
      </w:r>
      <w:r w:rsidR="002C55BE" w:rsidRPr="001C4CB9">
        <w:rPr>
          <w:b w:val="0"/>
          <w:sz w:val="17"/>
          <w:vertAlign w:val="superscript"/>
          <w:lang w:val="en-US"/>
        </w:rPr>
        <w:t>210</w:t>
      </w:r>
      <w:r w:rsidRPr="001C4CB9">
        <w:rPr>
          <w:b w:val="0"/>
          <w:sz w:val="17"/>
          <w:lang w:val="en-US"/>
        </w:rPr>
        <w:t xml:space="preserve"> </w:t>
      </w:r>
      <w:r w:rsidR="002C55BE" w:rsidRPr="001C4CB9">
        <w:rPr>
          <w:b w:val="0"/>
          <w:sz w:val="17"/>
          <w:lang w:val="en-US"/>
        </w:rPr>
        <w:t>Tyrosine</w:t>
      </w:r>
      <w:r w:rsidR="002C55BE" w:rsidRPr="001C4CB9">
        <w:rPr>
          <w:b w:val="0"/>
          <w:sz w:val="17"/>
          <w:vertAlign w:val="superscript"/>
          <w:lang w:val="en-US"/>
        </w:rPr>
        <w:t>240</w:t>
      </w:r>
      <w:r w:rsidR="00AA0519" w:rsidRPr="001C4CB9">
        <w:rPr>
          <w:b w:val="0"/>
          <w:sz w:val="17"/>
          <w:lang w:val="en-US"/>
        </w:rPr>
        <w:t xml:space="preserve"> and Lysine</w:t>
      </w:r>
      <w:r w:rsidR="00AA0519" w:rsidRPr="001C4CB9">
        <w:rPr>
          <w:b w:val="0"/>
          <w:sz w:val="17"/>
          <w:vertAlign w:val="superscript"/>
          <w:lang w:val="en-US"/>
        </w:rPr>
        <w:t>241</w:t>
      </w:r>
      <w:r w:rsidR="00B73304" w:rsidRPr="001C4CB9">
        <w:rPr>
          <w:b w:val="0"/>
          <w:sz w:val="17"/>
          <w:lang w:val="en-US"/>
        </w:rPr>
        <w:t xml:space="preserve"> </w:t>
      </w:r>
      <w:r w:rsidR="009F45B6" w:rsidRPr="001C4CB9">
        <w:rPr>
          <w:b w:val="0"/>
          <w:sz w:val="17"/>
          <w:lang w:val="en-US"/>
        </w:rPr>
        <w:t>Figure 1A</w:t>
      </w:r>
      <w:r w:rsidRPr="001C4CB9">
        <w:rPr>
          <w:b w:val="0"/>
          <w:sz w:val="17"/>
          <w:lang w:val="en-US"/>
        </w:rPr>
        <w:t>).</w:t>
      </w:r>
      <w:r w:rsidRPr="001C4CB9">
        <w:rPr>
          <w:lang w:val="en-US"/>
        </w:rPr>
        <w:t xml:space="preserve"> </w:t>
      </w:r>
      <w:r w:rsidRPr="001C4CB9">
        <w:rPr>
          <w:b w:val="0"/>
          <w:sz w:val="17"/>
          <w:lang w:val="en-US"/>
        </w:rPr>
        <w:t>Based on these observations and considering that this P</w:t>
      </w:r>
      <w:r w:rsidRPr="001C4CB9">
        <w:rPr>
          <w:b w:val="0"/>
          <w:sz w:val="17"/>
          <w:vertAlign w:val="subscript"/>
          <w:lang w:val="en-US"/>
        </w:rPr>
        <w:t>3</w:t>
      </w:r>
      <w:r w:rsidRPr="001C4CB9">
        <w:rPr>
          <w:b w:val="0"/>
          <w:sz w:val="17"/>
          <w:lang w:val="en-US"/>
        </w:rPr>
        <w:t xml:space="preserve">’ glutamate was not essential to maintain a </w:t>
      </w:r>
      <w:r w:rsidR="003E509E" w:rsidRPr="001C4CB9">
        <w:rPr>
          <w:b w:val="0"/>
          <w:sz w:val="17"/>
          <w:lang w:val="en-US"/>
        </w:rPr>
        <w:t>favorable</w:t>
      </w:r>
      <w:r w:rsidRPr="001C4CB9">
        <w:rPr>
          <w:b w:val="0"/>
          <w:sz w:val="17"/>
          <w:lang w:val="en-US"/>
        </w:rPr>
        <w:t xml:space="preserve"> affinity-selectivity profile toward hMMP-12</w:t>
      </w:r>
      <w:r w:rsidR="00910991" w:rsidRPr="001C4CB9">
        <w:rPr>
          <w:b w:val="0"/>
          <w:sz w:val="17"/>
          <w:lang w:val="en-US"/>
        </w:rPr>
        <w:fldChar w:fldCharType="begin"/>
      </w:r>
      <w:r w:rsidR="00910991" w:rsidRPr="001C4CB9">
        <w:rPr>
          <w:b w:val="0"/>
          <w:sz w:val="17"/>
          <w:lang w:val="en-US"/>
        </w:rPr>
        <w:instrText xml:space="preserve"> ADDIN ZOTERO_ITEM CSL_CITATION {"citationID":"yWafu4ZA","properties":{"formattedCitation":"\\super [34]\\nosupersub{}","plainCitation":"[34]","noteIndex":0},"citationItems":[{"id":102,"uris":["http://zotero.org/users/local/t888UWzB/items/KUVXQFUX"],"uri":["http://zotero.org/users/local/t888UWzB/items/KUVXQFUX"],"itemData":{"id":102,"type":"article-journal","abstract":"The molecular determinants responsible for the potency of the RXP470.1 phosphinic peptide inhibitor toward matrix metalloprotease-12 (MMP-12) remain elusive. To address this issue, structure-activity study, X-ray crystallography, and isothermal titration calorimetry (ITC) experiments were performed. The crystal structure of MMP-12/inhibitor complex (1.15 Å) reveals that the inhibitor establishes multiple interactions with the MMP-12 active site, with its long P(1)' side chain filling most of the S(1)' deep cavity. ITC experiments indicate that the binding of this inhibitor to MMP-12 is mostly entropy driven (ΔG° = -13.1 kcal/mol, ΔH° = -2.53 kcal/mol, and -TΔS° = -10.60 kcal/mol) and involves a proton uptake from the buffer. Comparing phosphinic versus hydroxamate inhibitors reveals that the chelation of the zinc ion is slightly different, leading the inhibitor backbone to adopt a position in which the hydrogen bonding with the MMP-12 active site is less favorable in phosphinic inhibitor while maintaining high affinity.","container-title":"Journal of Medicinal Chemistry","DOI":"10.1021/jm301574d","ISSN":"1520-4804","issue":"3","journalAbbreviation":"J. Med. Chem.","language":"eng","note":"PMID: 23343195","page":"1149-1159","source":"PubMed","title":"Molecular determinants of a selective matrix metalloprotease-12 inhibitor: insights from crystallography and thermodynamic studies","title-short":"Molecular determinants of a selective matrix metalloprotease-12 inhibitor","volume":"56","author":[{"family":"Czarny","given":"Bertrand"},{"family":"Stura","given":"Enrico A."},{"family":"Devel","given":"Laurent"},{"family":"Vera","given":"Laura"},{"family":"Cassar-Lajeunesse","given":"Evelyne"},{"family":"Beau","given":"Fabrice"},{"family":"Calderone","given":"Vito"},{"family":"Fragai","given":"Marco"},{"family":"Luchinat","given":"Claudio"},{"family":"Dive","given":"Vincent"}],"issued":{"date-parts":[["2013",2,14]]}}}],"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[34]</w:t>
      </w:r>
      <w:r w:rsidR="00910991" w:rsidRPr="001C4CB9">
        <w:rPr>
          <w:b w:val="0"/>
          <w:sz w:val="17"/>
          <w:lang w:val="en-US"/>
        </w:rPr>
        <w:fldChar w:fldCharType="end"/>
      </w:r>
      <w:r w:rsidRPr="001C4CB9">
        <w:rPr>
          <w:b w:val="0"/>
          <w:sz w:val="17"/>
          <w:lang w:val="en-US"/>
        </w:rPr>
        <w:t xml:space="preserve">, we decided to </w:t>
      </w:r>
      <w:r w:rsidR="00704157" w:rsidRPr="001C4CB9">
        <w:rPr>
          <w:b w:val="0"/>
          <w:sz w:val="17"/>
          <w:lang w:val="en-US"/>
        </w:rPr>
        <w:t xml:space="preserve">maintain </w:t>
      </w:r>
      <w:r w:rsidRPr="001C4CB9">
        <w:rPr>
          <w:b w:val="0"/>
          <w:sz w:val="17"/>
          <w:lang w:val="en-US"/>
        </w:rPr>
        <w:t>the P</w:t>
      </w:r>
      <w:r w:rsidRPr="001C4CB9">
        <w:rPr>
          <w:b w:val="0"/>
          <w:sz w:val="17"/>
          <w:vertAlign w:val="subscript"/>
          <w:lang w:val="en-US"/>
        </w:rPr>
        <w:t>1</w:t>
      </w:r>
      <w:r w:rsidRPr="001C4CB9">
        <w:rPr>
          <w:b w:val="0"/>
          <w:sz w:val="17"/>
          <w:lang w:val="en-US"/>
        </w:rPr>
        <w:t>’ and P</w:t>
      </w:r>
      <w:r w:rsidRPr="001C4CB9">
        <w:rPr>
          <w:b w:val="0"/>
          <w:sz w:val="17"/>
          <w:vertAlign w:val="subscript"/>
          <w:lang w:val="en-US"/>
        </w:rPr>
        <w:t>2</w:t>
      </w:r>
      <w:r w:rsidRPr="001C4CB9">
        <w:rPr>
          <w:b w:val="0"/>
          <w:sz w:val="17"/>
          <w:lang w:val="en-US"/>
        </w:rPr>
        <w:t xml:space="preserve">’ side chains of RXP470.1 and to introduce </w:t>
      </w:r>
      <w:r w:rsidR="00E250DB" w:rsidRPr="001C4CB9">
        <w:rPr>
          <w:b w:val="0"/>
          <w:sz w:val="17"/>
          <w:lang w:val="en-US"/>
        </w:rPr>
        <w:t xml:space="preserve">a </w:t>
      </w:r>
      <w:r w:rsidRPr="001C4CB9">
        <w:rPr>
          <w:b w:val="0"/>
          <w:sz w:val="17"/>
          <w:lang w:val="en-US"/>
        </w:rPr>
        <w:t>cleavable linker in the P</w:t>
      </w:r>
      <w:r w:rsidRPr="001C4CB9">
        <w:rPr>
          <w:b w:val="0"/>
          <w:sz w:val="17"/>
          <w:vertAlign w:val="subscript"/>
          <w:lang w:val="en-US"/>
        </w:rPr>
        <w:t>3</w:t>
      </w:r>
      <w:r w:rsidRPr="001C4CB9">
        <w:rPr>
          <w:b w:val="0"/>
          <w:sz w:val="17"/>
          <w:lang w:val="en-US"/>
        </w:rPr>
        <w:t xml:space="preserve">’ position. Two distinct cleavable linkers were selected (Figure 1B); the acyl imidazole linker that can react with </w:t>
      </w:r>
      <w:r w:rsidR="00E82562" w:rsidRPr="001C4CB9">
        <w:rPr>
          <w:b w:val="0"/>
          <w:sz w:val="17"/>
          <w:lang w:val="en-US"/>
        </w:rPr>
        <w:t>L</w:t>
      </w:r>
      <w:r w:rsidRPr="001C4CB9">
        <w:rPr>
          <w:b w:val="0"/>
          <w:sz w:val="17"/>
          <w:lang w:val="en-US"/>
        </w:rPr>
        <w:t xml:space="preserve">ysine, </w:t>
      </w:r>
      <w:r w:rsidR="00E82562" w:rsidRPr="001C4CB9">
        <w:rPr>
          <w:b w:val="0"/>
          <w:sz w:val="17"/>
          <w:lang w:val="en-US"/>
        </w:rPr>
        <w:t>S</w:t>
      </w:r>
      <w:r w:rsidRPr="001C4CB9">
        <w:rPr>
          <w:b w:val="0"/>
          <w:sz w:val="17"/>
          <w:lang w:val="en-US"/>
        </w:rPr>
        <w:t xml:space="preserve">erine, </w:t>
      </w:r>
      <w:r w:rsidR="00E82562" w:rsidRPr="001C4CB9">
        <w:rPr>
          <w:b w:val="0"/>
          <w:sz w:val="17"/>
          <w:lang w:val="en-US"/>
        </w:rPr>
        <w:t>T</w:t>
      </w:r>
      <w:r w:rsidRPr="001C4CB9">
        <w:rPr>
          <w:b w:val="0"/>
          <w:sz w:val="17"/>
          <w:lang w:val="en-US"/>
        </w:rPr>
        <w:t xml:space="preserve">hreonine and </w:t>
      </w:r>
      <w:r w:rsidR="00E82562" w:rsidRPr="001C4CB9">
        <w:rPr>
          <w:b w:val="0"/>
          <w:sz w:val="17"/>
          <w:lang w:val="en-US"/>
        </w:rPr>
        <w:t>T</w:t>
      </w:r>
      <w:r w:rsidRPr="001C4CB9">
        <w:rPr>
          <w:b w:val="0"/>
          <w:sz w:val="17"/>
          <w:lang w:val="en-US"/>
        </w:rPr>
        <w:t>yrosine</w:t>
      </w:r>
      <w:r w:rsidR="00910991" w:rsidRPr="001C4CB9">
        <w:rPr>
          <w:b w:val="0"/>
          <w:sz w:val="17"/>
          <w:lang w:val="en-US"/>
        </w:rPr>
        <w:fldChar w:fldCharType="begin"/>
      </w:r>
      <w:r w:rsidR="00910991" w:rsidRPr="001C4CB9">
        <w:rPr>
          <w:b w:val="0"/>
          <w:sz w:val="17"/>
          <w:lang w:val="en-US"/>
        </w:rPr>
        <w:instrText xml:space="preserve"> ADDIN ZOTERO_ITEM CSL_CITATION {"citationID":"8YSB6LAq","properties":{"formattedCitation":"\\super [35\\uc0\\u8211{}37]\\nosupersub{}","plainCitation":"[35–37]","noteIndex":0},"citationItems":[{"id":359,"uris":["http://zotero.org/users/local/t888UWzB/items/HBFPPP5M"],"uri":["http://zotero.org/users/local/t888UWzB/items/HBFPPP5M"],"itemData":{"id":359,"type":"article-journal","abstract":"Chemistry-based protein labeling in living cells is undoubtedly useful for understanding natural protein functions and for biological/pharmaceutical applications. Here, we report a novel approach for endogenous membrane-bound protein labeling for both in vitro and live cell conditions. A moderately reactive alkyloxyacyl imidazole (AI) assisted by ligand-binding affinity (ligand-directed AI (LDAI)) chemistry allowed us to selectively modify natural proteins, such as dihydrofolate reductase (DHFR) and folate receptor (FR), neither of which could be efficiently labeled using the recently developed ligand-directed tosylate approach. It was clear that LDAI selectively labeled a single Lys(K32) in DHFR, proximal to the ligand-binding pocket. We also demonstrate that the fluorescein-labeled (endogenous, by LDAI) FR works as a fluorescent biosensor on the live KB cell surface, which allowed us to carry out unprecedented in situ kinetic analysis of ligand binding to FR.","container-title":"Journal of the American Chemical Society","DOI":"10.1021/ja2108855","ISSN":"1520-5126","issue":"9","journalAbbreviation":"J. Am. Chem. Soc.","language":"ENG","note":"PMID: 22352855","page":"3961-3964","source":"PubMed","title":"Ligand-directed acyl imidazole chemistry for labeling of membrane-bound proteins on live cells","volume":"134","author":[{"family":"Fujishima","given":"Sho-hei"},{"family":"Yasui","given":"Ryosuke"},{"family":"Miki","given":"Takayuki"},{"family":"Ojida","given":"Akio"},{"family":"Hamachi","given":"Itaru"}],"issued":{"date-parts":[["2012",3,7]]}}},{"id":357,"uris":["http://zotero.org/users/local/t888UWzB/items/WXG9H386"],"uri":["http://zotero.org/users/local/t888UWzB/items/WXG9H386"],"itemData":{"id":357,"type":"article-journal","abstract":"The fast inhibitory actions of γ-aminobutyric acid (GABA) are mainly mediated by GABAA receptors (GABAARs) in the brain. The existence of multiple ligand-binding sites and a lack of structural information have hampered the efficient screening of drugs capable of acting on GABAARs. We have developed semisynthetic fluorescent biosensors for orthosteric and allosteric GABAAR ligands on live cells via coupling of affinity-based chemical labeling reagents to a bimolecular fluorescence quenching and recovery system. These biosensors were amenable to the high-throughput screening of a chemical library, leading to the discovery of new small molecules capable of interacting with GABAARs. Electrophysiological measurements revealed that one hit, 4,4',4″-(4-propyl-[1H]-pyrazole-1,3,5-triyl)trisphenol (PPT), was a novel negative allosteric modulator capable of strongly suppressing GABA-induced chloride currents. Thus, these semisynthetic biosensors represent versatile platforms for screening drugs to treat GABAAR-related neurological disorders, and this strategy can be extended to structurally complicated membrane proteins.","container-title":"Nature Chemical Biology","DOI":"10.1038/nchembio.2150","ISSN":"1552-4469","issue":"10","journalAbbreviation":"Nat. Chem. Biol.","language":"ENG","note":"PMID: 27526031","page":"822-830","source":"PubMed","title":"Discovery of allosteric modulators for GABAA receptors by ligand-directed chemistry","volume":"12","author":[{"family":"Yamaura","given":"Kei"},{"family":"Kiyonaka","given":"Shigeki"},{"family":"Numata","given":"Tomohiro"},{"family":"Inoue","given":"Ryuji"},{"family":"Hamachi","given":"Itaru"}],"issued":{"date-parts":[["2016",10]]}}},{"id":449,"uris":["http://zotero.org/users/local/t888UWzB/items/PWEACU6E"],"uri":["http://zotero.org/users/local/t888UWzB/items/PWEACU6E"],"itemData":{"id":449,"type":"article-journal","abstract":"The location and number of neurotransmitter receptors are dynamically regulated at postsynaptic sites. However, currently available methods for visualizing receptor trafficking require the introduction of genetically engineered receptors into neurons, which can disrupt the normal functioning and processing of the original receptor. Here we report a powerful method for visualizing native α-amino-3-hydroxy-5-methyl-4-isoxazolepropionic acid (AMPA)-type glutamate receptors (AMPARs) which are essential for cognitive functions without any genetic manipulation. This is based on a covalent chemical labelling strategy driven by selective ligand-protein recognition to tether small fluorophores to AMPARs using chemical AMPAR modification (CAM) reagents. The high penetrability of CAM reagents enables visualization of native AMPARs deep in brain tissues without affecting receptor function. Moreover, CAM reagents are used to characterize the diffusion dynamics of endogenous AMPARs in both cultured neurons and hippocampal slices. This method will help clarify the involvement of AMPAR trafficking in various neuropsychiatric and neurodevelopmental disorders.","container-title":"Nature Communications","DOI":"10.1038/ncomms14850","ISSN":"2041-1723","journalAbbreviation":"Nat Commun","language":"eng","note":"PMID: 28387242\nPMCID: PMC5385570","page":"14850","source":"PubMed","title":"Chemical labelling for visualizing native AMPA receptors in live neurons","volume":"8","author":[{"family":"Wakayama","given":"Sho"},{"family":"Kiyonaka","given":"Shigeki"},{"family":"Arai","given":"Itaru"},{"family":"Kakegawa","given":"Wataru"},{"family":"Matsuda","given":"Shinji"},{"family":"Ibata","given":"Keiji"},{"family":"Nemoto","given":"Yuri L."},{"family":"Kusumi","given":"Akihiro"},{"family":"Yuzaki","given":"Michisuke"},{"family":"Hamachi","given":"Itaru"}],"issued":{"date-parts":[["2017",4,7]]}}}],"schema":"https://github.com/citation-style-language/schema/raw/master/csl-citation.json"}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[35–37]</w:t>
      </w:r>
      <w:r w:rsidR="00910991" w:rsidRPr="001C4CB9">
        <w:rPr>
          <w:b w:val="0"/>
          <w:sz w:val="17"/>
          <w:lang w:val="en-US"/>
        </w:rPr>
        <w:fldChar w:fldCharType="end"/>
      </w:r>
      <w:r w:rsidR="00910991" w:rsidRPr="001C4CB9">
        <w:rPr>
          <w:b w:val="0"/>
          <w:sz w:val="17"/>
          <w:lang w:val="en-US"/>
        </w:rPr>
        <w:t xml:space="preserve"> </w:t>
      </w:r>
      <w:r w:rsidRPr="001C4CB9">
        <w:rPr>
          <w:b w:val="0"/>
          <w:sz w:val="17"/>
          <w:lang w:val="en-US"/>
        </w:rPr>
        <w:t xml:space="preserve">and the N-acyl-N-alkyl </w:t>
      </w:r>
      <w:proofErr w:type="spellStart"/>
      <w:r w:rsidRPr="001C4CB9">
        <w:rPr>
          <w:b w:val="0"/>
          <w:sz w:val="17"/>
          <w:lang w:val="en-US"/>
        </w:rPr>
        <w:t>sulphonamide</w:t>
      </w:r>
      <w:proofErr w:type="spellEnd"/>
      <w:r w:rsidRPr="001C4CB9">
        <w:rPr>
          <w:b w:val="0"/>
          <w:sz w:val="17"/>
          <w:lang w:val="en-US"/>
        </w:rPr>
        <w:t xml:space="preserve"> (NASA) linker that has been described to </w:t>
      </w:r>
      <w:r w:rsidR="00344AB1" w:rsidRPr="001C4CB9">
        <w:rPr>
          <w:b w:val="0"/>
          <w:sz w:val="17"/>
          <w:lang w:val="en-US"/>
        </w:rPr>
        <w:t xml:space="preserve">preferentially </w:t>
      </w:r>
      <w:r w:rsidR="00704157" w:rsidRPr="001C4CB9">
        <w:rPr>
          <w:b w:val="0"/>
          <w:sz w:val="17"/>
          <w:lang w:val="en-US"/>
        </w:rPr>
        <w:t>react with</w:t>
      </w:r>
      <w:r w:rsidRPr="001C4CB9">
        <w:rPr>
          <w:b w:val="0"/>
          <w:sz w:val="17"/>
          <w:lang w:val="en-US"/>
        </w:rPr>
        <w:t xml:space="preserve"> </w:t>
      </w:r>
      <w:r w:rsidR="00E82562" w:rsidRPr="001C4CB9">
        <w:rPr>
          <w:b w:val="0"/>
          <w:sz w:val="17"/>
          <w:lang w:val="en-US"/>
        </w:rPr>
        <w:t>L</w:t>
      </w:r>
      <w:r w:rsidRPr="001C4CB9">
        <w:rPr>
          <w:b w:val="0"/>
          <w:sz w:val="17"/>
          <w:lang w:val="en-US"/>
        </w:rPr>
        <w:t>ysine residues</w:t>
      </w:r>
      <w:r w:rsidR="00910991" w:rsidRPr="001C4CB9">
        <w:rPr>
          <w:b w:val="0"/>
          <w:sz w:val="17"/>
          <w:lang w:val="en-US"/>
        </w:rPr>
        <w:fldChar w:fldCharType="begin"/>
      </w:r>
      <w:r w:rsidR="00910991" w:rsidRPr="001C4CB9">
        <w:rPr>
          <w:b w:val="0"/>
          <w:sz w:val="17"/>
          <w:lang w:val="en-US"/>
        </w:rPr>
        <w:instrText xml:space="preserve"> ADDIN ZOTERO_ITEM CSL_CITATION {"citationID":"8ibjegGB","properties":{"formattedCitation":"\\super [38]\\nosupersub{}","plainCitation":"[38]","noteIndex":0},"citationItems":[{"id":878,"uris":["http://zotero.org/users/local/t888UWzB/items/LJTXET7V"],"uri":["http://zotero.org/users/local/t888UWzB/items/LJTXET7V"],"itemData":{"id":878,"type":"article-journal","abstract":"Selective modification of native proteins in live cells is one of the central challenges in recent chemical biology. As a unique bioorthogonal approach, ligand-directed chemistry recently emerged, but the slow kinetics limits its scope. Here we successfully overcome this obstacle using N-acyl-N-alkyl sulfonamide as a reactive group. Quantitative kinetic analyses reveal that ligand-directed N-acyl-N-alkyl sulfonamide chemistry allows for rapid modification of a lysine residue proximal to the ligand binding site of a target protein, with a rate constant of ~104 M-1 s-1, comparable to the fastest bioorthogonal chemistry. Despite some off-target reactions, this method can selectively label both intracellular and membrane-bound endogenous proteins. Moreover, the unique reactivity of N-acyl-N-alkyl sulfonamide enables the rational design of a lysine-targeted covalent inhibitor that shows durable suppression of the activity of Hsp90 in cancer cells. This work provides possibilities to extend the covalent inhibition approach that is currently being reassessed in drug discovery.","container-title":"Nature Communications","DOI":"10.1038/s41467-018-04343-0","ISSN":"2041-1723","issue":"1","journalAbbreviation":"Nat Commun","language":"eng","note":"PMID: 29760386\nPMCID: PMC5951806","page":"1870","source":"PubMed","title":"Rapid labelling and covalent inhibition of intracellular native proteins using ligand-directed N-acyl-N-alkyl sulfonamide","volume":"9","author":[{"family":"Tamura","given":"Tomonori"},{"family":"Ueda","given":"Tsuyoshi"},{"family":"Goto","given":"Taiki"},{"family":"Tsukidate","given":"Taku"},{"family":"Shapira","given":"Yonatan"},{"family":"Nishikawa","given":"Yuki"},{"family":"Fujisawa","given":"Alma"},{"family":"Hamachi","given":"Itaru"}],"issued":{"date-parts":[["2018"]],"season":"14"}}}],"schema":"https://github.com/citation-style-language/schema/raw/master/csl-citation.json"} </w:instrText>
      </w:r>
      <w:r w:rsidR="00910991" w:rsidRPr="001C4CB9">
        <w:rPr>
          <w:b w:val="0"/>
          <w:sz w:val="17"/>
          <w:lang w:val="en-US"/>
        </w:rPr>
        <w:fldChar w:fldCharType="separate"/>
      </w:r>
      <w:r w:rsidR="00910991" w:rsidRPr="001C4CB9">
        <w:rPr>
          <w:rFonts w:cs="Arial"/>
          <w:sz w:val="17"/>
          <w:vertAlign w:val="superscript"/>
          <w:lang w:val="en-US"/>
        </w:rPr>
        <w:t>[38]</w:t>
      </w:r>
      <w:r w:rsidR="00910991" w:rsidRPr="001C4CB9">
        <w:rPr>
          <w:b w:val="0"/>
          <w:sz w:val="17"/>
          <w:lang w:val="en-US"/>
        </w:rPr>
        <w:fldChar w:fldCharType="end"/>
      </w:r>
      <w:r w:rsidRPr="001C4CB9">
        <w:rPr>
          <w:b w:val="0"/>
          <w:sz w:val="17"/>
          <w:lang w:val="en-US"/>
        </w:rPr>
        <w:t xml:space="preserve">. Those cleavable linkers were conjugated </w:t>
      </w:r>
      <w:r w:rsidR="00B93A9C" w:rsidRPr="001C4CB9">
        <w:rPr>
          <w:b w:val="0"/>
          <w:sz w:val="17"/>
          <w:lang w:val="en-US"/>
        </w:rPr>
        <w:t>on</w:t>
      </w:r>
      <w:r w:rsidRPr="001C4CB9">
        <w:rPr>
          <w:b w:val="0"/>
          <w:sz w:val="17"/>
          <w:lang w:val="en-US"/>
        </w:rPr>
        <w:t xml:space="preserve">to the </w:t>
      </w:r>
      <w:r w:rsidRPr="001C4CB9">
        <w:rPr>
          <w:rFonts w:ascii="Symbol" w:hAnsi="Symbol"/>
          <w:b w:val="0"/>
          <w:sz w:val="17"/>
          <w:lang w:val="en-US"/>
        </w:rPr>
        <w:t></w:t>
      </w:r>
      <w:r w:rsidRPr="001C4CB9">
        <w:rPr>
          <w:b w:val="0"/>
          <w:sz w:val="17"/>
          <w:lang w:val="en-US"/>
        </w:rPr>
        <w:t>-amino group of a P</w:t>
      </w:r>
      <w:r w:rsidRPr="001C4CB9">
        <w:rPr>
          <w:b w:val="0"/>
          <w:sz w:val="17"/>
          <w:vertAlign w:val="subscript"/>
          <w:lang w:val="en-US"/>
        </w:rPr>
        <w:t>3</w:t>
      </w:r>
      <w:r w:rsidRPr="001C4CB9">
        <w:rPr>
          <w:b w:val="0"/>
          <w:sz w:val="17"/>
          <w:lang w:val="en-US"/>
        </w:rPr>
        <w:t xml:space="preserve">’ lysine possessing a side chain of suitable length and flexibility to </w:t>
      </w:r>
      <w:r w:rsidRPr="001C4CB9">
        <w:rPr>
          <w:b w:val="0"/>
          <w:sz w:val="17"/>
          <w:lang w:val="en-US"/>
        </w:rPr>
        <w:lastRenderedPageBreak/>
        <w:t xml:space="preserve">direct them towards the targeted amino acid </w:t>
      </w:r>
      <w:r w:rsidR="00FA7EC7" w:rsidRPr="001C4CB9">
        <w:rPr>
          <w:b w:val="0"/>
          <w:sz w:val="17"/>
          <w:lang w:val="en-US"/>
        </w:rPr>
        <w:t>residues.</w:t>
      </w:r>
      <w:r w:rsidR="001B0ACD" w:rsidRPr="001C4CB9">
        <w:rPr>
          <w:b w:val="0"/>
          <w:sz w:val="17"/>
          <w:lang w:val="en-US"/>
        </w:rPr>
        <w:t xml:space="preserve"> </w:t>
      </w:r>
      <w:r w:rsidR="00B93A9C" w:rsidRPr="001C4CB9">
        <w:rPr>
          <w:b w:val="0"/>
          <w:sz w:val="17"/>
          <w:lang w:val="en-US"/>
        </w:rPr>
        <w:t xml:space="preserve">A </w:t>
      </w:r>
      <w:r w:rsidR="00AE6E35" w:rsidRPr="001C4CB9">
        <w:rPr>
          <w:b w:val="0"/>
          <w:sz w:val="17"/>
          <w:lang w:val="en-US"/>
        </w:rPr>
        <w:t xml:space="preserve">sulfonated </w:t>
      </w:r>
      <w:r w:rsidRPr="001C4CB9">
        <w:rPr>
          <w:b w:val="0"/>
          <w:sz w:val="17"/>
          <w:lang w:val="en-US"/>
        </w:rPr>
        <w:t>cyanine 3 (Cy3)</w:t>
      </w:r>
      <w:r w:rsidR="00B93A9C" w:rsidRPr="001C4CB9">
        <w:rPr>
          <w:b w:val="0"/>
          <w:sz w:val="17"/>
          <w:lang w:val="en-US"/>
        </w:rPr>
        <w:t xml:space="preserve"> as a fluorescent tag for subsequent in-gel labeled-protein detection</w:t>
      </w:r>
      <w:r w:rsidRPr="001C4CB9">
        <w:rPr>
          <w:b w:val="0"/>
          <w:sz w:val="17"/>
          <w:lang w:val="en-US"/>
        </w:rPr>
        <w:t xml:space="preserve"> </w:t>
      </w:r>
      <w:r w:rsidR="00B02B5C" w:rsidRPr="001C4CB9">
        <w:rPr>
          <w:b w:val="0"/>
          <w:sz w:val="17"/>
          <w:lang w:val="en-US"/>
        </w:rPr>
        <w:t xml:space="preserve">was </w:t>
      </w:r>
      <w:r w:rsidR="00B93A9C" w:rsidRPr="001C4CB9">
        <w:rPr>
          <w:b w:val="0"/>
          <w:sz w:val="17"/>
          <w:lang w:val="en-US"/>
        </w:rPr>
        <w:t>attached to the other side of the cleavable linkers</w:t>
      </w:r>
      <w:r w:rsidR="00704157" w:rsidRPr="001C4CB9">
        <w:rPr>
          <w:b w:val="0"/>
          <w:sz w:val="17"/>
          <w:lang w:val="en-US"/>
        </w:rPr>
        <w:t xml:space="preserve"> </w:t>
      </w:r>
      <w:r w:rsidRPr="001C4CB9">
        <w:rPr>
          <w:b w:val="0"/>
          <w:sz w:val="17"/>
          <w:lang w:val="en-US"/>
        </w:rPr>
        <w:t>(</w:t>
      </w:r>
      <w:r w:rsidR="009F45B6" w:rsidRPr="001C4CB9">
        <w:rPr>
          <w:b w:val="0"/>
          <w:sz w:val="17"/>
          <w:lang w:val="en-US"/>
        </w:rPr>
        <w:t xml:space="preserve">Figure </w:t>
      </w:r>
      <w:r w:rsidRPr="001C4CB9">
        <w:rPr>
          <w:b w:val="0"/>
          <w:sz w:val="17"/>
          <w:lang w:val="en-US"/>
        </w:rPr>
        <w:t>1</w:t>
      </w:r>
      <w:r w:rsidR="009F45B6" w:rsidRPr="001C4CB9">
        <w:rPr>
          <w:b w:val="0"/>
          <w:sz w:val="17"/>
          <w:lang w:val="en-US"/>
        </w:rPr>
        <w:t>C</w:t>
      </w:r>
      <w:r w:rsidRPr="001C4CB9">
        <w:rPr>
          <w:b w:val="0"/>
          <w:sz w:val="17"/>
          <w:lang w:val="en-US"/>
        </w:rPr>
        <w:t>).</w:t>
      </w:r>
    </w:p>
    <w:p w:rsidR="00E20F07" w:rsidRPr="001C4CB9" w:rsidRDefault="00E20F07" w:rsidP="00121DAC">
      <w:pPr>
        <w:pStyle w:val="P1"/>
      </w:pPr>
      <w:r w:rsidRPr="001C4CB9">
        <w:t xml:space="preserve">Herein, we report the evaluation </w:t>
      </w:r>
      <w:r w:rsidR="00A857BA" w:rsidRPr="001C4CB9">
        <w:t xml:space="preserve">of </w:t>
      </w:r>
      <w:r w:rsidRPr="001C4CB9">
        <w:t xml:space="preserve">RXP470-derived probes </w:t>
      </w:r>
      <w:r w:rsidRPr="001C4CB9">
        <w:rPr>
          <w:b/>
        </w:rPr>
        <w:t>1</w:t>
      </w:r>
      <w:r w:rsidRPr="001C4CB9">
        <w:t xml:space="preserve"> and </w:t>
      </w:r>
      <w:r w:rsidRPr="001C4CB9">
        <w:rPr>
          <w:b/>
        </w:rPr>
        <w:t>2</w:t>
      </w:r>
      <w:r w:rsidRPr="001C4CB9">
        <w:t xml:space="preserve"> toward </w:t>
      </w:r>
      <w:r w:rsidR="00FF5D32" w:rsidRPr="001C4CB9">
        <w:t>recombinant human MMPs</w:t>
      </w:r>
      <w:r w:rsidRPr="001C4CB9">
        <w:t xml:space="preserve"> (</w:t>
      </w:r>
      <w:proofErr w:type="spellStart"/>
      <w:r w:rsidRPr="001C4CB9">
        <w:t>rhMMP</w:t>
      </w:r>
      <w:r w:rsidR="00487FB0" w:rsidRPr="001C4CB9">
        <w:t>s</w:t>
      </w:r>
      <w:proofErr w:type="spellEnd"/>
      <w:r w:rsidRPr="001C4CB9">
        <w:t xml:space="preserve">). We first showed that these </w:t>
      </w:r>
      <w:r w:rsidR="000A61F3" w:rsidRPr="001C4CB9">
        <w:t xml:space="preserve">two </w:t>
      </w:r>
      <w:r w:rsidRPr="001C4CB9">
        <w:t>probes covalently modif</w:t>
      </w:r>
      <w:r w:rsidR="007B715E" w:rsidRPr="001C4CB9">
        <w:t>ied</w:t>
      </w:r>
      <w:r w:rsidRPr="001C4CB9">
        <w:t xml:space="preserve"> rhMM12 through a proximity driven reaction. We unambiguously identified </w:t>
      </w:r>
      <w:r w:rsidR="00CE2E3B" w:rsidRPr="001C4CB9">
        <w:t>Lys</w:t>
      </w:r>
      <w:r w:rsidR="00CE2E3B" w:rsidRPr="001C4CB9">
        <w:rPr>
          <w:vertAlign w:val="superscript"/>
        </w:rPr>
        <w:t>177</w:t>
      </w:r>
      <w:r w:rsidR="00CE2E3B" w:rsidRPr="001C4CB9">
        <w:t xml:space="preserve"> as </w:t>
      </w:r>
      <w:r w:rsidRPr="001C4CB9">
        <w:t>the privileged amino acid targeted within the rhMMP-12 S</w:t>
      </w:r>
      <w:r w:rsidRPr="001C4CB9">
        <w:rPr>
          <w:vertAlign w:val="subscript"/>
        </w:rPr>
        <w:t>3</w:t>
      </w:r>
      <w:r w:rsidRPr="001C4CB9">
        <w:t xml:space="preserve">’ region and reported that a </w:t>
      </w:r>
      <w:r w:rsidR="00E250DB" w:rsidRPr="001C4CB9">
        <w:t>Cy3</w:t>
      </w:r>
      <w:r w:rsidRPr="001C4CB9">
        <w:t xml:space="preserve"> moiety installed on </w:t>
      </w:r>
      <w:r w:rsidR="00CE2E3B" w:rsidRPr="001C4CB9">
        <w:t>this position</w:t>
      </w:r>
      <w:r w:rsidRPr="001C4CB9">
        <w:t xml:space="preserve"> only slightly </w:t>
      </w:r>
      <w:r w:rsidR="00A82090" w:rsidRPr="001C4CB9">
        <w:t>impaired</w:t>
      </w:r>
      <w:r w:rsidRPr="001C4CB9">
        <w:t xml:space="preserve"> the catalytic activity of this protease. When tested on a set of </w:t>
      </w:r>
      <w:proofErr w:type="spellStart"/>
      <w:r w:rsidR="00FF5D32" w:rsidRPr="001C4CB9">
        <w:t>rh</w:t>
      </w:r>
      <w:r w:rsidRPr="001C4CB9">
        <w:t>MMPs</w:t>
      </w:r>
      <w:proofErr w:type="spellEnd"/>
      <w:r w:rsidRPr="001C4CB9">
        <w:t xml:space="preserve">, we demonstrated that the two chemical probes </w:t>
      </w:r>
      <w:r w:rsidR="00E82562" w:rsidRPr="001C4CB9">
        <w:t xml:space="preserve">selectively and efficiently </w:t>
      </w:r>
      <w:r w:rsidR="0058115F" w:rsidRPr="001C4CB9">
        <w:t xml:space="preserve">react </w:t>
      </w:r>
      <w:r w:rsidR="00CE2E3B" w:rsidRPr="001C4CB9">
        <w:t xml:space="preserve">with </w:t>
      </w:r>
      <w:r w:rsidRPr="001C4CB9">
        <w:t>rhMMP-12</w:t>
      </w:r>
      <w:r w:rsidR="00AF73F4" w:rsidRPr="001C4CB9">
        <w:t xml:space="preserve"> but could also </w:t>
      </w:r>
      <w:r w:rsidR="00E02572" w:rsidRPr="001C4CB9">
        <w:t>crosslink</w:t>
      </w:r>
      <w:r w:rsidR="00AF73F4" w:rsidRPr="001C4CB9">
        <w:t xml:space="preserve"> </w:t>
      </w:r>
      <w:r w:rsidR="006C71F2" w:rsidRPr="001C4CB9">
        <w:t xml:space="preserve">some </w:t>
      </w:r>
      <w:r w:rsidR="00AF73F4" w:rsidRPr="001C4CB9">
        <w:t>other MMPs</w:t>
      </w:r>
      <w:r w:rsidRPr="001C4CB9">
        <w:t xml:space="preserve">. Finally, this affinity-labelling approach was </w:t>
      </w:r>
      <w:r w:rsidR="00AF73F4" w:rsidRPr="001C4CB9">
        <w:t xml:space="preserve">successfully </w:t>
      </w:r>
      <w:r w:rsidRPr="001C4CB9">
        <w:t xml:space="preserve">applied to the labelling of </w:t>
      </w:r>
      <w:r w:rsidR="00E02572" w:rsidRPr="001C4CB9">
        <w:t>r</w:t>
      </w:r>
      <w:r w:rsidR="0082795B" w:rsidRPr="001C4CB9">
        <w:t>hMMP12</w:t>
      </w:r>
      <w:r w:rsidR="00034564" w:rsidRPr="001C4CB9">
        <w:t xml:space="preserve"> </w:t>
      </w:r>
      <w:r w:rsidR="002C55BE" w:rsidRPr="001C4CB9">
        <w:t>at n</w:t>
      </w:r>
      <w:r w:rsidR="007E3E01" w:rsidRPr="001C4CB9">
        <w:t>ano</w:t>
      </w:r>
      <w:r w:rsidR="002C55BE" w:rsidRPr="001C4CB9">
        <w:t>g</w:t>
      </w:r>
      <w:r w:rsidR="007E3E01" w:rsidRPr="001C4CB9">
        <w:t>ram</w:t>
      </w:r>
      <w:r w:rsidR="002C55BE" w:rsidRPr="001C4CB9">
        <w:t xml:space="preserve"> scale </w:t>
      </w:r>
      <w:r w:rsidR="00034564" w:rsidRPr="001C4CB9">
        <w:t>present at 0,</w:t>
      </w:r>
      <w:r w:rsidR="00367D6A" w:rsidRPr="001C4CB9">
        <w:t>07</w:t>
      </w:r>
      <w:r w:rsidR="00034564" w:rsidRPr="001C4CB9">
        <w:t>%</w:t>
      </w:r>
      <w:r w:rsidR="002C55BE" w:rsidRPr="001C4CB9">
        <w:t>(w/w)</w:t>
      </w:r>
      <w:r w:rsidR="00034564" w:rsidRPr="001C4CB9">
        <w:t xml:space="preserve"> in various </w:t>
      </w:r>
      <w:r w:rsidR="006C71F2" w:rsidRPr="001C4CB9">
        <w:t xml:space="preserve">native </w:t>
      </w:r>
      <w:r w:rsidR="00034564" w:rsidRPr="001C4CB9">
        <w:t xml:space="preserve">proteomes and </w:t>
      </w:r>
      <w:r w:rsidR="00CC2FC5" w:rsidRPr="001C4CB9">
        <w:t xml:space="preserve">to that of </w:t>
      </w:r>
      <w:r w:rsidR="00AF73F4" w:rsidRPr="001C4CB9">
        <w:t xml:space="preserve">active </w:t>
      </w:r>
      <w:r w:rsidRPr="001C4CB9">
        <w:t xml:space="preserve">mouse MMP-12 (mMMP-12) secreted by </w:t>
      </w:r>
      <w:r w:rsidR="00DC4478" w:rsidRPr="001C4CB9">
        <w:t>eukaryot</w:t>
      </w:r>
      <w:r w:rsidR="007E3E01" w:rsidRPr="001C4CB9">
        <w:t xml:space="preserve">e </w:t>
      </w:r>
      <w:r w:rsidRPr="001C4CB9">
        <w:t>cells.</w:t>
      </w:r>
    </w:p>
    <w:p w:rsidR="00C00B45" w:rsidRPr="001C4CB9" w:rsidRDefault="00C00B45" w:rsidP="00B606D5">
      <w:pPr>
        <w:pStyle w:val="H1"/>
        <w:jc w:val="both"/>
        <w:rPr>
          <w:lang w:val="en-US"/>
        </w:rPr>
      </w:pPr>
      <w:r w:rsidRPr="001C4CB9">
        <w:rPr>
          <w:lang w:val="en-US"/>
        </w:rPr>
        <w:t>Results and Discussion</w:t>
      </w:r>
    </w:p>
    <w:p w:rsidR="00E50F17" w:rsidRPr="001C4CB9" w:rsidRDefault="00E20F07" w:rsidP="00700581">
      <w:pPr>
        <w:pStyle w:val="P1"/>
      </w:pPr>
      <w:r w:rsidRPr="001C4CB9">
        <w:t xml:space="preserve">After synthesis of the fluorescent probes </w:t>
      </w:r>
      <w:r w:rsidRPr="001C4CB9">
        <w:rPr>
          <w:b/>
        </w:rPr>
        <w:t>1</w:t>
      </w:r>
      <w:r w:rsidRPr="001C4CB9">
        <w:t xml:space="preserve"> and </w:t>
      </w:r>
      <w:r w:rsidRPr="001C4CB9">
        <w:rPr>
          <w:b/>
        </w:rPr>
        <w:t>2</w:t>
      </w:r>
      <w:r w:rsidRPr="001C4CB9">
        <w:t xml:space="preserve"> </w:t>
      </w:r>
      <w:r w:rsidR="00CC2FC5" w:rsidRPr="001C4CB9">
        <w:t>(Scheme</w:t>
      </w:r>
      <w:r w:rsidR="00087862" w:rsidRPr="001C4CB9">
        <w:t xml:space="preserve"> S1 and S2 and </w:t>
      </w:r>
      <w:r w:rsidRPr="001C4CB9">
        <w:t>supplementary methods</w:t>
      </w:r>
      <w:r w:rsidR="00087862" w:rsidRPr="001C4CB9">
        <w:t>)</w:t>
      </w:r>
      <w:r w:rsidRPr="001C4CB9">
        <w:t xml:space="preserve">, we first </w:t>
      </w:r>
      <w:r w:rsidR="0052693B" w:rsidRPr="001C4CB9">
        <w:t xml:space="preserve">verified </w:t>
      </w:r>
      <w:r w:rsidRPr="001C4CB9">
        <w:t xml:space="preserve">their affinity and selectivity </w:t>
      </w:r>
      <w:r w:rsidR="001D7ABC" w:rsidRPr="001C4CB9">
        <w:t xml:space="preserve">binding </w:t>
      </w:r>
      <w:r w:rsidRPr="001C4CB9">
        <w:t>profile</w:t>
      </w:r>
      <w:r w:rsidR="00B27B00">
        <w:t>s</w:t>
      </w:r>
      <w:r w:rsidRPr="001C4CB9">
        <w:t xml:space="preserve"> </w:t>
      </w:r>
      <w:r w:rsidR="001B2A38">
        <w:t>toward a set</w:t>
      </w:r>
      <w:r w:rsidR="00F50C0E">
        <w:t xml:space="preserve"> of 8 MMPs</w:t>
      </w:r>
      <w:r w:rsidRPr="001C4CB9">
        <w:t xml:space="preserve">. </w:t>
      </w:r>
      <w:r w:rsidR="00B27B00">
        <w:t>We observed</w:t>
      </w:r>
      <w:r w:rsidR="002D6942">
        <w:t xml:space="preserve"> a slight impact of P</w:t>
      </w:r>
      <w:r w:rsidR="002D6942" w:rsidRPr="00B27B00">
        <w:rPr>
          <w:vertAlign w:val="subscript"/>
        </w:rPr>
        <w:t>3</w:t>
      </w:r>
      <w:r w:rsidR="002D6942">
        <w:t xml:space="preserve">’ </w:t>
      </w:r>
      <w:r w:rsidR="00B27B00">
        <w:t>modification</w:t>
      </w:r>
      <w:r w:rsidR="002D6942">
        <w:t xml:space="preserve"> on </w:t>
      </w:r>
      <w:r w:rsidR="00C87B84">
        <w:t>probes</w:t>
      </w:r>
      <w:r w:rsidR="00B27B00">
        <w:t xml:space="preserve"> binding to MMP12, with a </w:t>
      </w:r>
      <w:proofErr w:type="gramStart"/>
      <w:r w:rsidR="00B27B00">
        <w:t>drop in</w:t>
      </w:r>
      <w:proofErr w:type="gramEnd"/>
      <w:r w:rsidR="00B27B00">
        <w:t xml:space="preserve"> potency </w:t>
      </w:r>
      <w:r w:rsidR="00F11316">
        <w:t>down</w:t>
      </w:r>
      <w:r w:rsidR="00B27B00">
        <w:t xml:space="preserve"> to</w:t>
      </w:r>
      <w:r w:rsidR="001B2A38" w:rsidRPr="001B2A38">
        <w:t xml:space="preserve"> </w:t>
      </w:r>
      <w:r w:rsidR="00B27B00">
        <w:t>a</w:t>
      </w:r>
      <w:r w:rsidR="001B2A38" w:rsidRPr="001B2A38">
        <w:t xml:space="preserve"> factor</w:t>
      </w:r>
      <w:r w:rsidR="00B27B00">
        <w:t xml:space="preserve"> 20</w:t>
      </w:r>
      <w:r w:rsidR="00643DCD">
        <w:t xml:space="preserve"> compared to the parent RXP470.1</w:t>
      </w:r>
      <w:r w:rsidR="00F11316">
        <w:t xml:space="preserve"> </w:t>
      </w:r>
      <w:r w:rsidR="00F11316" w:rsidRPr="001C4CB9">
        <w:t>(Table S1)</w:t>
      </w:r>
      <w:r w:rsidR="00B27B00">
        <w:t>. However,</w:t>
      </w:r>
      <w:r w:rsidR="001B2A38" w:rsidRPr="001B2A38">
        <w:t xml:space="preserve"> the</w:t>
      </w:r>
      <w:r w:rsidR="001F3C89">
        <w:t xml:space="preserve"> probes</w:t>
      </w:r>
      <w:r w:rsidR="00B27B00">
        <w:t xml:space="preserve"> </w:t>
      </w:r>
      <w:r w:rsidR="001B2A38" w:rsidRPr="001B2A38">
        <w:t xml:space="preserve">binding </w:t>
      </w:r>
      <w:r w:rsidR="001F3C89">
        <w:t>affinity</w:t>
      </w:r>
      <w:r w:rsidR="001B2A38" w:rsidRPr="001B2A38">
        <w:t xml:space="preserve"> remain</w:t>
      </w:r>
      <w:r w:rsidR="001F3C89">
        <w:t>ed</w:t>
      </w:r>
      <w:r w:rsidR="001B2A38" w:rsidRPr="001B2A38">
        <w:t xml:space="preserve"> in the tens nanomolar range</w:t>
      </w:r>
      <w:r w:rsidR="001F3C89">
        <w:t xml:space="preserve"> and their selectivity profile largely in favor of MMP-12</w:t>
      </w:r>
      <w:r w:rsidR="001B2A38" w:rsidRPr="001B2A38">
        <w:t>.</w:t>
      </w:r>
      <w:r w:rsidR="001B2A38">
        <w:t xml:space="preserve"> </w:t>
      </w:r>
      <w:r w:rsidR="00FA7EC7" w:rsidRPr="001C4CB9">
        <w:t>Their s</w:t>
      </w:r>
      <w:r w:rsidR="00AE6E35" w:rsidRPr="001C4CB9">
        <w:t xml:space="preserve">tability towards hydrolysis </w:t>
      </w:r>
      <w:r w:rsidRPr="001C4CB9">
        <w:t xml:space="preserve">was </w:t>
      </w:r>
      <w:r w:rsidR="001F3C89">
        <w:t>then</w:t>
      </w:r>
      <w:r w:rsidR="0052693B" w:rsidRPr="001C4CB9">
        <w:t xml:space="preserve"> </w:t>
      </w:r>
      <w:r w:rsidRPr="001C4CB9">
        <w:t xml:space="preserve">examined over time in aqueous buffer (HEPES buffer, pH=7.5 at 37°C). The probes </w:t>
      </w:r>
      <w:r w:rsidRPr="001C4CB9">
        <w:rPr>
          <w:b/>
        </w:rPr>
        <w:t>1</w:t>
      </w:r>
      <w:r w:rsidRPr="001C4CB9">
        <w:t xml:space="preserve"> and </w:t>
      </w:r>
      <w:r w:rsidRPr="001C4CB9">
        <w:rPr>
          <w:b/>
        </w:rPr>
        <w:t xml:space="preserve">2 </w:t>
      </w:r>
      <w:r w:rsidRPr="001C4CB9">
        <w:t xml:space="preserve">displayed half-life </w:t>
      </w:r>
      <w:r w:rsidR="000C7DAD" w:rsidRPr="001C4CB9">
        <w:t xml:space="preserve">times </w:t>
      </w:r>
      <w:r w:rsidRPr="001C4CB9">
        <w:t>of 16 h and 4 h respectively (Figure S</w:t>
      </w:r>
      <w:r w:rsidR="001801CA" w:rsidRPr="001C4CB9">
        <w:t>2</w:t>
      </w:r>
      <w:r w:rsidRPr="001C4CB9">
        <w:t xml:space="preserve">). This difference in hydrolysis rate </w:t>
      </w:r>
      <w:r w:rsidR="00A02F72" w:rsidRPr="001C4CB9">
        <w:t>was</w:t>
      </w:r>
      <w:r w:rsidRPr="001C4CB9">
        <w:t xml:space="preserve"> in accordance with previous reports and evidence</w:t>
      </w:r>
      <w:r w:rsidR="00A02F72" w:rsidRPr="001C4CB9">
        <w:t>d</w:t>
      </w:r>
      <w:r w:rsidRPr="001C4CB9">
        <w:t xml:space="preserve"> that the intrinsic reactivity of the NASA linker was significantly higher than that of the acyl imidazole one</w:t>
      </w:r>
      <w:r w:rsidR="00910991" w:rsidRPr="001C4CB9">
        <w:fldChar w:fldCharType="begin"/>
      </w:r>
      <w:r w:rsidR="00910991" w:rsidRPr="001C4CB9">
        <w:instrText xml:space="preserve"> ADDIN ZOTERO_ITEM CSL_CITATION {"citationID":"z5frdDFk","properties":{"formattedCitation":"\\super [38]\\nosupersub{}","plainCitation":"[38]","noteIndex":0},"citationItems":[{"id":878,"uris":["http://zotero.org/users/local/t888UWzB/items/LJTXET7V"],"uri":["http://zotero.org/users/local/t888UWzB/items/LJTXET7V"],"itemData":{"id":878,"type":"article-journal","abstract":"Selective modification of native proteins in live cells is one of the central challenges in recent chemical biology. As a unique bioorthogonal approach, ligand-directed chemistry recently emerged, but the slow kinetics limits its scope. Here we successfully overcome this obstacle using N-acyl-N-alkyl sulfonamide as a reactive group. Quantitative kinetic analyses reveal that ligand-directed N-acyl-N-alkyl sulfonamide chemistry allows for rapid modification of a lysine residue proximal to the ligand binding site of a target protein, with a rate constant of ~104 M-1 s-1, comparable to the fastest bioorthogonal chemistry. Despite some off-target reactions, this method can selectively label both intracellular and membrane-bound endogenous proteins. Moreover, the unique reactivity of N-acyl-N-alkyl sulfonamide enables the rational design of a lysine-targeted covalent inhibitor that shows durable suppression of the activity of Hsp90 in cancer cells. This work provides possibilities to extend the covalent inhibition approach that is currently being reassessed in drug discovery.","container-title":"Nature Communications","DOI":"10.1038/s41467-018-04343-0","ISSN":"2041-1723","issue":"1","journalAbbreviation":"Nat Commun","language":"eng","note":"PMID: 29760386\nPMCID: PMC5951806","page":"1870","source":"PubMed","title":"Rapid labelling and covalent inhibition of intracellular native proteins using ligand-directed N-acyl-N-alkyl sulfonamide","volume":"9","author":[{"family":"Tamura","given":"Tomonori"},{"family":"Ueda","given":"Tsuyoshi"},{"family":"Goto","given":"Taiki"},{"family":"Tsukidate","given":"Taku"},{"family":"Shapira","given":"Yonatan"},{"family":"Nishikawa","given":"Yuki"},{"family":"Fujisawa","given":"Alma"},{"family":"Hamachi","given":"Itaru"}],"issued":{"date-parts":[["2018"]],"season":"14"}}}],"schema":"https://github.com/citation-style-language/schema/raw/master/csl-citation.json"} </w:instrText>
      </w:r>
      <w:r w:rsidR="00910991" w:rsidRPr="001C4CB9">
        <w:fldChar w:fldCharType="separate"/>
      </w:r>
      <w:r w:rsidR="00910991" w:rsidRPr="001C4CB9">
        <w:rPr>
          <w:rFonts w:cs="Arial"/>
          <w:vertAlign w:val="superscript"/>
        </w:rPr>
        <w:t>[38]</w:t>
      </w:r>
      <w:r w:rsidR="00910991" w:rsidRPr="001C4CB9">
        <w:fldChar w:fldCharType="end"/>
      </w:r>
      <w:r w:rsidRPr="001C4CB9">
        <w:t xml:space="preserve">. </w:t>
      </w:r>
    </w:p>
    <w:p w:rsidR="009C59F6" w:rsidRPr="001C4CB9" w:rsidRDefault="00EF5167" w:rsidP="003A6F19">
      <w:pPr>
        <w:pStyle w:val="P1"/>
      </w:pPr>
      <w:r>
        <w:rPr>
          <w:b/>
          <w:noProof/>
          <w:sz w:val="14"/>
          <w:szCs w:val="14"/>
        </w:rPr>
        <w:drawing>
          <wp:anchor distT="0" distB="0" distL="114300" distR="114300" simplePos="0" relativeHeight="251697152" behindDoc="0" locked="0" layoutInCell="1" allowOverlap="1">
            <wp:simplePos x="0" y="0"/>
            <wp:positionH relativeFrom="column">
              <wp:posOffset>3423</wp:posOffset>
            </wp:positionH>
            <wp:positionV relativeFrom="paragraph">
              <wp:posOffset>363717</wp:posOffset>
            </wp:positionV>
            <wp:extent cx="2959200" cy="3009600"/>
            <wp:effectExtent l="0" t="0" r="0" b="635"/>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2.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59200" cy="3009600"/>
                    </a:xfrm>
                    <a:prstGeom prst="rect">
                      <a:avLst/>
                    </a:prstGeom>
                  </pic:spPr>
                </pic:pic>
              </a:graphicData>
            </a:graphic>
            <wp14:sizeRelH relativeFrom="margin">
              <wp14:pctWidth>0</wp14:pctWidth>
            </wp14:sizeRelH>
            <wp14:sizeRelV relativeFrom="margin">
              <wp14:pctHeight>0</wp14:pctHeight>
            </wp14:sizeRelV>
          </wp:anchor>
        </w:drawing>
      </w:r>
      <w:r w:rsidR="00A82090" w:rsidRPr="001C4CB9">
        <w:t>T</w:t>
      </w:r>
      <w:r w:rsidR="00E20F07" w:rsidRPr="001C4CB9">
        <w:t xml:space="preserve">he reactivity of probe </w:t>
      </w:r>
      <w:r w:rsidR="00E20F07" w:rsidRPr="001C4CB9">
        <w:rPr>
          <w:b/>
        </w:rPr>
        <w:t xml:space="preserve">1 </w:t>
      </w:r>
      <w:r w:rsidR="00E20F07" w:rsidRPr="001C4CB9">
        <w:t xml:space="preserve">(10 µM) towards </w:t>
      </w:r>
      <w:r w:rsidR="003E509E" w:rsidRPr="001C4CB9">
        <w:t>r</w:t>
      </w:r>
      <w:r w:rsidR="00E20F07" w:rsidRPr="001C4CB9">
        <w:t>hMMP-12 (5</w:t>
      </w:r>
      <w:r w:rsidR="00B11DAC" w:rsidRPr="001C4CB9">
        <w:t xml:space="preserve"> </w:t>
      </w:r>
      <w:r w:rsidR="00E20F07" w:rsidRPr="001C4CB9">
        <w:t xml:space="preserve">µM) in HEPES buffer at 37°C </w:t>
      </w:r>
      <w:r w:rsidR="00A82090" w:rsidRPr="001C4CB9">
        <w:t xml:space="preserve">was </w:t>
      </w:r>
      <w:r w:rsidR="008014CD" w:rsidRPr="001C4CB9">
        <w:t xml:space="preserve">then </w:t>
      </w:r>
      <w:r w:rsidR="00A82090" w:rsidRPr="001C4CB9">
        <w:t xml:space="preserve">investigated </w:t>
      </w:r>
      <w:r w:rsidR="00E20F07" w:rsidRPr="001C4CB9">
        <w:t>(</w:t>
      </w:r>
      <w:r w:rsidR="00E20F07" w:rsidRPr="001C4CB9">
        <w:rPr>
          <w:color w:val="000000" w:themeColor="text1"/>
        </w:rPr>
        <w:t xml:space="preserve">Figure </w:t>
      </w:r>
      <w:r w:rsidR="003A6F19" w:rsidRPr="001C4CB9">
        <w:rPr>
          <w:color w:val="000000" w:themeColor="text1"/>
        </w:rPr>
        <w:t>2</w:t>
      </w:r>
      <w:r w:rsidR="00E20F07" w:rsidRPr="001C4CB9">
        <w:rPr>
          <w:color w:val="000000" w:themeColor="text1"/>
        </w:rPr>
        <w:t>A</w:t>
      </w:r>
      <w:r w:rsidR="00E20F07" w:rsidRPr="001C4CB9">
        <w:t xml:space="preserve">). </w:t>
      </w:r>
    </w:p>
    <w:p w:rsidR="009C59F6" w:rsidRPr="001C4CB9" w:rsidRDefault="009C59F6" w:rsidP="009C59F6">
      <w:pPr>
        <w:pStyle w:val="P1"/>
        <w:spacing w:before="230" w:after="460" w:line="180" w:lineRule="exact"/>
        <w:rPr>
          <w:sz w:val="14"/>
          <w:szCs w:val="14"/>
        </w:rPr>
      </w:pPr>
      <w:r w:rsidRPr="001C4CB9">
        <w:rPr>
          <w:b/>
          <w:sz w:val="14"/>
          <w:szCs w:val="14"/>
        </w:rPr>
        <w:t xml:space="preserve">Figure </w:t>
      </w:r>
      <w:r w:rsidR="001F30A4" w:rsidRPr="001C4CB9">
        <w:rPr>
          <w:b/>
          <w:sz w:val="14"/>
          <w:szCs w:val="14"/>
        </w:rPr>
        <w:t>2</w:t>
      </w:r>
      <w:r w:rsidRPr="001C4CB9">
        <w:rPr>
          <w:b/>
          <w:sz w:val="14"/>
          <w:szCs w:val="14"/>
        </w:rPr>
        <w:t>.</w:t>
      </w:r>
      <w:r w:rsidRPr="001C4CB9">
        <w:rPr>
          <w:sz w:val="14"/>
          <w:szCs w:val="14"/>
        </w:rPr>
        <w:t xml:space="preserve"> rhMMP-12 labelling by probe </w:t>
      </w:r>
      <w:r w:rsidRPr="001C4CB9">
        <w:rPr>
          <w:b/>
          <w:sz w:val="14"/>
          <w:szCs w:val="14"/>
        </w:rPr>
        <w:t>1</w:t>
      </w:r>
      <w:r w:rsidRPr="001C4CB9">
        <w:rPr>
          <w:sz w:val="14"/>
          <w:szCs w:val="14"/>
        </w:rPr>
        <w:t xml:space="preserve">. A) rhMMP-12 (5 µM) was incubated with probe </w:t>
      </w:r>
      <w:r w:rsidRPr="001C4CB9">
        <w:rPr>
          <w:b/>
          <w:sz w:val="14"/>
          <w:szCs w:val="14"/>
        </w:rPr>
        <w:t>1</w:t>
      </w:r>
      <w:r w:rsidRPr="001C4CB9">
        <w:rPr>
          <w:sz w:val="14"/>
          <w:szCs w:val="14"/>
        </w:rPr>
        <w:t xml:space="preserve"> (10 µM) at 37°C</w:t>
      </w:r>
      <w:r w:rsidR="00484594" w:rsidRPr="001C4CB9">
        <w:rPr>
          <w:sz w:val="14"/>
          <w:szCs w:val="14"/>
        </w:rPr>
        <w:t xml:space="preserve"> </w:t>
      </w:r>
      <w:r w:rsidRPr="001C4CB9">
        <w:rPr>
          <w:sz w:val="14"/>
          <w:szCs w:val="14"/>
        </w:rPr>
        <w:t xml:space="preserve">in </w:t>
      </w:r>
      <w:r w:rsidR="008805F7" w:rsidRPr="001C4CB9">
        <w:rPr>
          <w:sz w:val="14"/>
          <w:szCs w:val="14"/>
        </w:rPr>
        <w:t>labelling buffer (</w:t>
      </w:r>
      <w:r w:rsidRPr="001C4CB9">
        <w:rPr>
          <w:sz w:val="14"/>
          <w:szCs w:val="14"/>
        </w:rPr>
        <w:t xml:space="preserve">20 </w:t>
      </w:r>
      <w:proofErr w:type="spellStart"/>
      <w:r w:rsidRPr="001C4CB9">
        <w:rPr>
          <w:sz w:val="14"/>
          <w:szCs w:val="14"/>
        </w:rPr>
        <w:t>mM</w:t>
      </w:r>
      <w:proofErr w:type="spellEnd"/>
      <w:r w:rsidRPr="001C4CB9">
        <w:rPr>
          <w:sz w:val="14"/>
          <w:szCs w:val="14"/>
        </w:rPr>
        <w:t xml:space="preserve"> HEPES buffer, pH=7.5, 5 </w:t>
      </w:r>
      <w:proofErr w:type="spellStart"/>
      <w:r w:rsidRPr="001C4CB9">
        <w:rPr>
          <w:sz w:val="14"/>
          <w:szCs w:val="14"/>
        </w:rPr>
        <w:t>mM</w:t>
      </w:r>
      <w:proofErr w:type="spellEnd"/>
      <w:r w:rsidRPr="001C4CB9">
        <w:rPr>
          <w:sz w:val="14"/>
          <w:szCs w:val="14"/>
        </w:rPr>
        <w:t xml:space="preserve"> CaCl</w:t>
      </w:r>
      <w:r w:rsidRPr="001C4CB9">
        <w:rPr>
          <w:sz w:val="14"/>
          <w:szCs w:val="14"/>
          <w:vertAlign w:val="subscript"/>
        </w:rPr>
        <w:t>2</w:t>
      </w:r>
      <w:r w:rsidRPr="001C4CB9">
        <w:rPr>
          <w:sz w:val="14"/>
          <w:szCs w:val="14"/>
        </w:rPr>
        <w:t xml:space="preserve">, 200 </w:t>
      </w:r>
      <w:proofErr w:type="spellStart"/>
      <w:r w:rsidRPr="001C4CB9">
        <w:rPr>
          <w:sz w:val="14"/>
          <w:szCs w:val="14"/>
        </w:rPr>
        <w:t>mM</w:t>
      </w:r>
      <w:proofErr w:type="spellEnd"/>
      <w:r w:rsidRPr="001C4CB9">
        <w:rPr>
          <w:sz w:val="14"/>
          <w:szCs w:val="14"/>
        </w:rPr>
        <w:t xml:space="preserve"> </w:t>
      </w:r>
      <w:proofErr w:type="spellStart"/>
      <w:r w:rsidRPr="001C4CB9">
        <w:rPr>
          <w:sz w:val="14"/>
          <w:szCs w:val="14"/>
        </w:rPr>
        <w:t>NaCl</w:t>
      </w:r>
      <w:proofErr w:type="spellEnd"/>
      <w:r w:rsidRPr="001C4CB9">
        <w:rPr>
          <w:sz w:val="14"/>
          <w:szCs w:val="14"/>
        </w:rPr>
        <w:t xml:space="preserve">, 0.1 </w:t>
      </w:r>
      <w:proofErr w:type="spellStart"/>
      <w:r w:rsidRPr="001C4CB9">
        <w:rPr>
          <w:sz w:val="14"/>
          <w:szCs w:val="14"/>
        </w:rPr>
        <w:t>mM</w:t>
      </w:r>
      <w:proofErr w:type="spellEnd"/>
      <w:r w:rsidRPr="001C4CB9">
        <w:rPr>
          <w:sz w:val="14"/>
          <w:szCs w:val="14"/>
        </w:rPr>
        <w:t xml:space="preserve"> ZnCl</w:t>
      </w:r>
      <w:r w:rsidRPr="001C4CB9">
        <w:rPr>
          <w:sz w:val="14"/>
          <w:szCs w:val="14"/>
          <w:vertAlign w:val="subscript"/>
        </w:rPr>
        <w:t>2</w:t>
      </w:r>
      <w:r w:rsidRPr="001C4CB9">
        <w:rPr>
          <w:sz w:val="14"/>
          <w:szCs w:val="14"/>
        </w:rPr>
        <w:t xml:space="preserve"> and 0.1% Brij-35</w:t>
      </w:r>
      <w:r w:rsidR="008805F7" w:rsidRPr="001C4CB9">
        <w:rPr>
          <w:sz w:val="14"/>
          <w:szCs w:val="14"/>
        </w:rPr>
        <w:t>)</w:t>
      </w:r>
      <w:r w:rsidRPr="001C4CB9">
        <w:rPr>
          <w:sz w:val="14"/>
          <w:szCs w:val="14"/>
        </w:rPr>
        <w:t xml:space="preserve">. Labelling efficiency was assayed at different time points (1 h, 4 h and 24 h) and samples were subjected to 12% SDS-PAGE followed by in-gel fluorescence imaging (FL) and Coomassie brilliant blue (CB) </w:t>
      </w:r>
      <w:r w:rsidR="0058115F" w:rsidRPr="001C4CB9">
        <w:rPr>
          <w:sz w:val="14"/>
          <w:szCs w:val="14"/>
        </w:rPr>
        <w:t>staining, B</w:t>
      </w:r>
      <w:r w:rsidRPr="001C4CB9">
        <w:rPr>
          <w:sz w:val="14"/>
          <w:szCs w:val="14"/>
        </w:rPr>
        <w:t xml:space="preserve">) in-gel fluorescence analysis of the labelling reaction between rhMMP12 (100 </w:t>
      </w:r>
      <w:proofErr w:type="spellStart"/>
      <w:r w:rsidRPr="001C4CB9">
        <w:rPr>
          <w:sz w:val="14"/>
          <w:szCs w:val="14"/>
        </w:rPr>
        <w:t>nM</w:t>
      </w:r>
      <w:proofErr w:type="spellEnd"/>
      <w:r w:rsidRPr="001C4CB9">
        <w:rPr>
          <w:sz w:val="14"/>
          <w:szCs w:val="14"/>
        </w:rPr>
        <w:t xml:space="preserve">) and probe </w:t>
      </w:r>
      <w:r w:rsidRPr="001C4CB9">
        <w:rPr>
          <w:b/>
          <w:sz w:val="14"/>
          <w:szCs w:val="14"/>
        </w:rPr>
        <w:t>1</w:t>
      </w:r>
      <w:r w:rsidRPr="001C4CB9">
        <w:rPr>
          <w:sz w:val="14"/>
          <w:szCs w:val="14"/>
        </w:rPr>
        <w:t xml:space="preserve"> (100 </w:t>
      </w:r>
      <w:proofErr w:type="spellStart"/>
      <w:r w:rsidRPr="001C4CB9">
        <w:rPr>
          <w:sz w:val="14"/>
          <w:szCs w:val="14"/>
        </w:rPr>
        <w:t>nM</w:t>
      </w:r>
      <w:proofErr w:type="spellEnd"/>
      <w:r w:rsidRPr="001C4CB9">
        <w:rPr>
          <w:sz w:val="14"/>
          <w:szCs w:val="14"/>
        </w:rPr>
        <w:t>)</w:t>
      </w:r>
      <w:r w:rsidR="008805F7" w:rsidRPr="001C4CB9">
        <w:rPr>
          <w:sz w:val="14"/>
          <w:szCs w:val="14"/>
        </w:rPr>
        <w:t xml:space="preserve"> conducted in labelling buffer over 4h at 25°</w:t>
      </w:r>
      <w:r w:rsidR="003E509E" w:rsidRPr="001C4CB9">
        <w:rPr>
          <w:sz w:val="14"/>
          <w:szCs w:val="14"/>
        </w:rPr>
        <w:t>C, in</w:t>
      </w:r>
      <w:r w:rsidRPr="001C4CB9">
        <w:rPr>
          <w:sz w:val="14"/>
          <w:szCs w:val="14"/>
        </w:rPr>
        <w:t xml:space="preserve"> absence of competitor (lane A) and in presence of </w:t>
      </w:r>
      <w:r w:rsidR="004C2BF6" w:rsidRPr="001C4CB9">
        <w:rPr>
          <w:sz w:val="14"/>
          <w:szCs w:val="14"/>
        </w:rPr>
        <w:t>preincubated competitive</w:t>
      </w:r>
      <w:r w:rsidRPr="001C4CB9">
        <w:rPr>
          <w:sz w:val="14"/>
          <w:szCs w:val="14"/>
        </w:rPr>
        <w:t xml:space="preserve"> ligands RXP470.1 (Lane B), RXP500.1 (lane C), GM6001 (Lane D) and, hTIMP1 (Lane E) at 1 µM.</w:t>
      </w:r>
      <w:r w:rsidR="009602A4" w:rsidRPr="001C4CB9">
        <w:rPr>
          <w:sz w:val="14"/>
          <w:szCs w:val="14"/>
        </w:rPr>
        <w:t xml:space="preserve"> The presence </w:t>
      </w:r>
      <w:r w:rsidR="00A43EB2" w:rsidRPr="001C4CB9">
        <w:rPr>
          <w:sz w:val="14"/>
          <w:szCs w:val="14"/>
        </w:rPr>
        <w:t>of MMPs was confirmed by silver staining (SS).</w:t>
      </w:r>
    </w:p>
    <w:p w:rsidR="00493B23" w:rsidRPr="001C4CB9" w:rsidRDefault="00E20F07" w:rsidP="003A6F19">
      <w:pPr>
        <w:pStyle w:val="P1"/>
        <w:rPr>
          <w:color w:val="000000" w:themeColor="text1"/>
        </w:rPr>
      </w:pPr>
      <w:r w:rsidRPr="001C4CB9">
        <w:t xml:space="preserve">As shown by SDS-PAGE and </w:t>
      </w:r>
      <w:r w:rsidR="005D34D9" w:rsidRPr="001C4CB9">
        <w:t>Cy3-</w:t>
      </w:r>
      <w:r w:rsidR="00771BA3" w:rsidRPr="001C4CB9">
        <w:t xml:space="preserve">labelled </w:t>
      </w:r>
      <w:r w:rsidR="005D34D9" w:rsidRPr="001C4CB9">
        <w:t xml:space="preserve">rhMMP-12 </w:t>
      </w:r>
      <w:r w:rsidRPr="001C4CB9">
        <w:t xml:space="preserve">fluorescence </w:t>
      </w:r>
      <w:r w:rsidR="005D34D9" w:rsidRPr="001C4CB9">
        <w:t xml:space="preserve">detection by </w:t>
      </w:r>
      <w:r w:rsidRPr="001C4CB9">
        <w:t>gel imaging</w:t>
      </w:r>
      <w:r w:rsidR="000C7DAD" w:rsidRPr="001C4CB9">
        <w:t xml:space="preserve"> (Figure 1A)</w:t>
      </w:r>
      <w:r w:rsidRPr="001C4CB9">
        <w:t>, the labelling reaction proceed</w:t>
      </w:r>
      <w:r w:rsidR="00A02F72" w:rsidRPr="001C4CB9">
        <w:t>ed</w:t>
      </w:r>
      <w:r w:rsidRPr="001C4CB9">
        <w:t xml:space="preserve"> in a time dependent manner with a covalent modification of rhMMP-12 already detectable after one hour. </w:t>
      </w:r>
      <w:r w:rsidR="00A20A7F" w:rsidRPr="001C4CB9">
        <w:t xml:space="preserve">After </w:t>
      </w:r>
      <w:r w:rsidRPr="001C4CB9">
        <w:t>24 h</w:t>
      </w:r>
      <w:r w:rsidR="00A20A7F" w:rsidRPr="001C4CB9">
        <w:t xml:space="preserve"> and at this concentration range</w:t>
      </w:r>
      <w:r w:rsidRPr="001C4CB9">
        <w:t xml:space="preserve">, a labelling yield of 47±4 % was </w:t>
      </w:r>
      <w:r w:rsidR="00CC2FC5" w:rsidRPr="001C4CB9">
        <w:t xml:space="preserve">determined </w:t>
      </w:r>
      <w:r w:rsidRPr="001C4CB9">
        <w:t xml:space="preserve">by comparing the liquid chromatography (LC) peak area of the labelled and </w:t>
      </w:r>
      <w:r w:rsidR="003E509E" w:rsidRPr="001C4CB9">
        <w:t>unlabeled</w:t>
      </w:r>
      <w:r w:rsidRPr="001C4CB9">
        <w:t xml:space="preserve"> species at 214 nm, a wavelength corresponding to a minor contribution in absorbance of the Cy3 fluorescent tag (</w:t>
      </w:r>
      <w:r w:rsidRPr="001C4CB9">
        <w:rPr>
          <w:color w:val="000000" w:themeColor="text1"/>
        </w:rPr>
        <w:t xml:space="preserve">Figure </w:t>
      </w:r>
      <w:r w:rsidR="002908D8" w:rsidRPr="001C4CB9">
        <w:rPr>
          <w:color w:val="000000" w:themeColor="text1"/>
        </w:rPr>
        <w:t>S2</w:t>
      </w:r>
      <w:r w:rsidRPr="001C4CB9">
        <w:rPr>
          <w:color w:val="000000" w:themeColor="text1"/>
        </w:rPr>
        <w:t>A</w:t>
      </w:r>
      <w:r w:rsidRPr="001C4CB9">
        <w:t xml:space="preserve">). </w:t>
      </w:r>
      <w:r w:rsidR="00A82090" w:rsidRPr="001C4CB9">
        <w:t>T</w:t>
      </w:r>
      <w:r w:rsidRPr="001C4CB9">
        <w:t xml:space="preserve">he </w:t>
      </w:r>
      <w:r w:rsidR="00AE5B2D" w:rsidRPr="001C4CB9">
        <w:t xml:space="preserve">covalently </w:t>
      </w:r>
      <w:r w:rsidRPr="001C4CB9">
        <w:t xml:space="preserve">labelled rhMMP-12 </w:t>
      </w:r>
      <w:r w:rsidR="003E509E" w:rsidRPr="001C4CB9">
        <w:t>analyzed</w:t>
      </w:r>
      <w:r w:rsidR="00A82090" w:rsidRPr="001C4CB9">
        <w:t xml:space="preserve"> by mass spectrometry </w:t>
      </w:r>
      <w:r w:rsidRPr="001C4CB9">
        <w:t>displayed a molecular weight of 18337</w:t>
      </w:r>
      <w:r w:rsidR="00EB2FB5" w:rsidRPr="001C4CB9">
        <w:t>.</w:t>
      </w:r>
      <w:r w:rsidRPr="001C4CB9">
        <w:t>5 Da corresponding to a 739</w:t>
      </w:r>
      <w:r w:rsidR="00EB2FB5" w:rsidRPr="001C4CB9">
        <w:t>.</w:t>
      </w:r>
      <w:r w:rsidRPr="001C4CB9">
        <w:t xml:space="preserve">1 Da mass increment relative to </w:t>
      </w:r>
      <w:r w:rsidR="003E509E" w:rsidRPr="001C4CB9">
        <w:t>unlabeled</w:t>
      </w:r>
      <w:r w:rsidRPr="001C4CB9">
        <w:t xml:space="preserve"> rhMMP12</w:t>
      </w:r>
      <w:r w:rsidR="008C5E9E" w:rsidRPr="001C4CB9">
        <w:t xml:space="preserve">, indicating a stoichiometric labelling of </w:t>
      </w:r>
      <w:r w:rsidR="003A71FE" w:rsidRPr="001C4CB9">
        <w:t>this protease (</w:t>
      </w:r>
      <w:r w:rsidR="003A71FE" w:rsidRPr="001C4CB9">
        <w:rPr>
          <w:color w:val="000000" w:themeColor="text1"/>
        </w:rPr>
        <w:t>Figure S</w:t>
      </w:r>
      <w:r w:rsidR="00AE5B2D" w:rsidRPr="001C4CB9">
        <w:rPr>
          <w:color w:val="000000" w:themeColor="text1"/>
        </w:rPr>
        <w:t>2</w:t>
      </w:r>
      <w:r w:rsidR="003A71FE" w:rsidRPr="001C4CB9">
        <w:rPr>
          <w:color w:val="000000" w:themeColor="text1"/>
        </w:rPr>
        <w:t>A</w:t>
      </w:r>
      <w:r w:rsidR="003A71FE" w:rsidRPr="001C4CB9">
        <w:t>)</w:t>
      </w:r>
      <w:r w:rsidR="008C5E9E" w:rsidRPr="001C4CB9">
        <w:t xml:space="preserve">. </w:t>
      </w:r>
      <w:r w:rsidR="00493B23" w:rsidRPr="001C4CB9">
        <w:t xml:space="preserve">To further confirm the labeling specificity of probe </w:t>
      </w:r>
      <w:r w:rsidR="00493B23" w:rsidRPr="001C4CB9">
        <w:rPr>
          <w:b/>
        </w:rPr>
        <w:t>1</w:t>
      </w:r>
      <w:r w:rsidR="00493B23" w:rsidRPr="001C4CB9">
        <w:t xml:space="preserve"> for rhMMP-12 active-site, we carried out competition experiments with </w:t>
      </w:r>
      <w:r w:rsidR="00E37C18" w:rsidRPr="001C4CB9">
        <w:t>active-site</w:t>
      </w:r>
      <w:r w:rsidR="00493B23" w:rsidRPr="001C4CB9">
        <w:t xml:space="preserve"> </w:t>
      </w:r>
      <w:r w:rsidR="00E37C18" w:rsidRPr="001C4CB9">
        <w:t xml:space="preserve">ligands </w:t>
      </w:r>
      <w:r w:rsidR="00493B23" w:rsidRPr="001C4CB9">
        <w:t xml:space="preserve">differing significantly in structure (Figure 2B and see also </w:t>
      </w:r>
      <w:r w:rsidR="00493B23" w:rsidRPr="001C4CB9">
        <w:rPr>
          <w:color w:val="000000" w:themeColor="text1"/>
        </w:rPr>
        <w:t>Figure S3</w:t>
      </w:r>
      <w:r w:rsidR="00493B23" w:rsidRPr="001C4CB9">
        <w:rPr>
          <w:color w:val="FF0000"/>
        </w:rPr>
        <w:t xml:space="preserve"> </w:t>
      </w:r>
      <w:r w:rsidR="00493B23" w:rsidRPr="001C4CB9">
        <w:t>for the chemical structure of synthetic inhibitors). This included hMMP-12 (RXP470.1 Lane B) and broad</w:t>
      </w:r>
      <w:r w:rsidR="004A2698" w:rsidRPr="001C4CB9">
        <w:t>-</w:t>
      </w:r>
      <w:r w:rsidR="00493B23" w:rsidRPr="001C4CB9">
        <w:t xml:space="preserve">spectrum </w:t>
      </w:r>
      <w:proofErr w:type="spellStart"/>
      <w:r w:rsidR="00493B23" w:rsidRPr="001C4CB9">
        <w:t>hMMPs</w:t>
      </w:r>
      <w:proofErr w:type="spellEnd"/>
      <w:r w:rsidR="00493B23" w:rsidRPr="001C4CB9">
        <w:t xml:space="preserve"> inhibitor (RXP500.1, Lane C) with a </w:t>
      </w:r>
      <w:proofErr w:type="spellStart"/>
      <w:r w:rsidR="00493B23" w:rsidRPr="001C4CB9">
        <w:t>phosphinic</w:t>
      </w:r>
      <w:proofErr w:type="spellEnd"/>
      <w:r w:rsidR="00493B23" w:rsidRPr="001C4CB9">
        <w:t xml:space="preserve"> pseudo peptide scaffold, hydroxamate derivative GM6001 as </w:t>
      </w:r>
      <w:r w:rsidR="00E37C18" w:rsidRPr="001C4CB9">
        <w:t>a broad-spectrum</w:t>
      </w:r>
      <w:r w:rsidR="00493B23" w:rsidRPr="001C4CB9">
        <w:t xml:space="preserve"> inhibitor of metalloproteases (Lane D) and a natural hTIMP-1 inhibitor (Lane E). </w:t>
      </w:r>
      <w:r w:rsidR="00E37C18" w:rsidRPr="001C4CB9">
        <w:t xml:space="preserve">The </w:t>
      </w:r>
      <w:r w:rsidR="00493B23" w:rsidRPr="001C4CB9">
        <w:t>concentration (1 µM)</w:t>
      </w:r>
      <w:r w:rsidR="00E37C18" w:rsidRPr="001C4CB9">
        <w:t xml:space="preserve"> of these competitive </w:t>
      </w:r>
      <w:r w:rsidR="004A2698" w:rsidRPr="001C4CB9">
        <w:t>inhibitors was</w:t>
      </w:r>
      <w:r w:rsidR="00493B23" w:rsidRPr="001C4CB9">
        <w:t xml:space="preserve"> selected on the basis of their inhibitory constants toward rhMMP-12 (Table S1) </w:t>
      </w:r>
      <w:r w:rsidR="004A2698" w:rsidRPr="001C4CB9">
        <w:t>with the aim</w:t>
      </w:r>
      <w:r w:rsidR="00493B23" w:rsidRPr="001C4CB9">
        <w:t xml:space="preserve"> to achieve </w:t>
      </w:r>
      <w:r w:rsidR="007B63A5" w:rsidRPr="001C4CB9">
        <w:t>a</w:t>
      </w:r>
      <w:r w:rsidR="00D85A26" w:rsidRPr="001C4CB9">
        <w:t xml:space="preserve"> total</w:t>
      </w:r>
      <w:r w:rsidR="004A2698" w:rsidRPr="001C4CB9">
        <w:t xml:space="preserve"> </w:t>
      </w:r>
      <w:r w:rsidR="00493B23" w:rsidRPr="001C4CB9">
        <w:t>rhMMP-12</w:t>
      </w:r>
      <w:r w:rsidR="00D85A26" w:rsidRPr="001C4CB9">
        <w:t xml:space="preserve"> </w:t>
      </w:r>
      <w:r w:rsidR="00493B23" w:rsidRPr="001C4CB9">
        <w:t>inactivation before probe</w:t>
      </w:r>
      <w:r w:rsidR="00D85A26" w:rsidRPr="001C4CB9">
        <w:t xml:space="preserve"> </w:t>
      </w:r>
      <w:r w:rsidR="004A2698" w:rsidRPr="001C4CB9">
        <w:rPr>
          <w:b/>
        </w:rPr>
        <w:t xml:space="preserve">1 </w:t>
      </w:r>
      <w:r w:rsidR="00493B23" w:rsidRPr="001C4CB9">
        <w:t>addition</w:t>
      </w:r>
      <w:r w:rsidR="00493B23" w:rsidRPr="001C4CB9">
        <w:rPr>
          <w:color w:val="000000" w:themeColor="text1"/>
        </w:rPr>
        <w:t xml:space="preserve">. </w:t>
      </w:r>
      <w:r w:rsidR="0081274D" w:rsidRPr="001C4CB9">
        <w:rPr>
          <w:color w:val="000000" w:themeColor="text1"/>
        </w:rPr>
        <w:t xml:space="preserve">In these conditions of competition, </w:t>
      </w:r>
      <w:r w:rsidR="00870D70" w:rsidRPr="001C4CB9">
        <w:rPr>
          <w:color w:val="000000" w:themeColor="text1"/>
        </w:rPr>
        <w:t xml:space="preserve">no labeling was </w:t>
      </w:r>
      <w:r w:rsidR="004A2698" w:rsidRPr="001C4CB9">
        <w:rPr>
          <w:color w:val="000000" w:themeColor="text1"/>
        </w:rPr>
        <w:t>detected</w:t>
      </w:r>
      <w:r w:rsidR="00D2546D" w:rsidRPr="001C4CB9">
        <w:rPr>
          <w:color w:val="000000" w:themeColor="text1"/>
        </w:rPr>
        <w:t xml:space="preserve">, demonstrating </w:t>
      </w:r>
      <w:r w:rsidR="00493B23" w:rsidRPr="001C4CB9">
        <w:rPr>
          <w:color w:val="000000" w:themeColor="text1"/>
        </w:rPr>
        <w:t xml:space="preserve">that the labelling only occurred within </w:t>
      </w:r>
      <w:r w:rsidR="000C7DAD" w:rsidRPr="001C4CB9">
        <w:rPr>
          <w:color w:val="000000" w:themeColor="text1"/>
        </w:rPr>
        <w:t xml:space="preserve">a free </w:t>
      </w:r>
      <w:r w:rsidR="00493B23" w:rsidRPr="001C4CB9">
        <w:rPr>
          <w:color w:val="000000" w:themeColor="text1"/>
        </w:rPr>
        <w:t>rhMMP12 catalytic cleft and was driven by ligand-MMP recognition</w:t>
      </w:r>
    </w:p>
    <w:p w:rsidR="00393D7B" w:rsidRPr="001C4CB9" w:rsidRDefault="00700581" w:rsidP="0092153A">
      <w:pPr>
        <w:spacing w:line="225" w:lineRule="exact"/>
        <w:jc w:val="both"/>
        <w:rPr>
          <w:rFonts w:ascii="Arial" w:hAnsi="Arial"/>
          <w:sz w:val="17"/>
          <w:lang w:val="en-US"/>
        </w:rPr>
        <w:sectPr w:rsidR="00393D7B" w:rsidRPr="001C4CB9" w:rsidSect="0092153A">
          <w:type w:val="continuous"/>
          <w:pgSz w:w="11906" w:h="16838" w:code="9"/>
          <w:pgMar w:top="1673" w:right="936" w:bottom="1134" w:left="936" w:header="709" w:footer="709" w:gutter="0"/>
          <w:cols w:num="2" w:space="709"/>
          <w:docGrid w:linePitch="360"/>
        </w:sectPr>
      </w:pPr>
      <w:r w:rsidRPr="001C4CB9">
        <w:rPr>
          <w:rFonts w:ascii="Arial" w:hAnsi="Arial"/>
          <w:sz w:val="17"/>
          <w:lang w:val="en-US"/>
        </w:rPr>
        <w:t xml:space="preserve">We next determined which </w:t>
      </w:r>
      <w:r w:rsidR="00B02B5C" w:rsidRPr="001C4CB9">
        <w:rPr>
          <w:rFonts w:ascii="Arial" w:hAnsi="Arial"/>
          <w:sz w:val="17"/>
          <w:lang w:val="en-US"/>
        </w:rPr>
        <w:t xml:space="preserve">rhMMP12 </w:t>
      </w:r>
      <w:r w:rsidRPr="001C4CB9">
        <w:rPr>
          <w:rFonts w:ascii="Arial" w:hAnsi="Arial"/>
          <w:sz w:val="17"/>
          <w:lang w:val="en-US"/>
        </w:rPr>
        <w:t xml:space="preserve">amino acid residue was covalently modified by probe </w:t>
      </w:r>
      <w:r w:rsidRPr="001C4CB9">
        <w:rPr>
          <w:rFonts w:ascii="Arial" w:hAnsi="Arial"/>
          <w:b/>
          <w:sz w:val="17"/>
          <w:lang w:val="en-US"/>
        </w:rPr>
        <w:t>1</w:t>
      </w:r>
      <w:r w:rsidRPr="001C4CB9">
        <w:rPr>
          <w:rFonts w:ascii="Arial" w:hAnsi="Arial"/>
          <w:sz w:val="17"/>
          <w:lang w:val="en-US"/>
        </w:rPr>
        <w:t xml:space="preserve">. After chymotrypsin digestion of the </w:t>
      </w:r>
      <w:r w:rsidR="00D846F7" w:rsidRPr="001C4CB9">
        <w:rPr>
          <w:rFonts w:ascii="Arial" w:hAnsi="Arial"/>
          <w:sz w:val="17"/>
          <w:lang w:val="en-US"/>
        </w:rPr>
        <w:t>Cy3-</w:t>
      </w:r>
      <w:r w:rsidRPr="001C4CB9">
        <w:rPr>
          <w:rFonts w:ascii="Arial" w:hAnsi="Arial"/>
          <w:sz w:val="17"/>
          <w:lang w:val="en-US"/>
        </w:rPr>
        <w:t xml:space="preserve">labelled rhMMP-12, the resulting digest was </w:t>
      </w:r>
      <w:r w:rsidR="003E509E" w:rsidRPr="001C4CB9">
        <w:rPr>
          <w:rFonts w:ascii="Arial" w:hAnsi="Arial"/>
          <w:sz w:val="17"/>
          <w:lang w:val="en-US"/>
        </w:rPr>
        <w:t>analyzed</w:t>
      </w:r>
      <w:r w:rsidRPr="001C4CB9">
        <w:rPr>
          <w:rFonts w:ascii="Arial" w:hAnsi="Arial"/>
          <w:sz w:val="17"/>
          <w:lang w:val="en-US"/>
        </w:rPr>
        <w:t xml:space="preserve"> by </w:t>
      </w:r>
      <w:r w:rsidR="003A71FE" w:rsidRPr="001C4CB9">
        <w:rPr>
          <w:rFonts w:ascii="Arial" w:hAnsi="Arial"/>
          <w:sz w:val="17"/>
          <w:lang w:val="en-US"/>
        </w:rPr>
        <w:t>RP-HP</w:t>
      </w:r>
      <w:r w:rsidRPr="001C4CB9">
        <w:rPr>
          <w:rFonts w:ascii="Arial" w:hAnsi="Arial"/>
          <w:sz w:val="17"/>
          <w:lang w:val="en-US"/>
        </w:rPr>
        <w:t>LC coupled to a fluorescent detector (</w:t>
      </w:r>
      <w:r w:rsidRPr="001C4CB9">
        <w:rPr>
          <w:rFonts w:ascii="Arial" w:hAnsi="Arial"/>
          <w:color w:val="000000" w:themeColor="text1"/>
          <w:sz w:val="17"/>
          <w:lang w:val="en-US"/>
        </w:rPr>
        <w:t xml:space="preserve">Figure </w:t>
      </w:r>
      <w:r w:rsidR="002908D8" w:rsidRPr="001C4CB9">
        <w:rPr>
          <w:rFonts w:ascii="Arial" w:hAnsi="Arial"/>
          <w:color w:val="000000" w:themeColor="text1"/>
          <w:sz w:val="17"/>
          <w:lang w:val="en-US"/>
        </w:rPr>
        <w:t>S2</w:t>
      </w:r>
      <w:r w:rsidRPr="001C4CB9">
        <w:rPr>
          <w:rFonts w:ascii="Arial" w:hAnsi="Arial"/>
          <w:color w:val="000000" w:themeColor="text1"/>
          <w:sz w:val="17"/>
          <w:lang w:val="en-US"/>
        </w:rPr>
        <w:t>B</w:t>
      </w:r>
      <w:r w:rsidRPr="001C4CB9">
        <w:rPr>
          <w:rFonts w:ascii="Arial" w:hAnsi="Arial"/>
          <w:sz w:val="17"/>
          <w:lang w:val="en-US"/>
        </w:rPr>
        <w:t xml:space="preserve">). Noteworthy, only one signal emitting at the wavelength specific for Cy3 </w:t>
      </w:r>
      <w:r w:rsidR="00F41599" w:rsidRPr="001C4CB9">
        <w:rPr>
          <w:rFonts w:ascii="Arial" w:hAnsi="Arial"/>
          <w:sz w:val="17"/>
          <w:lang w:val="en-US"/>
        </w:rPr>
        <w:t xml:space="preserve">was detected </w:t>
      </w:r>
      <w:r w:rsidR="00AE6E35" w:rsidRPr="001C4CB9">
        <w:rPr>
          <w:rFonts w:ascii="Arial" w:hAnsi="Arial"/>
          <w:sz w:val="17"/>
          <w:lang w:val="en-US"/>
        </w:rPr>
        <w:t>in the elution time range</w:t>
      </w:r>
      <w:r w:rsidR="00D846F7" w:rsidRPr="001C4CB9">
        <w:rPr>
          <w:rFonts w:ascii="Arial" w:hAnsi="Arial"/>
          <w:sz w:val="17"/>
          <w:lang w:val="en-US"/>
        </w:rPr>
        <w:t xml:space="preserve"> of peptides</w:t>
      </w:r>
      <w:r w:rsidRPr="001C4CB9">
        <w:rPr>
          <w:rFonts w:ascii="Arial" w:hAnsi="Arial"/>
          <w:sz w:val="17"/>
          <w:lang w:val="en-US"/>
        </w:rPr>
        <w:t>, strongly suggesting the labelling of a single fragment. The MALDI-TOF MS/MS sequencing of this fragment allowed the unambiguous identification of Lys</w:t>
      </w:r>
      <w:r w:rsidRPr="001C4CB9">
        <w:rPr>
          <w:rFonts w:ascii="Arial" w:hAnsi="Arial"/>
          <w:sz w:val="17"/>
          <w:vertAlign w:val="superscript"/>
          <w:lang w:val="en-US"/>
        </w:rPr>
        <w:t>177</w:t>
      </w:r>
      <w:r w:rsidRPr="001C4CB9">
        <w:rPr>
          <w:rFonts w:ascii="Arial" w:hAnsi="Arial"/>
          <w:sz w:val="17"/>
          <w:lang w:val="en-US"/>
        </w:rPr>
        <w:t xml:space="preserve"> as the unique residue covalently modified within the rhMMP-12 S</w:t>
      </w:r>
      <w:r w:rsidRPr="001C4CB9">
        <w:rPr>
          <w:rFonts w:ascii="Arial" w:hAnsi="Arial"/>
          <w:sz w:val="17"/>
          <w:vertAlign w:val="subscript"/>
          <w:lang w:val="en-US"/>
        </w:rPr>
        <w:t>3</w:t>
      </w:r>
      <w:r w:rsidRPr="001C4CB9">
        <w:rPr>
          <w:rFonts w:ascii="Arial" w:hAnsi="Arial"/>
          <w:sz w:val="17"/>
          <w:lang w:val="en-US"/>
        </w:rPr>
        <w:t>’ region (</w:t>
      </w:r>
      <w:r w:rsidRPr="001C4CB9">
        <w:rPr>
          <w:rFonts w:ascii="Arial" w:hAnsi="Arial"/>
          <w:color w:val="000000" w:themeColor="text1"/>
          <w:sz w:val="17"/>
          <w:lang w:val="en-US"/>
        </w:rPr>
        <w:t xml:space="preserve">Figure </w:t>
      </w:r>
      <w:r w:rsidR="001801CA" w:rsidRPr="001C4CB9">
        <w:rPr>
          <w:rFonts w:ascii="Arial" w:hAnsi="Arial"/>
          <w:color w:val="000000" w:themeColor="text1"/>
          <w:sz w:val="17"/>
          <w:lang w:val="en-US"/>
        </w:rPr>
        <w:t>S</w:t>
      </w:r>
      <w:r w:rsidR="002908D8" w:rsidRPr="001C4CB9">
        <w:rPr>
          <w:rFonts w:ascii="Arial" w:hAnsi="Arial"/>
          <w:color w:val="000000" w:themeColor="text1"/>
          <w:sz w:val="17"/>
          <w:lang w:val="en-US"/>
        </w:rPr>
        <w:t>2</w:t>
      </w:r>
      <w:r w:rsidRPr="001C4CB9">
        <w:rPr>
          <w:rFonts w:ascii="Arial" w:hAnsi="Arial"/>
          <w:color w:val="000000" w:themeColor="text1"/>
          <w:sz w:val="17"/>
          <w:lang w:val="en-US"/>
        </w:rPr>
        <w:t>C</w:t>
      </w:r>
      <w:r w:rsidRPr="001C4CB9">
        <w:rPr>
          <w:rFonts w:ascii="Arial" w:hAnsi="Arial"/>
          <w:sz w:val="17"/>
          <w:lang w:val="en-US"/>
        </w:rPr>
        <w:t xml:space="preserve">). This selective labelling </w:t>
      </w:r>
      <w:r w:rsidR="00A71914" w:rsidRPr="001C4CB9">
        <w:rPr>
          <w:rFonts w:ascii="Arial" w:hAnsi="Arial"/>
          <w:sz w:val="17"/>
          <w:lang w:val="en-US"/>
        </w:rPr>
        <w:t>was</w:t>
      </w:r>
      <w:r w:rsidRPr="001C4CB9">
        <w:rPr>
          <w:rFonts w:ascii="Arial" w:hAnsi="Arial"/>
          <w:sz w:val="17"/>
          <w:lang w:val="en-US"/>
        </w:rPr>
        <w:t xml:space="preserve"> in accordance with those previously reported for an acyl imidazole cleavable linker, which display</w:t>
      </w:r>
      <w:r w:rsidR="00B726F8" w:rsidRPr="001C4CB9">
        <w:rPr>
          <w:rFonts w:ascii="Arial" w:hAnsi="Arial"/>
          <w:sz w:val="17"/>
          <w:lang w:val="en-US"/>
        </w:rPr>
        <w:t>ed</w:t>
      </w:r>
      <w:r w:rsidRPr="001C4CB9">
        <w:rPr>
          <w:rFonts w:ascii="Arial" w:hAnsi="Arial"/>
          <w:sz w:val="17"/>
          <w:lang w:val="en-US"/>
        </w:rPr>
        <w:t xml:space="preserve"> a </w:t>
      </w:r>
      <w:r w:rsidR="001C6880" w:rsidRPr="001C4CB9">
        <w:rPr>
          <w:rFonts w:ascii="Arial" w:hAnsi="Arial"/>
          <w:sz w:val="17"/>
          <w:lang w:val="en-US"/>
        </w:rPr>
        <w:t>L</w:t>
      </w:r>
      <w:r w:rsidRPr="001C4CB9">
        <w:rPr>
          <w:rFonts w:ascii="Arial" w:hAnsi="Arial"/>
          <w:sz w:val="17"/>
          <w:lang w:val="en-US"/>
        </w:rPr>
        <w:t>ysine preference when facing several targetable nucleophiles</w:t>
      </w:r>
      <w:r w:rsidR="004D282D" w:rsidRPr="001C4CB9">
        <w:rPr>
          <w:rFonts w:ascii="Arial" w:hAnsi="Arial"/>
          <w:sz w:val="17"/>
          <w:lang w:val="en-US"/>
        </w:rPr>
        <w:fldChar w:fldCharType="begin"/>
      </w:r>
      <w:r w:rsidR="004D282D" w:rsidRPr="001C4CB9">
        <w:rPr>
          <w:rFonts w:ascii="Arial" w:hAnsi="Arial"/>
          <w:sz w:val="17"/>
          <w:lang w:val="en-US"/>
        </w:rPr>
        <w:instrText xml:space="preserve"> ADDIN ZOTERO_ITEM CSL_CITATION {"citationID":"0DKLP3tY","properties":{"formattedCitation":"\\super [35,37]\\nosupersub{}","plainCitation":"[35,37]","noteIndex":0},"citationItems":[{"id":359,"uris":["http://zotero.org/users/local/t888UWzB/items/HBFPPP5M"],"uri":["http://zotero.org/users/local/t888UWzB/items/HBFPPP5M"],"itemData":{"id":359,"type":"article-journal","abstract":"Chemistry-based protein labeling in living cells is undoubtedly useful for understanding natural protein functions and for biological/pharmaceutical applications. Here, we report a novel approach for endogenous membrane-bound protein labeling for both in vitro and live cell conditions. A moderately reactive alkyloxyacyl imidazole (AI) assisted by ligand-binding affinity (ligand-directed AI (LDAI)) chemistry allowed us to selectively modify natural proteins, such as dihydrofolate reductase (DHFR) and folate receptor (FR), neither of which could be efficiently labeled using the recently developed ligand-directed tosylate approach. It was clear that LDAI selectively labeled a single Lys(K32) in DHFR, proximal to the ligand-binding pocket. We also demonstrate that the fluorescein-labeled (endogenous, by LDAI) FR works as a fluorescent biosensor on the live KB cell surface, which allowed us to carry out unprecedented in situ kinetic analysis of ligand binding to FR.","container-title":"Journal of the American Chemical Society","DOI":"10.1021/ja2108855","ISSN":"1520-5126","issue":"9","journalAbbreviation":"J. Am. Chem. Soc.","language":"ENG","note":"PMID: 22352855","page":"3961-3964","source":"PubMed","title":"Ligand-directed acyl imidazole chemistry for labeling of membrane-bound proteins on live cells","volume":"134","author":[{"family":"Fujishima","given":"Sho-hei"},{"family":"Yasui","given":"Ryosuke"},{"family":"Miki","given":"Takayuki"},{"family":"Ojida","given":"Akio"},{"family":"Hamachi","given":"Itaru"}],"issued":{"date-parts":[["2012",3,7]]}}},{"id":449,"uris":["http://zotero.org/users/local/t888UWzB/items/PWEACU6E"],"uri":["http://zotero.org/users/local/t888UWzB/items/PWEACU6E"],"itemData":{"id":449,"type":"article-journal","abstract":"The location and number of neurotransmitter receptors are dynamically regulated at postsynaptic sites. However, currently available methods for visualizing receptor trafficking require the introduction of genetically engineered receptors into neurons, which can disrupt the normal functioning and processing of the original receptor. Here we report a powerful method for visualizing native α-amino-3-hydroxy-5-methyl-4-isoxazolepropionic acid (AMPA)-type glutamate receptors (AMPARs) which are essential for cognitive functions without any genetic manipulation. This is based on a covalent chemical labelling strategy driven by selective ligand-protein recognition to tether small fluorophores to AMPARs using chemical AMPAR modification (CAM) reagents. The high penetrability of CAM reagents enables visualization of native AMPARs deep in brain tissues without affecting receptor function. Moreover, CAM reagents are used to characterize the diffusion dynamics of endogenous AMPARs in both cultured neurons and hippocampal slices. This method will help clarify the involvement of AMPAR trafficking in various neuropsychiatric and neurodevelopmental disorders.","container-title":"Nature Communications","DOI":"10.1038/ncomms14850","ISSN":"2041-1723","journalAbbreviation":"Nat Commun","language":"eng","note":"PMID: 28387242\nPMCID: PMC5385570","page":"14850","source":"PubMed","title":"Chemical labelling for visualizing native AMPA receptors in live neurons","volume":"8","author":[{"family":"Wakayama","given":"Sho"},{"family":"Kiyonaka","given":"Shigeki"},{"family":"Arai","given":"Itaru"},{"family":"Kakegawa","given":"Wataru"},{"family":"Matsuda","given":"Shinji"},{"family":"Ibata","given":"Keiji"},{"family":"Nemoto","given":"Yuri L."},{"family":"Kusumi","given":"Akihiro"},{"family":"Yuzaki","given":"Michisuke"},{"family":"Hamachi","given":"Itaru"}],"issued":{"date-parts":[["2017",4,7]]}}}],"schema":"https://github.com/citation-style-language/schema/raw/master/csl-citation.json"} </w:instrText>
      </w:r>
      <w:r w:rsidR="004D282D" w:rsidRPr="001C4CB9">
        <w:rPr>
          <w:rFonts w:ascii="Arial" w:hAnsi="Arial"/>
          <w:sz w:val="17"/>
          <w:lang w:val="en-US"/>
        </w:rPr>
        <w:fldChar w:fldCharType="separate"/>
      </w:r>
      <w:r w:rsidR="004D282D" w:rsidRPr="001C4CB9">
        <w:rPr>
          <w:rFonts w:ascii="Arial" w:hAnsi="Arial" w:cs="Arial"/>
          <w:sz w:val="17"/>
          <w:vertAlign w:val="superscript"/>
          <w:lang w:val="en-US"/>
        </w:rPr>
        <w:t>[35,37]</w:t>
      </w:r>
      <w:r w:rsidR="004D282D" w:rsidRPr="001C4CB9">
        <w:rPr>
          <w:rFonts w:ascii="Arial" w:hAnsi="Arial"/>
          <w:sz w:val="17"/>
          <w:lang w:val="en-US"/>
        </w:rPr>
        <w:fldChar w:fldCharType="end"/>
      </w:r>
      <w:r w:rsidR="00F61FA8" w:rsidRPr="001C4CB9">
        <w:rPr>
          <w:rFonts w:ascii="Arial" w:hAnsi="Arial"/>
          <w:sz w:val="17"/>
          <w:lang w:val="en-US"/>
        </w:rPr>
        <w:t>.</w:t>
      </w:r>
      <w:r w:rsidR="00CE16D6" w:rsidRPr="001C4CB9">
        <w:rPr>
          <w:lang w:val="en-US"/>
        </w:rPr>
        <w:t xml:space="preserve"> </w:t>
      </w:r>
      <w:r w:rsidR="00CE16D6" w:rsidRPr="001C4CB9">
        <w:rPr>
          <w:rFonts w:ascii="Arial" w:hAnsi="Arial"/>
          <w:sz w:val="17"/>
          <w:lang w:val="en-US"/>
        </w:rPr>
        <w:t>Furthermore, this exclusive labeling within the S</w:t>
      </w:r>
      <w:r w:rsidR="00CE16D6" w:rsidRPr="001C4CB9">
        <w:rPr>
          <w:rFonts w:ascii="Arial" w:hAnsi="Arial"/>
          <w:sz w:val="17"/>
          <w:vertAlign w:val="subscript"/>
          <w:lang w:val="en-US"/>
        </w:rPr>
        <w:t>3</w:t>
      </w:r>
      <w:r w:rsidR="00CE16D6" w:rsidRPr="001C4CB9">
        <w:rPr>
          <w:rFonts w:ascii="Arial" w:hAnsi="Arial"/>
          <w:sz w:val="17"/>
          <w:lang w:val="en-US"/>
        </w:rPr>
        <w:t xml:space="preserve">’ region validated our probe design. The </w:t>
      </w:r>
      <w:r w:rsidR="004E47EE" w:rsidRPr="001C4CB9">
        <w:rPr>
          <w:rFonts w:ascii="Arial" w:hAnsi="Arial"/>
          <w:sz w:val="17"/>
          <w:lang w:val="en-US"/>
        </w:rPr>
        <w:t>impact of the covalent modification of this distal Lys</w:t>
      </w:r>
      <w:r w:rsidR="004E47EE" w:rsidRPr="001C4CB9">
        <w:rPr>
          <w:rFonts w:ascii="Arial" w:hAnsi="Arial"/>
          <w:sz w:val="17"/>
          <w:vertAlign w:val="superscript"/>
          <w:lang w:val="en-US"/>
        </w:rPr>
        <w:t>177</w:t>
      </w:r>
      <w:r w:rsidR="004E47EE" w:rsidRPr="001C4CB9">
        <w:rPr>
          <w:rFonts w:ascii="Arial" w:hAnsi="Arial"/>
          <w:sz w:val="17"/>
          <w:lang w:val="en-US"/>
        </w:rPr>
        <w:t xml:space="preserve"> on rhMMP-12 proteolytic </w:t>
      </w:r>
      <w:r w:rsidR="00335BBD" w:rsidRPr="001C4CB9">
        <w:rPr>
          <w:rFonts w:ascii="Arial" w:hAnsi="Arial"/>
          <w:sz w:val="17"/>
          <w:lang w:val="en-US"/>
        </w:rPr>
        <w:t xml:space="preserve">activity </w:t>
      </w:r>
      <w:r w:rsidR="004E47EE" w:rsidRPr="001C4CB9">
        <w:rPr>
          <w:rFonts w:ascii="Arial" w:hAnsi="Arial"/>
          <w:sz w:val="17"/>
          <w:lang w:val="en-US"/>
        </w:rPr>
        <w:t xml:space="preserve">was </w:t>
      </w:r>
      <w:r w:rsidR="000F5789" w:rsidRPr="001C4CB9">
        <w:rPr>
          <w:rFonts w:ascii="Arial" w:hAnsi="Arial"/>
          <w:sz w:val="17"/>
          <w:lang w:val="en-US"/>
        </w:rPr>
        <w:t xml:space="preserve">also </w:t>
      </w:r>
      <w:r w:rsidR="004E47EE" w:rsidRPr="001C4CB9">
        <w:rPr>
          <w:rFonts w:ascii="Arial" w:hAnsi="Arial"/>
          <w:sz w:val="17"/>
          <w:lang w:val="en-US"/>
        </w:rPr>
        <w:t xml:space="preserve">investigated. After RP-HPLC separation, </w:t>
      </w:r>
      <w:r w:rsidR="004C6A94" w:rsidRPr="001C4CB9">
        <w:rPr>
          <w:rFonts w:ascii="Arial" w:hAnsi="Arial"/>
          <w:sz w:val="17"/>
          <w:lang w:val="en-US"/>
        </w:rPr>
        <w:t xml:space="preserve">both rhMMP-12 and </w:t>
      </w:r>
      <w:r w:rsidR="004E47EE" w:rsidRPr="001C4CB9">
        <w:rPr>
          <w:rFonts w:ascii="Arial" w:hAnsi="Arial"/>
          <w:sz w:val="17"/>
          <w:lang w:val="en-US"/>
        </w:rPr>
        <w:t xml:space="preserve">Cy3-labelled rhMMP-12 </w:t>
      </w:r>
      <w:r w:rsidR="00AA488C" w:rsidRPr="001C4CB9">
        <w:rPr>
          <w:rFonts w:ascii="Arial" w:hAnsi="Arial"/>
          <w:sz w:val="17"/>
          <w:lang w:val="en-US"/>
        </w:rPr>
        <w:t>specie</w:t>
      </w:r>
      <w:r w:rsidR="0081274D" w:rsidRPr="001C4CB9">
        <w:rPr>
          <w:rFonts w:ascii="Arial" w:hAnsi="Arial"/>
          <w:sz w:val="17"/>
          <w:lang w:val="en-US"/>
        </w:rPr>
        <w:t>s</w:t>
      </w:r>
      <w:r w:rsidR="00AA488C" w:rsidRPr="001C4CB9">
        <w:rPr>
          <w:rFonts w:ascii="Arial" w:hAnsi="Arial"/>
          <w:sz w:val="17"/>
          <w:lang w:val="en-US"/>
        </w:rPr>
        <w:t xml:space="preserve"> </w:t>
      </w:r>
      <w:r w:rsidR="004C6A94" w:rsidRPr="001C4CB9">
        <w:rPr>
          <w:rFonts w:ascii="Arial" w:hAnsi="Arial"/>
          <w:sz w:val="17"/>
          <w:lang w:val="en-US"/>
        </w:rPr>
        <w:t xml:space="preserve">were </w:t>
      </w:r>
      <w:r w:rsidR="004E47EE" w:rsidRPr="001C4CB9">
        <w:rPr>
          <w:rFonts w:ascii="Arial" w:hAnsi="Arial"/>
          <w:sz w:val="17"/>
          <w:lang w:val="en-US"/>
        </w:rPr>
        <w:t xml:space="preserve">isolated, </w:t>
      </w:r>
      <w:r w:rsidR="004C6A94" w:rsidRPr="001C4CB9">
        <w:rPr>
          <w:rFonts w:ascii="Arial" w:hAnsi="Arial"/>
          <w:sz w:val="17"/>
          <w:lang w:val="en-US"/>
        </w:rPr>
        <w:t>lyophilized</w:t>
      </w:r>
      <w:r w:rsidR="004E47EE" w:rsidRPr="001C4CB9">
        <w:rPr>
          <w:rFonts w:ascii="Arial" w:hAnsi="Arial"/>
          <w:sz w:val="17"/>
          <w:lang w:val="en-US"/>
        </w:rPr>
        <w:t xml:space="preserve"> and </w:t>
      </w:r>
      <w:r w:rsidR="00AB617F" w:rsidRPr="001C4CB9">
        <w:rPr>
          <w:rFonts w:ascii="Arial" w:hAnsi="Arial"/>
          <w:sz w:val="17"/>
          <w:lang w:val="en-US"/>
        </w:rPr>
        <w:t xml:space="preserve">reconditioned in activity </w:t>
      </w:r>
      <w:r w:rsidR="00AB617F" w:rsidRPr="001C4CB9">
        <w:rPr>
          <w:rFonts w:ascii="Arial" w:hAnsi="Arial"/>
          <w:sz w:val="17"/>
          <w:lang w:val="en-US"/>
        </w:rPr>
        <w:lastRenderedPageBreak/>
        <w:t>buffer (</w:t>
      </w:r>
      <w:r w:rsidR="004D4BFF" w:rsidRPr="001C4CB9">
        <w:rPr>
          <w:rFonts w:ascii="Arial" w:hAnsi="Arial"/>
          <w:sz w:val="17"/>
          <w:lang w:val="en-US"/>
        </w:rPr>
        <w:t xml:space="preserve">50 </w:t>
      </w:r>
      <w:proofErr w:type="spellStart"/>
      <w:r w:rsidR="004D4BFF" w:rsidRPr="001C4CB9">
        <w:rPr>
          <w:rFonts w:ascii="Arial" w:hAnsi="Arial"/>
          <w:sz w:val="17"/>
          <w:lang w:val="en-US"/>
        </w:rPr>
        <w:t>mM</w:t>
      </w:r>
      <w:proofErr w:type="spellEnd"/>
      <w:r w:rsidR="004D4BFF" w:rsidRPr="001C4CB9">
        <w:rPr>
          <w:rFonts w:ascii="Arial" w:hAnsi="Arial"/>
          <w:sz w:val="17"/>
          <w:lang w:val="en-US"/>
        </w:rPr>
        <w:t xml:space="preserve"> Tris-</w:t>
      </w:r>
      <w:proofErr w:type="spellStart"/>
      <w:r w:rsidR="004D4BFF" w:rsidRPr="001C4CB9">
        <w:rPr>
          <w:rFonts w:ascii="Arial" w:hAnsi="Arial"/>
          <w:sz w:val="17"/>
          <w:lang w:val="en-US"/>
        </w:rPr>
        <w:t>HCl</w:t>
      </w:r>
      <w:proofErr w:type="spellEnd"/>
      <w:r w:rsidR="004D4BFF" w:rsidRPr="001C4CB9">
        <w:rPr>
          <w:rFonts w:ascii="Arial" w:hAnsi="Arial"/>
          <w:sz w:val="17"/>
          <w:lang w:val="en-US"/>
        </w:rPr>
        <w:t xml:space="preserve"> buffer, pH = 6.8, 10 </w:t>
      </w:r>
      <w:proofErr w:type="spellStart"/>
      <w:r w:rsidR="004D4BFF" w:rsidRPr="001C4CB9">
        <w:rPr>
          <w:rFonts w:ascii="Arial" w:hAnsi="Arial"/>
          <w:sz w:val="17"/>
          <w:lang w:val="en-US"/>
        </w:rPr>
        <w:t>mM</w:t>
      </w:r>
      <w:proofErr w:type="spellEnd"/>
      <w:r w:rsidR="004D4BFF" w:rsidRPr="001C4CB9">
        <w:rPr>
          <w:rFonts w:ascii="Arial" w:hAnsi="Arial"/>
          <w:sz w:val="17"/>
          <w:lang w:val="en-US"/>
        </w:rPr>
        <w:t xml:space="preserve"> CaCl</w:t>
      </w:r>
      <w:r w:rsidR="004D4BFF" w:rsidRPr="001C4CB9">
        <w:rPr>
          <w:rFonts w:ascii="Arial" w:hAnsi="Arial"/>
          <w:sz w:val="17"/>
          <w:vertAlign w:val="subscript"/>
          <w:lang w:val="en-US"/>
        </w:rPr>
        <w:t>2</w:t>
      </w:r>
      <w:r w:rsidR="004D4BFF" w:rsidRPr="001C4CB9">
        <w:rPr>
          <w:rFonts w:ascii="Arial" w:hAnsi="Arial"/>
          <w:sz w:val="17"/>
          <w:lang w:val="en-US"/>
        </w:rPr>
        <w:t xml:space="preserve">, 0.1 </w:t>
      </w:r>
      <w:proofErr w:type="spellStart"/>
      <w:r w:rsidR="004D4BFF" w:rsidRPr="001C4CB9">
        <w:rPr>
          <w:rFonts w:ascii="Arial" w:hAnsi="Arial"/>
          <w:sz w:val="17"/>
          <w:lang w:val="en-US"/>
        </w:rPr>
        <w:t>mM</w:t>
      </w:r>
      <w:proofErr w:type="spellEnd"/>
      <w:r w:rsidR="004D4BFF" w:rsidRPr="001C4CB9">
        <w:rPr>
          <w:rFonts w:ascii="Arial" w:hAnsi="Arial"/>
          <w:sz w:val="17"/>
          <w:lang w:val="en-US"/>
        </w:rPr>
        <w:t xml:space="preserve"> </w:t>
      </w:r>
      <w:r w:rsidR="007A3476">
        <w:rPr>
          <w:rFonts w:ascii="Arial" w:hAnsi="Arial" w:cs="Arial"/>
          <w:b/>
          <w:noProof/>
          <w:color w:val="000000" w:themeColor="text1"/>
          <w:sz w:val="14"/>
          <w:szCs w:val="14"/>
          <w:lang w:val="en-US"/>
        </w:rPr>
        <w:drawing>
          <wp:anchor distT="0" distB="0" distL="114300" distR="114300" simplePos="0" relativeHeight="251699200" behindDoc="0" locked="0" layoutInCell="1" allowOverlap="1">
            <wp:simplePos x="0" y="0"/>
            <wp:positionH relativeFrom="column">
              <wp:posOffset>9525</wp:posOffset>
            </wp:positionH>
            <wp:positionV relativeFrom="paragraph">
              <wp:posOffset>368823</wp:posOffset>
            </wp:positionV>
            <wp:extent cx="6372000" cy="3578400"/>
            <wp:effectExtent l="0" t="0" r="3810" b="317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2000" cy="3578400"/>
                    </a:xfrm>
                    <a:prstGeom prst="rect">
                      <a:avLst/>
                    </a:prstGeom>
                  </pic:spPr>
                </pic:pic>
              </a:graphicData>
            </a:graphic>
            <wp14:sizeRelH relativeFrom="margin">
              <wp14:pctWidth>0</wp14:pctWidth>
            </wp14:sizeRelH>
            <wp14:sizeRelV relativeFrom="margin">
              <wp14:pctHeight>0</wp14:pctHeight>
            </wp14:sizeRelV>
          </wp:anchor>
        </w:drawing>
      </w:r>
      <w:r w:rsidR="004D4BFF" w:rsidRPr="001C4CB9">
        <w:rPr>
          <w:rFonts w:ascii="Arial" w:hAnsi="Arial"/>
          <w:sz w:val="17"/>
          <w:lang w:val="en-US"/>
        </w:rPr>
        <w:t>ZnCl</w:t>
      </w:r>
      <w:r w:rsidR="004D4BFF" w:rsidRPr="001C4CB9">
        <w:rPr>
          <w:rFonts w:ascii="Arial" w:hAnsi="Arial"/>
          <w:sz w:val="17"/>
          <w:vertAlign w:val="subscript"/>
          <w:lang w:val="en-US"/>
        </w:rPr>
        <w:t>2</w:t>
      </w:r>
      <w:r w:rsidR="004D4BFF" w:rsidRPr="001C4CB9">
        <w:rPr>
          <w:rFonts w:ascii="Arial" w:hAnsi="Arial"/>
          <w:sz w:val="17"/>
          <w:lang w:val="en-US"/>
        </w:rPr>
        <w:t xml:space="preserve">). </w:t>
      </w:r>
    </w:p>
    <w:p w:rsidR="0092153A" w:rsidRPr="001C4CB9" w:rsidRDefault="000A43B7" w:rsidP="00393D7B">
      <w:pPr>
        <w:spacing w:line="225" w:lineRule="exact"/>
        <w:jc w:val="both"/>
        <w:rPr>
          <w:rFonts w:ascii="Arial" w:hAnsi="Arial" w:cs="Arial"/>
          <w:b/>
          <w:color w:val="000000" w:themeColor="text1"/>
          <w:sz w:val="14"/>
          <w:szCs w:val="14"/>
          <w:lang w:val="en-US"/>
        </w:rPr>
        <w:sectPr w:rsidR="0092153A" w:rsidRPr="001C4CB9" w:rsidSect="0092153A">
          <w:type w:val="continuous"/>
          <w:pgSz w:w="11906" w:h="16838" w:code="9"/>
          <w:pgMar w:top="1673" w:right="936" w:bottom="1134" w:left="936" w:header="709" w:footer="709" w:gutter="0"/>
          <w:cols w:space="709"/>
          <w:docGrid w:linePitch="360"/>
        </w:sectPr>
      </w:pPr>
      <w:r w:rsidRPr="001C4CB9">
        <w:rPr>
          <w:rFonts w:ascii="Arial" w:hAnsi="Arial" w:cs="Arial"/>
          <w:b/>
          <w:color w:val="000000" w:themeColor="text1"/>
          <w:sz w:val="14"/>
          <w:szCs w:val="14"/>
          <w:lang w:val="en-US"/>
        </w:rPr>
        <w:t xml:space="preserve"> </w:t>
      </w:r>
    </w:p>
    <w:p w:rsidR="000A43B7" w:rsidRPr="001C4CB9" w:rsidRDefault="00393D7B" w:rsidP="00950625">
      <w:pPr>
        <w:spacing w:before="230" w:after="460" w:line="180" w:lineRule="exact"/>
        <w:jc w:val="both"/>
        <w:rPr>
          <w:rFonts w:ascii="Arial" w:hAnsi="Arial" w:cs="Arial"/>
          <w:color w:val="000000" w:themeColor="text1"/>
          <w:sz w:val="14"/>
          <w:szCs w:val="14"/>
          <w:lang w:val="en-US"/>
        </w:rPr>
        <w:sectPr w:rsidR="000A43B7" w:rsidRPr="001C4CB9" w:rsidSect="0092153A">
          <w:type w:val="continuous"/>
          <w:pgSz w:w="11906" w:h="16838" w:code="9"/>
          <w:pgMar w:top="1673" w:right="936" w:bottom="1134" w:left="936" w:header="709" w:footer="709" w:gutter="0"/>
          <w:cols w:space="709"/>
          <w:docGrid w:linePitch="360"/>
        </w:sectPr>
      </w:pPr>
      <w:r w:rsidRPr="001C4CB9">
        <w:rPr>
          <w:rFonts w:ascii="Arial" w:hAnsi="Arial" w:cs="Arial"/>
          <w:b/>
          <w:color w:val="000000" w:themeColor="text1"/>
          <w:sz w:val="14"/>
          <w:szCs w:val="14"/>
          <w:lang w:val="en-US"/>
        </w:rPr>
        <w:t>Figure 3</w:t>
      </w:r>
      <w:r w:rsidRPr="001C4CB9">
        <w:rPr>
          <w:rFonts w:ascii="Arial" w:hAnsi="Arial" w:cs="Arial"/>
          <w:color w:val="000000" w:themeColor="text1"/>
          <w:sz w:val="14"/>
          <w:szCs w:val="14"/>
          <w:lang w:val="en-US"/>
        </w:rPr>
        <w:t xml:space="preserve">: Evaluation of probes </w:t>
      </w:r>
      <w:r w:rsidRPr="001C4CB9">
        <w:rPr>
          <w:rFonts w:ascii="Arial" w:hAnsi="Arial" w:cs="Arial"/>
          <w:b/>
          <w:color w:val="000000" w:themeColor="text1"/>
          <w:sz w:val="14"/>
          <w:szCs w:val="14"/>
          <w:lang w:val="en-US"/>
        </w:rPr>
        <w:t>1</w:t>
      </w:r>
      <w:r w:rsidRPr="001C4CB9">
        <w:rPr>
          <w:rFonts w:ascii="Arial" w:hAnsi="Arial" w:cs="Arial"/>
          <w:color w:val="000000" w:themeColor="text1"/>
          <w:sz w:val="14"/>
          <w:szCs w:val="14"/>
          <w:lang w:val="en-US"/>
        </w:rPr>
        <w:t xml:space="preserve"> and </w:t>
      </w:r>
      <w:r w:rsidRPr="001C4CB9">
        <w:rPr>
          <w:rFonts w:ascii="Arial" w:hAnsi="Arial" w:cs="Arial"/>
          <w:b/>
          <w:color w:val="000000" w:themeColor="text1"/>
          <w:sz w:val="14"/>
          <w:szCs w:val="14"/>
          <w:lang w:val="en-US"/>
        </w:rPr>
        <w:t>2</w:t>
      </w:r>
      <w:r w:rsidRPr="001C4CB9">
        <w:rPr>
          <w:rFonts w:ascii="Arial" w:hAnsi="Arial" w:cs="Arial"/>
          <w:color w:val="000000" w:themeColor="text1"/>
          <w:sz w:val="14"/>
          <w:szCs w:val="14"/>
          <w:lang w:val="en-US"/>
        </w:rPr>
        <w:t xml:space="preserve"> reactivity toward rhMMP-12, rhMMP-12 K177A mutant and other </w:t>
      </w:r>
      <w:proofErr w:type="spellStart"/>
      <w:r w:rsidRPr="001C4CB9">
        <w:rPr>
          <w:rFonts w:ascii="Arial" w:hAnsi="Arial" w:cs="Arial"/>
          <w:color w:val="000000" w:themeColor="text1"/>
          <w:sz w:val="14"/>
          <w:szCs w:val="14"/>
          <w:lang w:val="en-US"/>
        </w:rPr>
        <w:t>rhMMPs</w:t>
      </w:r>
      <w:proofErr w:type="spellEnd"/>
      <w:r w:rsidRPr="001C4CB9">
        <w:rPr>
          <w:rFonts w:ascii="Arial" w:hAnsi="Arial" w:cs="Arial"/>
          <w:color w:val="000000" w:themeColor="text1"/>
          <w:sz w:val="14"/>
          <w:szCs w:val="14"/>
          <w:lang w:val="en-US"/>
        </w:rPr>
        <w:t xml:space="preserve">. A) In-gel fluorescence analysis of the labelling reaction between rhMMP-12 catalytic domain with probe </w:t>
      </w:r>
      <w:r w:rsidRPr="001C4CB9">
        <w:rPr>
          <w:rFonts w:ascii="Arial" w:hAnsi="Arial" w:cs="Arial"/>
          <w:b/>
          <w:color w:val="000000" w:themeColor="text1"/>
          <w:sz w:val="14"/>
          <w:szCs w:val="14"/>
          <w:lang w:val="en-US"/>
        </w:rPr>
        <w:t>1</w:t>
      </w:r>
      <w:r w:rsidRPr="001C4CB9">
        <w:rPr>
          <w:rFonts w:ascii="Arial" w:hAnsi="Arial" w:cs="Arial"/>
          <w:color w:val="000000" w:themeColor="text1"/>
          <w:sz w:val="14"/>
          <w:szCs w:val="14"/>
          <w:lang w:val="en-US"/>
        </w:rPr>
        <w:t xml:space="preserve"> </w:t>
      </w:r>
      <w:r w:rsidR="002D1701" w:rsidRPr="001C4CB9">
        <w:rPr>
          <w:rFonts w:ascii="Arial" w:hAnsi="Arial" w:cs="Arial"/>
          <w:color w:val="000000" w:themeColor="text1"/>
          <w:sz w:val="14"/>
          <w:szCs w:val="14"/>
          <w:lang w:val="en-US"/>
        </w:rPr>
        <w:t xml:space="preserve">(Lane B and E) </w:t>
      </w:r>
      <w:r w:rsidRPr="001C4CB9">
        <w:rPr>
          <w:rFonts w:ascii="Arial" w:hAnsi="Arial" w:cs="Arial"/>
          <w:color w:val="000000" w:themeColor="text1"/>
          <w:sz w:val="14"/>
          <w:szCs w:val="14"/>
          <w:lang w:val="en-US"/>
        </w:rPr>
        <w:t xml:space="preserve">and </w:t>
      </w:r>
      <w:r w:rsidRPr="001C4CB9">
        <w:rPr>
          <w:rFonts w:ascii="Arial" w:hAnsi="Arial" w:cs="Arial"/>
          <w:b/>
          <w:color w:val="000000" w:themeColor="text1"/>
          <w:sz w:val="14"/>
          <w:szCs w:val="14"/>
          <w:lang w:val="en-US"/>
        </w:rPr>
        <w:t>2</w:t>
      </w:r>
      <w:r w:rsidR="002D1701" w:rsidRPr="001C4CB9">
        <w:rPr>
          <w:rFonts w:ascii="Arial" w:hAnsi="Arial" w:cs="Arial"/>
          <w:b/>
          <w:color w:val="000000" w:themeColor="text1"/>
          <w:sz w:val="14"/>
          <w:szCs w:val="14"/>
          <w:lang w:val="en-US"/>
        </w:rPr>
        <w:t xml:space="preserve"> </w:t>
      </w:r>
      <w:r w:rsidR="002D1701" w:rsidRPr="001C4CB9">
        <w:rPr>
          <w:rFonts w:ascii="Arial" w:hAnsi="Arial" w:cs="Arial"/>
          <w:color w:val="000000" w:themeColor="text1"/>
          <w:sz w:val="14"/>
          <w:szCs w:val="14"/>
          <w:lang w:val="en-US"/>
        </w:rPr>
        <w:t>(Lane A and D)</w:t>
      </w:r>
      <w:r w:rsidRPr="001C4CB9">
        <w:rPr>
          <w:rFonts w:ascii="Arial" w:hAnsi="Arial" w:cs="Arial"/>
          <w:b/>
          <w:color w:val="000000" w:themeColor="text1"/>
          <w:sz w:val="14"/>
          <w:szCs w:val="14"/>
          <w:lang w:val="en-US"/>
        </w:rPr>
        <w:t xml:space="preserve"> </w:t>
      </w:r>
      <w:r w:rsidRPr="001C4CB9">
        <w:rPr>
          <w:rFonts w:ascii="Arial" w:hAnsi="Arial" w:cs="Arial"/>
          <w:color w:val="000000" w:themeColor="text1"/>
          <w:sz w:val="14"/>
          <w:szCs w:val="14"/>
          <w:lang w:val="en-US"/>
        </w:rPr>
        <w:t>at two different time points</w:t>
      </w:r>
      <w:r w:rsidR="002D1701" w:rsidRPr="001C4CB9">
        <w:rPr>
          <w:rFonts w:ascii="Arial" w:hAnsi="Arial" w:cs="Arial"/>
          <w:color w:val="000000" w:themeColor="text1"/>
          <w:sz w:val="14"/>
          <w:szCs w:val="14"/>
          <w:lang w:val="en-US"/>
        </w:rPr>
        <w:t xml:space="preserve"> (4h and 16</w:t>
      </w:r>
      <w:r w:rsidR="00AA488C" w:rsidRPr="001C4CB9">
        <w:rPr>
          <w:rFonts w:ascii="Arial" w:hAnsi="Arial" w:cs="Arial"/>
          <w:color w:val="000000" w:themeColor="text1"/>
          <w:sz w:val="14"/>
          <w:szCs w:val="14"/>
          <w:lang w:val="en-US"/>
        </w:rPr>
        <w:t>h</w:t>
      </w:r>
      <w:r w:rsidR="002D1701" w:rsidRPr="001C4CB9">
        <w:rPr>
          <w:rFonts w:ascii="Arial" w:hAnsi="Arial" w:cs="Arial"/>
          <w:color w:val="000000" w:themeColor="text1"/>
          <w:sz w:val="14"/>
          <w:szCs w:val="14"/>
          <w:lang w:val="en-US"/>
        </w:rPr>
        <w:t>)</w:t>
      </w:r>
      <w:r w:rsidRPr="001C4CB9">
        <w:rPr>
          <w:rFonts w:ascii="Arial" w:hAnsi="Arial" w:cs="Arial"/>
          <w:color w:val="000000" w:themeColor="text1"/>
          <w:sz w:val="14"/>
          <w:szCs w:val="14"/>
          <w:lang w:val="en-US"/>
        </w:rPr>
        <w:t xml:space="preserve">. Both probes were used at 100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and incubated with rhMMP-12 at 40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in labelling buffer at 25°C. </w:t>
      </w:r>
      <w:r w:rsidR="00DD6B58" w:rsidRPr="001C4CB9">
        <w:rPr>
          <w:rFonts w:ascii="Arial" w:hAnsi="Arial" w:cs="Arial"/>
          <w:color w:val="000000" w:themeColor="text1"/>
          <w:sz w:val="14"/>
          <w:szCs w:val="14"/>
          <w:lang w:val="en-US"/>
        </w:rPr>
        <w:t xml:space="preserve"> Reference of</w:t>
      </w:r>
      <w:r w:rsidR="00DD6D10" w:rsidRPr="001C4CB9">
        <w:rPr>
          <w:rFonts w:ascii="Arial" w:hAnsi="Arial" w:cs="Arial"/>
          <w:color w:val="000000" w:themeColor="text1"/>
          <w:sz w:val="14"/>
          <w:szCs w:val="14"/>
          <w:lang w:val="en-US"/>
        </w:rPr>
        <w:t xml:space="preserve"> unlabeled rhMMP-12 was loaded </w:t>
      </w:r>
      <w:r w:rsidR="002170AF" w:rsidRPr="001C4CB9">
        <w:rPr>
          <w:rFonts w:ascii="Arial" w:hAnsi="Arial" w:cs="Arial"/>
          <w:color w:val="000000" w:themeColor="text1"/>
          <w:sz w:val="14"/>
          <w:szCs w:val="14"/>
          <w:lang w:val="en-US"/>
        </w:rPr>
        <w:t xml:space="preserve">in </w:t>
      </w:r>
      <w:r w:rsidR="00DD6D10" w:rsidRPr="001C4CB9">
        <w:rPr>
          <w:rFonts w:ascii="Arial" w:hAnsi="Arial" w:cs="Arial"/>
          <w:color w:val="000000" w:themeColor="text1"/>
          <w:sz w:val="14"/>
          <w:szCs w:val="14"/>
          <w:lang w:val="en-US"/>
        </w:rPr>
        <w:t>Lane C</w:t>
      </w:r>
      <w:r w:rsidR="00F807C1" w:rsidRPr="001C4CB9">
        <w:rPr>
          <w:rFonts w:ascii="Arial" w:hAnsi="Arial" w:cs="Arial"/>
          <w:color w:val="000000" w:themeColor="text1"/>
          <w:sz w:val="14"/>
          <w:szCs w:val="14"/>
          <w:lang w:val="en-US"/>
        </w:rPr>
        <w:t xml:space="preserve">. On </w:t>
      </w:r>
      <w:r w:rsidR="00D2546D" w:rsidRPr="001C4CB9">
        <w:rPr>
          <w:rFonts w:ascii="Arial" w:hAnsi="Arial" w:cs="Arial"/>
          <w:color w:val="000000" w:themeColor="text1"/>
          <w:sz w:val="14"/>
          <w:szCs w:val="14"/>
          <w:lang w:val="en-US"/>
        </w:rPr>
        <w:t xml:space="preserve">the </w:t>
      </w:r>
      <w:r w:rsidR="00900227" w:rsidRPr="001C4CB9">
        <w:rPr>
          <w:rFonts w:ascii="Arial" w:hAnsi="Arial" w:cs="Arial"/>
          <w:color w:val="000000" w:themeColor="text1"/>
          <w:sz w:val="14"/>
          <w:szCs w:val="14"/>
          <w:lang w:val="en-US"/>
        </w:rPr>
        <w:t>silver stained</w:t>
      </w:r>
      <w:r w:rsidR="00F807C1" w:rsidRPr="001C4CB9">
        <w:rPr>
          <w:rFonts w:ascii="Arial" w:hAnsi="Arial" w:cs="Arial"/>
          <w:color w:val="000000" w:themeColor="text1"/>
          <w:sz w:val="14"/>
          <w:szCs w:val="14"/>
          <w:lang w:val="en-US"/>
        </w:rPr>
        <w:t xml:space="preserve"> (SS)</w:t>
      </w:r>
      <w:r w:rsidR="00900227" w:rsidRPr="001C4CB9">
        <w:rPr>
          <w:rFonts w:ascii="Arial" w:hAnsi="Arial" w:cs="Arial"/>
          <w:color w:val="000000" w:themeColor="text1"/>
          <w:sz w:val="14"/>
          <w:szCs w:val="14"/>
          <w:lang w:val="en-US"/>
        </w:rPr>
        <w:t xml:space="preserve"> </w:t>
      </w:r>
      <w:r w:rsidR="00D2546D" w:rsidRPr="001C4CB9">
        <w:rPr>
          <w:rFonts w:ascii="Arial" w:hAnsi="Arial" w:cs="Arial"/>
          <w:color w:val="000000" w:themeColor="text1"/>
          <w:sz w:val="14"/>
          <w:szCs w:val="14"/>
          <w:lang w:val="en-US"/>
        </w:rPr>
        <w:t xml:space="preserve">gel, </w:t>
      </w:r>
      <w:r w:rsidR="00F807C1" w:rsidRPr="001C4CB9">
        <w:rPr>
          <w:rFonts w:ascii="Arial" w:hAnsi="Arial" w:cs="Arial"/>
          <w:color w:val="000000" w:themeColor="text1"/>
          <w:sz w:val="14"/>
          <w:szCs w:val="14"/>
          <w:lang w:val="en-US"/>
        </w:rPr>
        <w:t xml:space="preserve">Cy3-Labeled rhMMP-12 and unlabeled rhMMP-12 </w:t>
      </w:r>
      <w:r w:rsidR="00900227" w:rsidRPr="001C4CB9">
        <w:rPr>
          <w:rFonts w:ascii="Arial" w:hAnsi="Arial" w:cs="Arial"/>
          <w:color w:val="000000" w:themeColor="text1"/>
          <w:sz w:val="14"/>
          <w:szCs w:val="14"/>
          <w:lang w:val="en-US"/>
        </w:rPr>
        <w:t xml:space="preserve">can be separated and </w:t>
      </w:r>
      <w:r w:rsidR="00F807C1" w:rsidRPr="001C4CB9">
        <w:rPr>
          <w:rFonts w:ascii="Arial" w:hAnsi="Arial" w:cs="Arial"/>
          <w:color w:val="000000" w:themeColor="text1"/>
          <w:sz w:val="14"/>
          <w:szCs w:val="14"/>
          <w:lang w:val="en-US"/>
        </w:rPr>
        <w:t xml:space="preserve">were </w:t>
      </w:r>
      <w:r w:rsidR="00900227" w:rsidRPr="001C4CB9">
        <w:rPr>
          <w:rFonts w:ascii="Arial" w:hAnsi="Arial" w:cs="Arial"/>
          <w:color w:val="000000" w:themeColor="text1"/>
          <w:sz w:val="14"/>
          <w:szCs w:val="14"/>
          <w:lang w:val="en-US"/>
        </w:rPr>
        <w:t>identified</w:t>
      </w:r>
      <w:r w:rsidR="002170AF" w:rsidRPr="001C4CB9">
        <w:rPr>
          <w:rFonts w:ascii="Arial" w:hAnsi="Arial" w:cs="Arial"/>
          <w:color w:val="000000" w:themeColor="text1"/>
          <w:sz w:val="14"/>
          <w:szCs w:val="14"/>
          <w:lang w:val="en-US"/>
        </w:rPr>
        <w:t xml:space="preserve"> with a </w:t>
      </w:r>
      <w:r w:rsidR="00900227" w:rsidRPr="001C4CB9">
        <w:rPr>
          <w:rFonts w:ascii="Arial" w:hAnsi="Arial" w:cs="Arial"/>
          <w:color w:val="000000" w:themeColor="text1"/>
          <w:sz w:val="14"/>
          <w:szCs w:val="14"/>
          <w:lang w:val="en-US"/>
        </w:rPr>
        <w:t>blue</w:t>
      </w:r>
      <w:r w:rsidR="002170AF" w:rsidRPr="001C4CB9">
        <w:rPr>
          <w:rFonts w:ascii="Arial" w:hAnsi="Arial" w:cs="Arial"/>
          <w:color w:val="000000" w:themeColor="text1"/>
          <w:sz w:val="14"/>
          <w:szCs w:val="14"/>
          <w:lang w:val="en-US"/>
        </w:rPr>
        <w:t xml:space="preserve"> and green arrow respectively,</w:t>
      </w:r>
      <w:r w:rsidR="00F807C1" w:rsidRPr="001C4CB9">
        <w:rPr>
          <w:rFonts w:ascii="Arial" w:hAnsi="Arial" w:cs="Arial"/>
          <w:color w:val="000000" w:themeColor="text1"/>
          <w:sz w:val="14"/>
          <w:szCs w:val="14"/>
          <w:lang w:val="en-US"/>
        </w:rPr>
        <w:t xml:space="preserve"> </w:t>
      </w:r>
      <w:r w:rsidRPr="001C4CB9">
        <w:rPr>
          <w:rFonts w:ascii="Arial" w:hAnsi="Arial" w:cs="Arial"/>
          <w:color w:val="000000" w:themeColor="text1"/>
          <w:sz w:val="14"/>
          <w:szCs w:val="14"/>
          <w:lang w:val="en-US"/>
        </w:rPr>
        <w:t xml:space="preserve">B) In-gel fluorescence analysis of the labelling reaction between rhMMP-12 catalytic domain and its K177A mutant with probe </w:t>
      </w:r>
      <w:r w:rsidRPr="001C4CB9">
        <w:rPr>
          <w:rFonts w:ascii="Arial" w:hAnsi="Arial" w:cs="Arial"/>
          <w:b/>
          <w:color w:val="000000" w:themeColor="text1"/>
          <w:sz w:val="14"/>
          <w:szCs w:val="14"/>
          <w:lang w:val="en-US"/>
        </w:rPr>
        <w:t>1</w:t>
      </w:r>
      <w:r w:rsidRPr="001C4CB9">
        <w:rPr>
          <w:rFonts w:ascii="Arial" w:hAnsi="Arial" w:cs="Arial"/>
          <w:color w:val="000000" w:themeColor="text1"/>
          <w:sz w:val="14"/>
          <w:szCs w:val="14"/>
          <w:lang w:val="en-US"/>
        </w:rPr>
        <w:t xml:space="preserve"> and </w:t>
      </w:r>
      <w:r w:rsidRPr="001C4CB9">
        <w:rPr>
          <w:rFonts w:ascii="Arial" w:hAnsi="Arial" w:cs="Arial"/>
          <w:b/>
          <w:color w:val="000000" w:themeColor="text1"/>
          <w:sz w:val="14"/>
          <w:szCs w:val="14"/>
          <w:lang w:val="en-US"/>
        </w:rPr>
        <w:t>2</w:t>
      </w:r>
      <w:r w:rsidRPr="001C4CB9">
        <w:rPr>
          <w:rFonts w:ascii="Arial" w:hAnsi="Arial" w:cs="Arial"/>
          <w:color w:val="000000" w:themeColor="text1"/>
          <w:sz w:val="14"/>
          <w:szCs w:val="14"/>
          <w:lang w:val="en-US"/>
        </w:rPr>
        <w:t>. Both probes were used at 1µM and rhMMP-12</w:t>
      </w:r>
      <w:r w:rsidR="00D2546D" w:rsidRPr="001C4CB9">
        <w:rPr>
          <w:rFonts w:ascii="Arial" w:hAnsi="Arial" w:cs="Arial"/>
          <w:color w:val="000000" w:themeColor="text1"/>
          <w:sz w:val="14"/>
          <w:szCs w:val="14"/>
          <w:lang w:val="en-US"/>
        </w:rPr>
        <w:t>/</w:t>
      </w:r>
      <w:r w:rsidRPr="001C4CB9">
        <w:rPr>
          <w:rFonts w:ascii="Arial" w:hAnsi="Arial" w:cs="Arial"/>
          <w:color w:val="000000" w:themeColor="text1"/>
          <w:sz w:val="14"/>
          <w:szCs w:val="14"/>
          <w:lang w:val="en-US"/>
        </w:rPr>
        <w:t xml:space="preserve">mutant K177A at 40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The labelling yield of the reaction between rhMMP-12 and probe </w:t>
      </w:r>
      <w:r w:rsidRPr="001C4CB9">
        <w:rPr>
          <w:rFonts w:ascii="Arial" w:hAnsi="Arial" w:cs="Arial"/>
          <w:b/>
          <w:color w:val="000000" w:themeColor="text1"/>
          <w:sz w:val="14"/>
          <w:szCs w:val="14"/>
          <w:lang w:val="en-US"/>
        </w:rPr>
        <w:t>2</w:t>
      </w:r>
      <w:r w:rsidRPr="001C4CB9">
        <w:rPr>
          <w:rFonts w:ascii="Arial" w:hAnsi="Arial" w:cs="Arial"/>
          <w:color w:val="000000" w:themeColor="text1"/>
          <w:sz w:val="14"/>
          <w:szCs w:val="14"/>
          <w:lang w:val="en-US"/>
        </w:rPr>
        <w:t xml:space="preserve"> is arbitrarily set at 100% and other labelling yield are expressed comparatively. C) In-gel fluorescence analysis of rhMMP-2/3/8/9/10/12/13 (40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labelled by probe </w:t>
      </w:r>
      <w:r w:rsidRPr="001C4CB9">
        <w:rPr>
          <w:rFonts w:ascii="Arial" w:hAnsi="Arial" w:cs="Arial"/>
          <w:b/>
          <w:color w:val="000000" w:themeColor="text1"/>
          <w:sz w:val="14"/>
          <w:szCs w:val="14"/>
          <w:lang w:val="en-US"/>
        </w:rPr>
        <w:t>1</w:t>
      </w:r>
      <w:r w:rsidRPr="001C4CB9">
        <w:rPr>
          <w:rFonts w:ascii="Arial" w:hAnsi="Arial" w:cs="Arial"/>
          <w:color w:val="000000" w:themeColor="text1"/>
          <w:sz w:val="14"/>
          <w:szCs w:val="14"/>
          <w:lang w:val="en-US"/>
        </w:rPr>
        <w:t xml:space="preserve"> (100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left panel) or probe </w:t>
      </w:r>
      <w:r w:rsidRPr="001C4CB9">
        <w:rPr>
          <w:rFonts w:ascii="Arial" w:hAnsi="Arial" w:cs="Arial"/>
          <w:b/>
          <w:color w:val="000000" w:themeColor="text1"/>
          <w:sz w:val="14"/>
          <w:szCs w:val="14"/>
          <w:lang w:val="en-US"/>
        </w:rPr>
        <w:t>2</w:t>
      </w:r>
      <w:r w:rsidRPr="001C4CB9">
        <w:rPr>
          <w:rFonts w:ascii="Arial" w:hAnsi="Arial" w:cs="Arial"/>
          <w:color w:val="000000" w:themeColor="text1"/>
          <w:sz w:val="14"/>
          <w:szCs w:val="14"/>
          <w:lang w:val="en-US"/>
        </w:rPr>
        <w:t xml:space="preserve"> (100 </w:t>
      </w:r>
      <w:proofErr w:type="spellStart"/>
      <w:r w:rsidRPr="001C4CB9">
        <w:rPr>
          <w:rFonts w:ascii="Arial" w:hAnsi="Arial" w:cs="Arial"/>
          <w:color w:val="000000" w:themeColor="text1"/>
          <w:sz w:val="14"/>
          <w:szCs w:val="14"/>
          <w:lang w:val="en-US"/>
        </w:rPr>
        <w:t>nM</w:t>
      </w:r>
      <w:proofErr w:type="spellEnd"/>
      <w:r w:rsidRPr="001C4CB9">
        <w:rPr>
          <w:rFonts w:ascii="Arial" w:hAnsi="Arial" w:cs="Arial"/>
          <w:color w:val="000000" w:themeColor="text1"/>
          <w:sz w:val="14"/>
          <w:szCs w:val="14"/>
          <w:lang w:val="en-US"/>
        </w:rPr>
        <w:t xml:space="preserve">, right panel) after 4h of incubation in labelling buffer at 25°C. All samples were subjected to 15% SDS-PAGE and </w:t>
      </w:r>
      <w:r w:rsidR="00DD6D10" w:rsidRPr="001C4CB9">
        <w:rPr>
          <w:rFonts w:ascii="Arial" w:hAnsi="Arial" w:cs="Arial"/>
          <w:color w:val="000000" w:themeColor="text1"/>
          <w:sz w:val="14"/>
          <w:szCs w:val="14"/>
          <w:lang w:val="en-US"/>
        </w:rPr>
        <w:t>analyzed</w:t>
      </w:r>
      <w:r w:rsidRPr="001C4CB9">
        <w:rPr>
          <w:rFonts w:ascii="Arial" w:hAnsi="Arial" w:cs="Arial"/>
          <w:color w:val="000000" w:themeColor="text1"/>
          <w:sz w:val="14"/>
          <w:szCs w:val="14"/>
          <w:lang w:val="en-US"/>
        </w:rPr>
        <w:t xml:space="preserve"> by in-gel fluorescence imaging (FL) and silver staining (SS). A 100% labelling yield was attributed to the reaction between rhMMP-12 with probes </w:t>
      </w:r>
      <w:r w:rsidRPr="001C4CB9">
        <w:rPr>
          <w:rFonts w:ascii="Arial" w:hAnsi="Arial" w:cs="Arial"/>
          <w:b/>
          <w:color w:val="000000" w:themeColor="text1"/>
          <w:sz w:val="14"/>
          <w:szCs w:val="14"/>
          <w:lang w:val="en-US"/>
        </w:rPr>
        <w:t xml:space="preserve">1 </w:t>
      </w:r>
      <w:r w:rsidRPr="001C4CB9">
        <w:rPr>
          <w:rFonts w:ascii="Arial" w:hAnsi="Arial" w:cs="Arial"/>
          <w:color w:val="000000" w:themeColor="text1"/>
          <w:sz w:val="14"/>
          <w:szCs w:val="14"/>
          <w:lang w:val="en-US"/>
        </w:rPr>
        <w:t>and</w:t>
      </w:r>
      <w:r w:rsidRPr="001C4CB9">
        <w:rPr>
          <w:rFonts w:ascii="Arial" w:hAnsi="Arial" w:cs="Arial"/>
          <w:b/>
          <w:color w:val="000000" w:themeColor="text1"/>
          <w:sz w:val="14"/>
          <w:szCs w:val="14"/>
          <w:lang w:val="en-US"/>
        </w:rPr>
        <w:t xml:space="preserve"> 2</w:t>
      </w:r>
      <w:r w:rsidRPr="001C4CB9">
        <w:rPr>
          <w:rFonts w:ascii="Arial" w:hAnsi="Arial" w:cs="Arial"/>
          <w:color w:val="000000" w:themeColor="text1"/>
          <w:sz w:val="14"/>
          <w:szCs w:val="14"/>
          <w:lang w:val="en-US"/>
        </w:rPr>
        <w:t xml:space="preserve"> and other labelling yields were expressed comparatively. Cy3-labelled </w:t>
      </w:r>
      <w:proofErr w:type="spellStart"/>
      <w:r w:rsidRPr="001C4CB9">
        <w:rPr>
          <w:rFonts w:ascii="Arial" w:hAnsi="Arial" w:cs="Arial"/>
          <w:color w:val="000000" w:themeColor="text1"/>
          <w:sz w:val="14"/>
          <w:szCs w:val="14"/>
          <w:lang w:val="en-US"/>
        </w:rPr>
        <w:t>rhMMPs</w:t>
      </w:r>
      <w:proofErr w:type="spellEnd"/>
      <w:r w:rsidRPr="001C4CB9">
        <w:rPr>
          <w:rFonts w:ascii="Arial" w:hAnsi="Arial" w:cs="Arial"/>
          <w:color w:val="000000" w:themeColor="text1"/>
          <w:sz w:val="14"/>
          <w:szCs w:val="14"/>
          <w:lang w:val="en-US"/>
        </w:rPr>
        <w:t xml:space="preserve"> that can be distinguished </w:t>
      </w:r>
      <w:r w:rsidR="00900227" w:rsidRPr="001C4CB9">
        <w:rPr>
          <w:rFonts w:ascii="Arial" w:hAnsi="Arial" w:cs="Arial"/>
          <w:color w:val="000000" w:themeColor="text1"/>
          <w:sz w:val="14"/>
          <w:szCs w:val="14"/>
          <w:lang w:val="en-US"/>
        </w:rPr>
        <w:t>on</w:t>
      </w:r>
      <w:r w:rsidRPr="001C4CB9">
        <w:rPr>
          <w:rFonts w:ascii="Arial" w:hAnsi="Arial" w:cs="Arial"/>
          <w:color w:val="000000" w:themeColor="text1"/>
          <w:sz w:val="14"/>
          <w:szCs w:val="14"/>
          <w:lang w:val="en-US"/>
        </w:rPr>
        <w:t xml:space="preserve"> silver stain</w:t>
      </w:r>
      <w:r w:rsidR="00900227" w:rsidRPr="001C4CB9">
        <w:rPr>
          <w:rFonts w:ascii="Arial" w:hAnsi="Arial" w:cs="Arial"/>
          <w:color w:val="000000" w:themeColor="text1"/>
          <w:sz w:val="14"/>
          <w:szCs w:val="14"/>
          <w:lang w:val="en-US"/>
        </w:rPr>
        <w:t>ed gel</w:t>
      </w:r>
      <w:r w:rsidRPr="001C4CB9">
        <w:rPr>
          <w:rFonts w:ascii="Arial" w:hAnsi="Arial" w:cs="Arial"/>
          <w:color w:val="000000" w:themeColor="text1"/>
          <w:sz w:val="14"/>
          <w:szCs w:val="14"/>
          <w:lang w:val="en-US"/>
        </w:rPr>
        <w:t xml:space="preserve"> from their </w:t>
      </w:r>
      <w:r w:rsidR="00DD6D10" w:rsidRPr="001C4CB9">
        <w:rPr>
          <w:rFonts w:ascii="Arial" w:hAnsi="Arial" w:cs="Arial"/>
          <w:color w:val="000000" w:themeColor="text1"/>
          <w:sz w:val="14"/>
          <w:szCs w:val="14"/>
          <w:lang w:val="en-US"/>
        </w:rPr>
        <w:t>unlabeled</w:t>
      </w:r>
      <w:r w:rsidRPr="001C4CB9">
        <w:rPr>
          <w:rFonts w:ascii="Arial" w:hAnsi="Arial" w:cs="Arial"/>
          <w:color w:val="000000" w:themeColor="text1"/>
          <w:sz w:val="14"/>
          <w:szCs w:val="14"/>
          <w:lang w:val="en-US"/>
        </w:rPr>
        <w:t xml:space="preserve"> counterparts are marked with a blue arrow.</w:t>
      </w:r>
    </w:p>
    <w:p w:rsidR="002D1701" w:rsidRPr="001C4CB9" w:rsidRDefault="00060E09" w:rsidP="0092153A">
      <w:pPr>
        <w:spacing w:line="225" w:lineRule="exact"/>
        <w:contextualSpacing/>
        <w:jc w:val="both"/>
        <w:rPr>
          <w:rFonts w:ascii="Arial" w:hAnsi="Arial"/>
          <w:color w:val="FF0000"/>
          <w:sz w:val="17"/>
          <w:lang w:val="en-US"/>
        </w:rPr>
      </w:pPr>
      <w:r w:rsidRPr="001C4CB9">
        <w:rPr>
          <w:rFonts w:ascii="Arial" w:hAnsi="Arial"/>
          <w:sz w:val="17"/>
          <w:lang w:val="en-US"/>
        </w:rPr>
        <w:t xml:space="preserve">The concentration of the Cy3-labelled rhMMP-12 was determined </w:t>
      </w:r>
      <w:r w:rsidR="007621E7" w:rsidRPr="001C4CB9">
        <w:rPr>
          <w:rFonts w:ascii="Arial" w:hAnsi="Arial"/>
          <w:sz w:val="17"/>
          <w:lang w:val="en-US"/>
        </w:rPr>
        <w:t>by measuring it absorbance at 550nm</w:t>
      </w:r>
      <w:r w:rsidR="004E47EE" w:rsidRPr="001C4CB9">
        <w:rPr>
          <w:rFonts w:ascii="Arial" w:hAnsi="Arial"/>
          <w:sz w:val="17"/>
          <w:lang w:val="en-US"/>
        </w:rPr>
        <w:t xml:space="preserve"> </w:t>
      </w:r>
      <w:r w:rsidR="004D4BFF" w:rsidRPr="001C4CB9">
        <w:rPr>
          <w:rFonts w:ascii="Arial" w:hAnsi="Arial"/>
          <w:sz w:val="17"/>
          <w:lang w:val="en-US"/>
        </w:rPr>
        <w:t>using the molar ext</w:t>
      </w:r>
      <w:r w:rsidR="00164837" w:rsidRPr="001C4CB9">
        <w:rPr>
          <w:rFonts w:ascii="Arial" w:hAnsi="Arial"/>
          <w:sz w:val="17"/>
          <w:lang w:val="en-US"/>
        </w:rPr>
        <w:t>inction coefficient of Cy3 (</w:t>
      </w:r>
      <w:r w:rsidR="004E47EE" w:rsidRPr="001C4CB9">
        <w:rPr>
          <w:rFonts w:ascii="Arial" w:hAnsi="Arial"/>
          <w:sz w:val="17"/>
          <w:lang w:val="en-US"/>
        </w:rPr>
        <w:t>150 000 M</w:t>
      </w:r>
      <w:r w:rsidR="004E47EE" w:rsidRPr="001C4CB9">
        <w:rPr>
          <w:rFonts w:ascii="Arial" w:hAnsi="Arial"/>
          <w:sz w:val="17"/>
          <w:vertAlign w:val="superscript"/>
          <w:lang w:val="en-US"/>
        </w:rPr>
        <w:t>-1</w:t>
      </w:r>
      <w:r w:rsidR="004E47EE" w:rsidRPr="001C4CB9">
        <w:rPr>
          <w:rFonts w:ascii="Arial" w:hAnsi="Arial"/>
          <w:sz w:val="17"/>
          <w:lang w:val="en-US"/>
        </w:rPr>
        <w:t xml:space="preserve"> cm</w:t>
      </w:r>
      <w:r w:rsidR="004E47EE" w:rsidRPr="001C4CB9">
        <w:rPr>
          <w:rFonts w:ascii="Arial" w:hAnsi="Arial"/>
          <w:sz w:val="17"/>
          <w:vertAlign w:val="superscript"/>
          <w:lang w:val="en-US"/>
        </w:rPr>
        <w:t>-1</w:t>
      </w:r>
      <w:r w:rsidR="004E47EE" w:rsidRPr="001C4CB9">
        <w:rPr>
          <w:rFonts w:ascii="Arial" w:hAnsi="Arial"/>
          <w:sz w:val="17"/>
          <w:lang w:val="en-US"/>
        </w:rPr>
        <w:t>)</w:t>
      </w:r>
      <w:r w:rsidR="00BC2A77" w:rsidRPr="001C4CB9">
        <w:rPr>
          <w:rFonts w:ascii="Arial" w:hAnsi="Arial"/>
          <w:sz w:val="17"/>
          <w:lang w:val="en-US"/>
        </w:rPr>
        <w:t>,</w:t>
      </w:r>
      <w:r w:rsidR="004E47EE" w:rsidRPr="001C4CB9">
        <w:rPr>
          <w:rFonts w:ascii="Arial" w:hAnsi="Arial"/>
          <w:sz w:val="17"/>
          <w:lang w:val="en-US"/>
        </w:rPr>
        <w:t xml:space="preserve"> and its proteolytic activity assessed using a synthetic MMP fluorogenic substrate. Interestingly, the Cy3-labelled rhMMP-12 cleaved this substrate with a slightly lower catalytic efficacy compared to </w:t>
      </w:r>
      <w:r w:rsidR="00164837" w:rsidRPr="001C4CB9">
        <w:rPr>
          <w:rFonts w:ascii="Arial" w:hAnsi="Arial"/>
          <w:sz w:val="17"/>
          <w:lang w:val="en-US"/>
        </w:rPr>
        <w:t xml:space="preserve">the </w:t>
      </w:r>
      <w:r w:rsidR="004C6A94" w:rsidRPr="001C4CB9">
        <w:rPr>
          <w:rFonts w:ascii="Arial" w:hAnsi="Arial"/>
          <w:sz w:val="17"/>
          <w:lang w:val="en-US"/>
        </w:rPr>
        <w:t>unlabeled</w:t>
      </w:r>
      <w:r w:rsidR="004E47EE" w:rsidRPr="001C4CB9">
        <w:rPr>
          <w:rFonts w:ascii="Arial" w:hAnsi="Arial"/>
          <w:sz w:val="17"/>
          <w:lang w:val="en-US"/>
        </w:rPr>
        <w:t xml:space="preserve"> </w:t>
      </w:r>
      <w:r w:rsidR="00164837" w:rsidRPr="001C4CB9">
        <w:rPr>
          <w:rFonts w:ascii="Arial" w:hAnsi="Arial"/>
          <w:sz w:val="17"/>
          <w:lang w:val="en-US"/>
        </w:rPr>
        <w:t xml:space="preserve">rhMMP-12 </w:t>
      </w:r>
      <w:r w:rsidR="004A0D9C" w:rsidRPr="001C4CB9">
        <w:rPr>
          <w:rFonts w:ascii="Arial" w:hAnsi="Arial"/>
          <w:sz w:val="17"/>
          <w:lang w:val="en-US"/>
        </w:rPr>
        <w:t>(</w:t>
      </w:r>
      <w:r w:rsidR="00AB617F" w:rsidRPr="001C4CB9">
        <w:rPr>
          <w:rFonts w:ascii="Arial" w:hAnsi="Arial"/>
          <w:sz w:val="17"/>
          <w:lang w:val="en-US"/>
        </w:rPr>
        <w:t>Figure S2D</w:t>
      </w:r>
      <w:r w:rsidR="004E47EE" w:rsidRPr="001C4CB9">
        <w:rPr>
          <w:rFonts w:ascii="Arial" w:hAnsi="Arial"/>
          <w:sz w:val="17"/>
          <w:lang w:val="en-US"/>
        </w:rPr>
        <w:t xml:space="preserve">). Thus, any loss of activity observed for Cy3-labelled rhMMP-12 could be assigned to the presence of bulky hydrophobic </w:t>
      </w:r>
      <w:r w:rsidR="0019541F" w:rsidRPr="001C4CB9">
        <w:rPr>
          <w:rFonts w:ascii="Arial" w:hAnsi="Arial"/>
          <w:sz w:val="17"/>
          <w:lang w:val="en-US"/>
        </w:rPr>
        <w:t>Cy3</w:t>
      </w:r>
      <w:r w:rsidR="004E47EE" w:rsidRPr="001C4CB9">
        <w:rPr>
          <w:rFonts w:ascii="Arial" w:hAnsi="Arial"/>
          <w:sz w:val="17"/>
          <w:lang w:val="en-US"/>
        </w:rPr>
        <w:t xml:space="preserve"> grafted on Lys</w:t>
      </w:r>
      <w:r w:rsidR="004E47EE" w:rsidRPr="001C4CB9">
        <w:rPr>
          <w:rFonts w:ascii="Arial" w:hAnsi="Arial"/>
          <w:sz w:val="17"/>
          <w:vertAlign w:val="superscript"/>
          <w:lang w:val="en-US"/>
        </w:rPr>
        <w:t>177</w:t>
      </w:r>
      <w:r w:rsidR="004E47EE" w:rsidRPr="001C4CB9">
        <w:rPr>
          <w:rFonts w:ascii="Arial" w:hAnsi="Arial"/>
          <w:sz w:val="17"/>
          <w:lang w:val="en-US"/>
        </w:rPr>
        <w:t xml:space="preserve"> that might affect both the substrate binding</w:t>
      </w:r>
      <w:r w:rsidRPr="001C4CB9">
        <w:rPr>
          <w:rFonts w:ascii="Arial" w:hAnsi="Arial"/>
          <w:sz w:val="17"/>
          <w:lang w:val="en-US"/>
        </w:rPr>
        <w:t xml:space="preserve"> and the protease turnover. However, the Cy3-labelled rhMMP-12 remain</w:t>
      </w:r>
      <w:r w:rsidR="00C5208A" w:rsidRPr="001C4CB9">
        <w:rPr>
          <w:rFonts w:ascii="Arial" w:hAnsi="Arial"/>
          <w:sz w:val="17"/>
          <w:lang w:val="en-US"/>
        </w:rPr>
        <w:t>ed</w:t>
      </w:r>
      <w:r w:rsidRPr="001C4CB9">
        <w:rPr>
          <w:rFonts w:ascii="Arial" w:hAnsi="Arial"/>
          <w:sz w:val="17"/>
          <w:lang w:val="en-US"/>
        </w:rPr>
        <w:t xml:space="preserve"> 60% active compared to the unlabeled one. </w:t>
      </w:r>
    </w:p>
    <w:p w:rsidR="00173DF8" w:rsidRPr="001C4CB9" w:rsidRDefault="00173DF8" w:rsidP="00B335FE">
      <w:pPr>
        <w:spacing w:line="225" w:lineRule="exact"/>
        <w:contextualSpacing/>
        <w:jc w:val="both"/>
        <w:rPr>
          <w:rFonts w:ascii="Arial" w:hAnsi="Arial"/>
          <w:sz w:val="17"/>
          <w:lang w:val="en-US"/>
        </w:rPr>
      </w:pPr>
      <w:r w:rsidRPr="001C4CB9">
        <w:rPr>
          <w:rFonts w:ascii="Arial" w:hAnsi="Arial"/>
          <w:sz w:val="17"/>
          <w:lang w:val="en-US"/>
        </w:rPr>
        <w:t xml:space="preserve">We then compared the reactivity of probe </w:t>
      </w:r>
      <w:r w:rsidRPr="001C4CB9">
        <w:rPr>
          <w:rFonts w:ascii="Arial" w:hAnsi="Arial"/>
          <w:b/>
          <w:sz w:val="17"/>
          <w:lang w:val="en-US"/>
        </w:rPr>
        <w:t>1</w:t>
      </w:r>
      <w:r w:rsidRPr="001C4CB9">
        <w:rPr>
          <w:rFonts w:ascii="Arial" w:hAnsi="Arial"/>
          <w:sz w:val="17"/>
          <w:lang w:val="en-US"/>
        </w:rPr>
        <w:t xml:space="preserve"> and </w:t>
      </w:r>
      <w:r w:rsidRPr="001C4CB9">
        <w:rPr>
          <w:rFonts w:ascii="Arial" w:hAnsi="Arial"/>
          <w:b/>
          <w:sz w:val="17"/>
          <w:lang w:val="en-US"/>
        </w:rPr>
        <w:t xml:space="preserve">2 </w:t>
      </w:r>
      <w:r w:rsidRPr="001C4CB9">
        <w:rPr>
          <w:rFonts w:ascii="Arial" w:hAnsi="Arial"/>
          <w:sz w:val="17"/>
          <w:lang w:val="en-US"/>
        </w:rPr>
        <w:t xml:space="preserve">(100 </w:t>
      </w:r>
      <w:proofErr w:type="spellStart"/>
      <w:r w:rsidRPr="001C4CB9">
        <w:rPr>
          <w:rFonts w:ascii="Arial" w:hAnsi="Arial"/>
          <w:sz w:val="17"/>
          <w:lang w:val="en-US"/>
        </w:rPr>
        <w:t>nM</w:t>
      </w:r>
      <w:proofErr w:type="spellEnd"/>
      <w:r w:rsidRPr="001C4CB9">
        <w:rPr>
          <w:rFonts w:ascii="Arial" w:hAnsi="Arial"/>
          <w:sz w:val="17"/>
          <w:lang w:val="en-US"/>
        </w:rPr>
        <w:t xml:space="preserve">) toward rhMMP-12 (40 </w:t>
      </w:r>
      <w:proofErr w:type="spellStart"/>
      <w:r w:rsidRPr="001C4CB9">
        <w:rPr>
          <w:rFonts w:ascii="Arial" w:hAnsi="Arial"/>
          <w:sz w:val="17"/>
          <w:lang w:val="en-US"/>
        </w:rPr>
        <w:t>nM</w:t>
      </w:r>
      <w:proofErr w:type="spellEnd"/>
      <w:r w:rsidRPr="001C4CB9">
        <w:rPr>
          <w:rFonts w:ascii="Arial" w:hAnsi="Arial"/>
          <w:sz w:val="17"/>
          <w:lang w:val="en-US"/>
        </w:rPr>
        <w:t xml:space="preserve">) at two different time points (4h and 16h). After 4h </w:t>
      </w:r>
      <w:r w:rsidR="00537156" w:rsidRPr="001C4CB9">
        <w:rPr>
          <w:rFonts w:ascii="Arial" w:hAnsi="Arial"/>
          <w:sz w:val="17"/>
          <w:lang w:val="en-US"/>
        </w:rPr>
        <w:t xml:space="preserve">of </w:t>
      </w:r>
      <w:r w:rsidRPr="001C4CB9">
        <w:rPr>
          <w:rFonts w:ascii="Arial" w:hAnsi="Arial"/>
          <w:sz w:val="17"/>
          <w:lang w:val="en-US"/>
        </w:rPr>
        <w:t xml:space="preserve">incubation, fluorescent labelling of rhMMP-12 was higher with probe </w:t>
      </w:r>
      <w:r w:rsidRPr="001C4CB9">
        <w:rPr>
          <w:rFonts w:ascii="Arial" w:hAnsi="Arial"/>
          <w:b/>
          <w:sz w:val="17"/>
          <w:lang w:val="en-US"/>
        </w:rPr>
        <w:t xml:space="preserve">2 </w:t>
      </w:r>
      <w:r w:rsidRPr="001C4CB9">
        <w:rPr>
          <w:rFonts w:ascii="Arial" w:hAnsi="Arial"/>
          <w:sz w:val="17"/>
          <w:lang w:val="en-US"/>
        </w:rPr>
        <w:t xml:space="preserve">than with probe </w:t>
      </w:r>
      <w:r w:rsidRPr="001C4CB9">
        <w:rPr>
          <w:rFonts w:ascii="Arial" w:hAnsi="Arial"/>
          <w:b/>
          <w:sz w:val="17"/>
          <w:lang w:val="en-US"/>
        </w:rPr>
        <w:t xml:space="preserve">1 </w:t>
      </w:r>
      <w:r w:rsidRPr="001C4CB9">
        <w:rPr>
          <w:rFonts w:ascii="Arial" w:hAnsi="Arial"/>
          <w:sz w:val="17"/>
          <w:lang w:val="en-US"/>
        </w:rPr>
        <w:t xml:space="preserve">(Figure 3A, Lane A </w:t>
      </w:r>
      <w:r w:rsidRPr="001C4CB9">
        <w:rPr>
          <w:rFonts w:ascii="Arial" w:hAnsi="Arial"/>
          <w:i/>
          <w:sz w:val="17"/>
          <w:lang w:val="en-US"/>
        </w:rPr>
        <w:t xml:space="preserve">vs </w:t>
      </w:r>
      <w:r w:rsidRPr="001C4CB9">
        <w:rPr>
          <w:rFonts w:ascii="Arial" w:hAnsi="Arial"/>
          <w:sz w:val="17"/>
          <w:lang w:val="en-US"/>
        </w:rPr>
        <w:t xml:space="preserve">Lane B), a result consistent with the difference in intrinsic reactivity reported </w:t>
      </w:r>
      <w:r w:rsidR="00587885" w:rsidRPr="001C4CB9">
        <w:rPr>
          <w:rFonts w:ascii="Arial" w:hAnsi="Arial"/>
          <w:sz w:val="17"/>
          <w:lang w:val="en-US"/>
        </w:rPr>
        <w:t xml:space="preserve">for </w:t>
      </w:r>
      <w:r w:rsidRPr="001C4CB9">
        <w:rPr>
          <w:rFonts w:ascii="Arial" w:hAnsi="Arial"/>
          <w:sz w:val="17"/>
          <w:lang w:val="en-US"/>
        </w:rPr>
        <w:t>NASA cleavable linker compared to acyl imidazole</w:t>
      </w:r>
      <w:r w:rsidR="00900227" w:rsidRPr="001C4CB9">
        <w:rPr>
          <w:rFonts w:ascii="Arial" w:hAnsi="Arial"/>
          <w:sz w:val="17"/>
          <w:lang w:val="en-US"/>
        </w:rPr>
        <w:t xml:space="preserve"> one</w:t>
      </w:r>
      <w:r w:rsidRPr="001C4CB9">
        <w:rPr>
          <w:rFonts w:ascii="Arial" w:hAnsi="Arial"/>
          <w:sz w:val="17"/>
          <w:lang w:val="en-US"/>
        </w:rPr>
        <w:t xml:space="preserve"> </w:t>
      </w:r>
      <w:r w:rsidRPr="001C4CB9">
        <w:rPr>
          <w:rFonts w:ascii="Arial" w:hAnsi="Arial"/>
          <w:sz w:val="17"/>
          <w:lang w:val="en-US"/>
        </w:rPr>
        <w:fldChar w:fldCharType="begin"/>
      </w:r>
      <w:r w:rsidRPr="001C4CB9">
        <w:rPr>
          <w:rFonts w:ascii="Arial" w:hAnsi="Arial"/>
          <w:sz w:val="17"/>
          <w:lang w:val="en-US"/>
        </w:rPr>
        <w:instrText xml:space="preserve"> ADDIN ZOTERO_ITEM CSL_CITATION {"citationID":"aKAWR1PT","properties":{"formattedCitation":"\\super [32,38]\\nosupersub{}","plainCitation":"[32,38]","noteIndex":0},"citationItems":[{"id":870,"uris":["http://zotero.org/users/local/t888UWzB/items/MR5AUTMB"],"uri":["http://zotero.org/users/local/t888UWzB/items/MR5AUTMB"],"itemData":{"id":870,"type":"article-journal","abstract":"Chemical modification of proteins provides powerful tools to realize a broad range of exciting biological applications, including the development of new classes of biopharmaceuticals and functional studies of individual proteins in complex biological systems. Numerous strategies for linking desired chemical probes with target proteins have been developed in the last two decades, with most exploiting genetic protein engineering and/or bio-orthogonal chemistry that utilizes unnatural amino acids incorporated into proteins. Modification of native proteins in test tubes and biological contexts by site-specific and target-selective approaches remains challenging because appropriate organic chemistry to carry out such modifications is currently limited. Nonetheless, a variety of promising strategies have appeared recently that address this grand challenge in chemical biology. These new chemistries yield native protein-based well-defined bioconjugations, specific labeling of endogenous proteins in various biological crude milieus, and the establishment of chemical proteomics as a new research area in protein science. In this Perspective, we focus on recent remarkable progress in chemistry for native protein modification. We survey chemical characteristics of the methods and describe briefly these advanced applications to address unsolved biological issues. Current limitations and future directions of this research field are also discussed.","container-title":"Journal of the American Chemical Society","DOI":"10.1021/jacs.8b11747","ISSN":"1520-5126","issue":"7","journalAbbreviation":"J. Am. Chem. Soc.","language":"eng","note":"PMID: 30592612","page":"2782-2799","source":"PubMed","title":"Chemistry for Covalent Modification of Endogenous/Native Proteins: From Test Tubes to Complex Biological Systems","title-short":"Chemistry for Covalent Modification of Endogenous/Native Proteins","volume":"141","author":[{"family":"Tamura","given":"Tomonori"},{"family":"Hamachi","given":"Itaru"}],"issued":{"date-parts":[["2019"]],"season":"20"}}},{"id":878,"uris":["http://zotero.org/users/local/t888UWzB/items/LJTXET7V"],"uri":["http://zotero.org/users/local/t888UWzB/items/LJTXET7V"],"itemData":{"id":878,"type":"article-journal","abstract":"Selective modification of native proteins in live cells is one of the central challenges in recent chemical biology. As a unique bioorthogonal approach, ligand-directed chemistry recently emerged, but the slow kinetics limits its scope. Here we successfully overcome this obstacle using N-acyl-N-alkyl sulfonamide as a reactive group. Quantitative kinetic analyses reveal that ligand-directed N-acyl-N-alkyl sulfonamide chemistry allows for rapid modification of a lysine residue proximal to the ligand binding site of a target protein, with a rate constant of ~104 M-1 s-1, comparable to the fastest bioorthogonal chemistry. Despite some off-target reactions, this method can selectively label both intracellular and membrane-bound endogenous proteins. Moreover, the unique reactivity of N-acyl-N-alkyl sulfonamide enables the rational design of a lysine-targeted covalent inhibitor that shows durable suppression of the activity of Hsp90 in cancer cells. This work provides possibilities to extend the covalent inhibition approach that is currently being reassessed in drug discovery.","container-title":"Nature Communications","DOI":"10.1038/s41467-018-04343-0","ISSN":"2041-1723","issue":"1","journalAbbreviation":"Nat Commun","language":"eng","note":"PMID: 29760386\nPMCID: PMC5951806","page":"1870","source":"PubMed","title":"Rapid labelling and covalent inhibition of intracellular native proteins using ligand-directed N-acyl-N-alkyl sulfonamide","volume":"9","author":[{"family":"Tamura","given":"Tomonori"},{"family":"Ueda","given":"Tsuyoshi"},{"family":"Goto","given":"Taiki"},{"family":"Tsukidate","given":"Taku"},{"family":"Shapira","given":"Yonatan"},{"family":"Nishikawa","given":"Yuki"},{"family":"Fujisawa","given":"Alma"},{"family":"Hamachi","given":"Itaru"}],"issued":{"date-parts":[["2018"]],"season":"14"}}}],"schema":"https://github.com/citation-style-language/schema/raw/master/csl-citation.json"} </w:instrText>
      </w:r>
      <w:r w:rsidRPr="001C4CB9">
        <w:rPr>
          <w:rFonts w:ascii="Arial" w:hAnsi="Arial"/>
          <w:sz w:val="17"/>
          <w:lang w:val="en-US"/>
        </w:rPr>
        <w:fldChar w:fldCharType="separate"/>
      </w:r>
      <w:r w:rsidRPr="001C4CB9">
        <w:rPr>
          <w:rFonts w:ascii="Arial" w:hAnsi="Arial" w:cs="Arial"/>
          <w:sz w:val="17"/>
          <w:vertAlign w:val="superscript"/>
          <w:lang w:val="en-US"/>
        </w:rPr>
        <w:t>[32,38]</w:t>
      </w:r>
      <w:r w:rsidRPr="001C4CB9">
        <w:rPr>
          <w:rFonts w:ascii="Arial" w:hAnsi="Arial"/>
          <w:sz w:val="17"/>
          <w:lang w:val="en-US"/>
        </w:rPr>
        <w:fldChar w:fldCharType="end"/>
      </w:r>
      <w:r w:rsidRPr="001C4CB9">
        <w:rPr>
          <w:rFonts w:ascii="Arial" w:hAnsi="Arial"/>
          <w:sz w:val="17"/>
          <w:lang w:val="en-US"/>
        </w:rPr>
        <w:t>. Interestingly, on the silver-stained SDS-PAGE gel, Cy3-labeled rhMMP-12</w:t>
      </w:r>
      <w:r w:rsidR="00611389" w:rsidRPr="001C4CB9">
        <w:rPr>
          <w:rFonts w:ascii="Arial" w:hAnsi="Arial"/>
          <w:sz w:val="17"/>
          <w:lang w:val="en-US"/>
        </w:rPr>
        <w:t xml:space="preserve"> (marked with a blue arrow)</w:t>
      </w:r>
      <w:r w:rsidRPr="001C4CB9">
        <w:rPr>
          <w:rFonts w:ascii="Arial" w:hAnsi="Arial"/>
          <w:sz w:val="17"/>
          <w:lang w:val="en-US"/>
        </w:rPr>
        <w:t xml:space="preserve"> was distinguishable as a band </w:t>
      </w:r>
      <w:r w:rsidR="00537156" w:rsidRPr="001C4CB9">
        <w:rPr>
          <w:rFonts w:ascii="Arial" w:hAnsi="Arial"/>
          <w:sz w:val="17"/>
          <w:lang w:val="en-US"/>
        </w:rPr>
        <w:t>of</w:t>
      </w:r>
      <w:r w:rsidRPr="001C4CB9">
        <w:rPr>
          <w:rFonts w:ascii="Arial" w:hAnsi="Arial"/>
          <w:sz w:val="17"/>
          <w:lang w:val="en-US"/>
        </w:rPr>
        <w:t xml:space="preserve"> higher </w:t>
      </w:r>
      <w:r w:rsidR="00231835" w:rsidRPr="001C4CB9">
        <w:rPr>
          <w:rFonts w:ascii="Arial" w:hAnsi="Arial"/>
          <w:sz w:val="17"/>
          <w:lang w:val="en-US"/>
        </w:rPr>
        <w:t>molecular weight</w:t>
      </w:r>
      <w:r w:rsidR="00537156" w:rsidRPr="001C4CB9">
        <w:rPr>
          <w:rFonts w:ascii="Arial" w:hAnsi="Arial"/>
          <w:sz w:val="17"/>
          <w:lang w:val="en-US"/>
        </w:rPr>
        <w:t xml:space="preserve"> </w:t>
      </w:r>
      <w:r w:rsidR="00976BB3" w:rsidRPr="001C4CB9">
        <w:rPr>
          <w:rFonts w:ascii="Arial" w:hAnsi="Arial"/>
          <w:sz w:val="17"/>
          <w:lang w:val="en-US"/>
        </w:rPr>
        <w:t>from</w:t>
      </w:r>
      <w:r w:rsidRPr="001C4CB9">
        <w:rPr>
          <w:rFonts w:ascii="Arial" w:hAnsi="Arial"/>
          <w:sz w:val="17"/>
          <w:lang w:val="en-US"/>
        </w:rPr>
        <w:t xml:space="preserve"> its unlabeled counterpart</w:t>
      </w:r>
      <w:r w:rsidR="00611389" w:rsidRPr="001C4CB9">
        <w:rPr>
          <w:rFonts w:ascii="Arial" w:hAnsi="Arial"/>
          <w:sz w:val="17"/>
          <w:lang w:val="en-US"/>
        </w:rPr>
        <w:t xml:space="preserve"> (green arrow)</w:t>
      </w:r>
      <w:r w:rsidRPr="001C4CB9">
        <w:rPr>
          <w:rFonts w:ascii="Arial" w:hAnsi="Arial"/>
          <w:sz w:val="17"/>
          <w:lang w:val="en-US"/>
        </w:rPr>
        <w:t xml:space="preserve">, an electrophoretic </w:t>
      </w:r>
      <w:r w:rsidRPr="001C4CB9">
        <w:rPr>
          <w:rFonts w:ascii="Arial" w:hAnsi="Arial"/>
          <w:sz w:val="17"/>
          <w:lang w:val="en-US"/>
        </w:rPr>
        <w:t xml:space="preserve">behavior </w:t>
      </w:r>
      <w:r w:rsidR="00537156" w:rsidRPr="001C4CB9">
        <w:rPr>
          <w:rFonts w:ascii="Arial" w:hAnsi="Arial"/>
          <w:sz w:val="17"/>
          <w:lang w:val="en-US"/>
        </w:rPr>
        <w:t>similar</w:t>
      </w:r>
      <w:r w:rsidR="00611389" w:rsidRPr="001C4CB9">
        <w:rPr>
          <w:rFonts w:ascii="Arial" w:hAnsi="Arial"/>
          <w:sz w:val="17"/>
          <w:lang w:val="en-US"/>
        </w:rPr>
        <w:t xml:space="preserve"> to that of</w:t>
      </w:r>
      <w:r w:rsidRPr="001C4CB9">
        <w:rPr>
          <w:rFonts w:ascii="Arial" w:hAnsi="Arial"/>
          <w:sz w:val="17"/>
          <w:lang w:val="en-US"/>
        </w:rPr>
        <w:t xml:space="preserve"> rhMMP-12 cross-linked by a photoactivatable inhibitor probe</w:t>
      </w:r>
      <w:r w:rsidRPr="001C4CB9">
        <w:rPr>
          <w:rFonts w:ascii="Arial" w:hAnsi="Arial"/>
          <w:sz w:val="17"/>
          <w:lang w:val="en-US"/>
        </w:rPr>
        <w:fldChar w:fldCharType="begin"/>
      </w:r>
      <w:r w:rsidRPr="001C4CB9">
        <w:rPr>
          <w:rFonts w:ascii="Arial" w:hAnsi="Arial"/>
          <w:sz w:val="17"/>
          <w:lang w:val="en-US"/>
        </w:rPr>
        <w:instrText xml:space="preserve"> ADDIN ZOTERO_ITEM CSL_CITATION {"citationID":"P5n0SMax","properties":{"formattedCitation":"\\super [20]\\nosupersub{}","plainCitation":"[20]","noteIndex":0},"citationItems":[{"id":457,"uris":["http://zotero.org/users/local/t888UWzB/items/GVT28HTA"],"uri":["http://zotero.org/users/local/t888UWzB/items/GVT28HTA"],"itemData":{"id":457,"type":"article-journal","container-title":"Angewandte Chemie (International Ed. in English)","DOI":"10.1002/anie.200604408","ISSN":"1433-7851","issue":"18","journalAbbreviation":"Angew. Chem. Int. Ed. Engl.","language":"eng","note":"PMID: 17387672","page":"3275-3277","source":"PubMed","title":"Cross-linking yield variation of a potent matrix metalloproteinase photoaffinity probe and consequences for functional proteomics","volume":"46","author":[{"family":"David","given":"Arnaud"},{"family":"Steer","given":"David"},{"family":"Bregant","given":"Sarah"},{"family":"Devel","given":"Laurent"},{"family":"Makaritis","given":"Anastasios"},{"family":"Beau","given":"Fabrice"},{"family":"Yiotakis","given":"Athanasios"},{"family":"Dive","given":"Vincent"}],"issued":{"date-parts":[["2007"]]}}}],"schema":"https://github.com/citation-style-language/schema/raw/master/csl-citation.json"} </w:instrText>
      </w:r>
      <w:r w:rsidRPr="001C4CB9">
        <w:rPr>
          <w:rFonts w:ascii="Arial" w:hAnsi="Arial"/>
          <w:sz w:val="17"/>
          <w:lang w:val="en-US"/>
        </w:rPr>
        <w:fldChar w:fldCharType="separate"/>
      </w:r>
      <w:r w:rsidRPr="001C4CB9">
        <w:rPr>
          <w:rFonts w:ascii="Arial" w:hAnsi="Arial" w:cs="Arial"/>
          <w:sz w:val="17"/>
          <w:vertAlign w:val="superscript"/>
          <w:lang w:val="en-US"/>
        </w:rPr>
        <w:t>[20]</w:t>
      </w:r>
      <w:r w:rsidRPr="001C4CB9">
        <w:rPr>
          <w:rFonts w:ascii="Arial" w:hAnsi="Arial"/>
          <w:sz w:val="17"/>
          <w:lang w:val="en-US"/>
        </w:rPr>
        <w:fldChar w:fldCharType="end"/>
      </w:r>
      <w:r w:rsidRPr="001C4CB9">
        <w:rPr>
          <w:rFonts w:ascii="Arial" w:hAnsi="Arial"/>
          <w:sz w:val="17"/>
          <w:lang w:val="en-US"/>
        </w:rPr>
        <w:t xml:space="preserve">.  </w:t>
      </w:r>
      <w:r w:rsidR="00820E12" w:rsidRPr="001C4CB9">
        <w:rPr>
          <w:rFonts w:ascii="Arial" w:hAnsi="Arial"/>
          <w:color w:val="000000" w:themeColor="text1"/>
          <w:sz w:val="17"/>
          <w:lang w:val="en-US"/>
        </w:rPr>
        <w:t xml:space="preserve">A prolonged reaction time to 16h with probe </w:t>
      </w:r>
      <w:r w:rsidR="00820E12" w:rsidRPr="001C4CB9">
        <w:rPr>
          <w:rFonts w:ascii="Arial" w:hAnsi="Arial"/>
          <w:b/>
          <w:color w:val="000000" w:themeColor="text1"/>
          <w:sz w:val="17"/>
          <w:lang w:val="en-US"/>
        </w:rPr>
        <w:t>2</w:t>
      </w:r>
      <w:r w:rsidR="00820E12" w:rsidRPr="001C4CB9">
        <w:rPr>
          <w:rFonts w:ascii="Arial" w:hAnsi="Arial"/>
          <w:color w:val="000000" w:themeColor="text1"/>
          <w:sz w:val="17"/>
          <w:lang w:val="en-US"/>
        </w:rPr>
        <w:t xml:space="preserve"> </w:t>
      </w:r>
      <w:r w:rsidRPr="001C4CB9">
        <w:rPr>
          <w:rFonts w:ascii="Arial" w:hAnsi="Arial"/>
          <w:color w:val="000000" w:themeColor="text1"/>
          <w:sz w:val="17"/>
          <w:lang w:val="en-US"/>
        </w:rPr>
        <w:t xml:space="preserve">led </w:t>
      </w:r>
      <w:r w:rsidR="00537156" w:rsidRPr="001C4CB9">
        <w:rPr>
          <w:rFonts w:ascii="Arial" w:hAnsi="Arial"/>
          <w:color w:val="000000" w:themeColor="text1"/>
          <w:sz w:val="17"/>
          <w:lang w:val="en-US"/>
        </w:rPr>
        <w:t xml:space="preserve">both </w:t>
      </w:r>
      <w:r w:rsidRPr="001C4CB9">
        <w:rPr>
          <w:rFonts w:ascii="Arial" w:hAnsi="Arial"/>
          <w:color w:val="000000" w:themeColor="text1"/>
          <w:sz w:val="17"/>
          <w:lang w:val="en-US"/>
        </w:rPr>
        <w:t xml:space="preserve">to </w:t>
      </w:r>
      <w:r w:rsidR="000C7DAD" w:rsidRPr="001C4CB9">
        <w:rPr>
          <w:rFonts w:ascii="Arial" w:hAnsi="Arial"/>
          <w:color w:val="000000" w:themeColor="text1"/>
          <w:sz w:val="17"/>
          <w:lang w:val="en-US"/>
        </w:rPr>
        <w:t xml:space="preserve">an </w:t>
      </w:r>
      <w:r w:rsidR="00820E12" w:rsidRPr="001C4CB9">
        <w:rPr>
          <w:rFonts w:ascii="Arial" w:hAnsi="Arial"/>
          <w:color w:val="000000" w:themeColor="text1"/>
          <w:sz w:val="17"/>
          <w:lang w:val="en-US"/>
        </w:rPr>
        <w:t>increase</w:t>
      </w:r>
      <w:r w:rsidRPr="001C4CB9">
        <w:rPr>
          <w:rFonts w:ascii="Arial" w:hAnsi="Arial"/>
          <w:color w:val="000000" w:themeColor="text1"/>
          <w:sz w:val="17"/>
          <w:lang w:val="en-US"/>
        </w:rPr>
        <w:t xml:space="preserve"> </w:t>
      </w:r>
      <w:r w:rsidR="002B6B1C" w:rsidRPr="001C4CB9">
        <w:rPr>
          <w:rFonts w:ascii="Arial" w:hAnsi="Arial"/>
          <w:color w:val="000000" w:themeColor="text1"/>
          <w:sz w:val="17"/>
          <w:lang w:val="en-US"/>
        </w:rPr>
        <w:t xml:space="preserve">of </w:t>
      </w:r>
      <w:r w:rsidRPr="001C4CB9">
        <w:rPr>
          <w:rFonts w:ascii="Arial" w:hAnsi="Arial"/>
          <w:color w:val="000000" w:themeColor="text1"/>
          <w:sz w:val="17"/>
          <w:lang w:val="en-US"/>
        </w:rPr>
        <w:t>fluorescen</w:t>
      </w:r>
      <w:r w:rsidR="00820E12" w:rsidRPr="001C4CB9">
        <w:rPr>
          <w:rFonts w:ascii="Arial" w:hAnsi="Arial"/>
          <w:color w:val="000000" w:themeColor="text1"/>
          <w:sz w:val="17"/>
          <w:lang w:val="en-US"/>
        </w:rPr>
        <w:t xml:space="preserve">ce </w:t>
      </w:r>
      <w:r w:rsidRPr="001C4CB9">
        <w:rPr>
          <w:rFonts w:ascii="Arial" w:hAnsi="Arial"/>
          <w:color w:val="000000" w:themeColor="text1"/>
          <w:sz w:val="17"/>
          <w:lang w:val="en-US"/>
        </w:rPr>
        <w:t xml:space="preserve">incorporation </w:t>
      </w:r>
      <w:r w:rsidR="00820E12" w:rsidRPr="001C4CB9">
        <w:rPr>
          <w:rFonts w:ascii="Arial" w:hAnsi="Arial"/>
          <w:color w:val="000000" w:themeColor="text1"/>
          <w:sz w:val="17"/>
          <w:lang w:val="en-US"/>
        </w:rPr>
        <w:t>on</w:t>
      </w:r>
      <w:r w:rsidR="00637201" w:rsidRPr="001C4CB9">
        <w:rPr>
          <w:rFonts w:ascii="Arial" w:hAnsi="Arial"/>
          <w:color w:val="000000" w:themeColor="text1"/>
          <w:sz w:val="17"/>
          <w:lang w:val="en-US"/>
        </w:rPr>
        <w:t>to</w:t>
      </w:r>
      <w:r w:rsidR="00820E12" w:rsidRPr="001C4CB9">
        <w:rPr>
          <w:rFonts w:ascii="Arial" w:hAnsi="Arial"/>
          <w:color w:val="000000" w:themeColor="text1"/>
          <w:sz w:val="17"/>
          <w:lang w:val="en-US"/>
        </w:rPr>
        <w:t xml:space="preserve"> </w:t>
      </w:r>
      <w:r w:rsidR="00537156" w:rsidRPr="001C4CB9">
        <w:rPr>
          <w:rFonts w:ascii="Arial" w:hAnsi="Arial"/>
          <w:color w:val="000000" w:themeColor="text1"/>
          <w:sz w:val="17"/>
          <w:lang w:val="en-US"/>
        </w:rPr>
        <w:t xml:space="preserve">the main band </w:t>
      </w:r>
      <w:r w:rsidRPr="001C4CB9">
        <w:rPr>
          <w:rFonts w:ascii="Arial" w:hAnsi="Arial"/>
          <w:color w:val="000000" w:themeColor="text1"/>
          <w:sz w:val="17"/>
          <w:lang w:val="en-US"/>
        </w:rPr>
        <w:t xml:space="preserve">and </w:t>
      </w:r>
      <w:r w:rsidR="005A192E" w:rsidRPr="001C4CB9">
        <w:rPr>
          <w:rFonts w:ascii="Arial" w:hAnsi="Arial"/>
          <w:color w:val="000000" w:themeColor="text1"/>
          <w:sz w:val="17"/>
          <w:lang w:val="en-US"/>
        </w:rPr>
        <w:t xml:space="preserve">to </w:t>
      </w:r>
      <w:r w:rsidR="00934F0B" w:rsidRPr="001C4CB9">
        <w:rPr>
          <w:rFonts w:ascii="Arial" w:hAnsi="Arial"/>
          <w:color w:val="000000" w:themeColor="text1"/>
          <w:sz w:val="17"/>
          <w:lang w:val="en-US"/>
        </w:rPr>
        <w:t xml:space="preserve">the </w:t>
      </w:r>
      <w:r w:rsidR="00976BB3" w:rsidRPr="001C4CB9">
        <w:rPr>
          <w:rFonts w:ascii="Arial" w:hAnsi="Arial"/>
          <w:color w:val="000000" w:themeColor="text1"/>
          <w:sz w:val="17"/>
          <w:lang w:val="en-US"/>
        </w:rPr>
        <w:t>appearance</w:t>
      </w:r>
      <w:r w:rsidR="00934F0B" w:rsidRPr="001C4CB9">
        <w:rPr>
          <w:rFonts w:ascii="Arial" w:hAnsi="Arial"/>
          <w:color w:val="000000" w:themeColor="text1"/>
          <w:sz w:val="17"/>
          <w:lang w:val="en-US"/>
        </w:rPr>
        <w:t xml:space="preserve"> of a second upper </w:t>
      </w:r>
      <w:r w:rsidRPr="001C4CB9">
        <w:rPr>
          <w:rFonts w:ascii="Arial" w:hAnsi="Arial"/>
          <w:color w:val="000000" w:themeColor="text1"/>
          <w:sz w:val="17"/>
          <w:lang w:val="en-US"/>
        </w:rPr>
        <w:t xml:space="preserve">fluorescent band </w:t>
      </w:r>
      <w:r w:rsidRPr="001C4CB9">
        <w:rPr>
          <w:rFonts w:ascii="Arial" w:hAnsi="Arial"/>
          <w:sz w:val="17"/>
          <w:lang w:val="en-US"/>
        </w:rPr>
        <w:t xml:space="preserve">(Figure 3A, Lane D). This second band </w:t>
      </w:r>
      <w:r w:rsidR="00934F0B" w:rsidRPr="001C4CB9">
        <w:rPr>
          <w:rFonts w:ascii="Arial" w:hAnsi="Arial"/>
          <w:sz w:val="17"/>
          <w:lang w:val="en-US"/>
        </w:rPr>
        <w:t xml:space="preserve">could correspond to a rhMMP-12 labeled in two positions, consistent with a specie of </w:t>
      </w:r>
      <w:r w:rsidR="00934F0B" w:rsidRPr="001C4CB9">
        <w:rPr>
          <w:rFonts w:ascii="Arial" w:hAnsi="Arial"/>
          <w:color w:val="000000" w:themeColor="text1"/>
          <w:sz w:val="17"/>
          <w:lang w:val="en-US"/>
        </w:rPr>
        <w:t>higher molecular</w:t>
      </w:r>
      <w:r w:rsidR="00934F0B" w:rsidRPr="001C4CB9">
        <w:rPr>
          <w:rFonts w:ascii="Arial" w:hAnsi="Arial"/>
          <w:color w:val="FF0000"/>
          <w:sz w:val="17"/>
          <w:lang w:val="en-US"/>
        </w:rPr>
        <w:t xml:space="preserve"> </w:t>
      </w:r>
      <w:r w:rsidR="00934F0B" w:rsidRPr="001C4CB9">
        <w:rPr>
          <w:rFonts w:ascii="Arial" w:hAnsi="Arial"/>
          <w:color w:val="000000" w:themeColor="text1"/>
          <w:sz w:val="17"/>
          <w:lang w:val="en-US"/>
        </w:rPr>
        <w:t>weight</w:t>
      </w:r>
      <w:r w:rsidR="00934F0B" w:rsidRPr="001C4CB9">
        <w:rPr>
          <w:rFonts w:ascii="Arial" w:hAnsi="Arial"/>
          <w:sz w:val="17"/>
          <w:lang w:val="en-US"/>
        </w:rPr>
        <w:t>.</w:t>
      </w:r>
      <w:r w:rsidRPr="001C4CB9">
        <w:rPr>
          <w:rFonts w:ascii="Arial" w:hAnsi="Arial"/>
          <w:sz w:val="17"/>
          <w:lang w:val="en-US"/>
        </w:rPr>
        <w:t xml:space="preserve"> </w:t>
      </w:r>
      <w:r w:rsidR="00973661" w:rsidRPr="001C4CB9">
        <w:rPr>
          <w:rFonts w:ascii="Arial" w:hAnsi="Arial"/>
          <w:sz w:val="17"/>
          <w:lang w:val="en-US"/>
        </w:rPr>
        <w:t xml:space="preserve">At </w:t>
      </w:r>
      <w:r w:rsidR="00301835" w:rsidRPr="001C4CB9">
        <w:rPr>
          <w:rFonts w:ascii="Arial" w:hAnsi="Arial"/>
          <w:sz w:val="17"/>
          <w:lang w:val="en-US"/>
        </w:rPr>
        <w:t>this time point</w:t>
      </w:r>
      <w:r w:rsidRPr="001C4CB9">
        <w:rPr>
          <w:rFonts w:ascii="Arial" w:hAnsi="Arial"/>
          <w:sz w:val="17"/>
          <w:lang w:val="en-US"/>
        </w:rPr>
        <w:t xml:space="preserve">, since no band corresponding to the unlabeled form </w:t>
      </w:r>
      <w:r w:rsidR="00973661" w:rsidRPr="001C4CB9">
        <w:rPr>
          <w:rFonts w:ascii="Arial" w:hAnsi="Arial"/>
          <w:sz w:val="17"/>
          <w:lang w:val="en-US"/>
        </w:rPr>
        <w:t xml:space="preserve">was </w:t>
      </w:r>
      <w:r w:rsidRPr="001C4CB9">
        <w:rPr>
          <w:rFonts w:ascii="Arial" w:hAnsi="Arial"/>
          <w:sz w:val="17"/>
          <w:lang w:val="en-US"/>
        </w:rPr>
        <w:t xml:space="preserve">detected by silver staining, we estimated that probe </w:t>
      </w:r>
      <w:r w:rsidRPr="001C4CB9">
        <w:rPr>
          <w:rFonts w:ascii="Arial" w:hAnsi="Arial"/>
          <w:b/>
          <w:sz w:val="17"/>
          <w:lang w:val="en-US"/>
        </w:rPr>
        <w:t>2</w:t>
      </w:r>
      <w:r w:rsidRPr="001C4CB9">
        <w:rPr>
          <w:rFonts w:ascii="Arial" w:hAnsi="Arial"/>
          <w:sz w:val="17"/>
          <w:lang w:val="en-US"/>
        </w:rPr>
        <w:t xml:space="preserve"> </w:t>
      </w:r>
      <w:r w:rsidR="00301835" w:rsidRPr="001C4CB9">
        <w:rPr>
          <w:rFonts w:ascii="Arial" w:hAnsi="Arial"/>
          <w:sz w:val="17"/>
          <w:lang w:val="en-US"/>
        </w:rPr>
        <w:t>has</w:t>
      </w:r>
      <w:r w:rsidRPr="001C4CB9">
        <w:rPr>
          <w:rFonts w:ascii="Arial" w:hAnsi="Arial"/>
          <w:sz w:val="17"/>
          <w:lang w:val="en-US"/>
        </w:rPr>
        <w:t xml:space="preserve"> modified rhMMP-12 </w:t>
      </w:r>
      <w:r w:rsidR="00973661" w:rsidRPr="001C4CB9">
        <w:rPr>
          <w:rFonts w:ascii="Arial" w:hAnsi="Arial"/>
          <w:sz w:val="17"/>
          <w:lang w:val="en-US"/>
        </w:rPr>
        <w:t xml:space="preserve">almost </w:t>
      </w:r>
      <w:r w:rsidRPr="001C4CB9">
        <w:rPr>
          <w:rFonts w:ascii="Arial" w:hAnsi="Arial"/>
          <w:sz w:val="17"/>
          <w:lang w:val="en-US"/>
        </w:rPr>
        <w:t>quantitatively</w:t>
      </w:r>
      <w:r w:rsidR="00822C2F" w:rsidRPr="001C4CB9">
        <w:rPr>
          <w:rFonts w:ascii="Arial" w:hAnsi="Arial"/>
          <w:sz w:val="17"/>
          <w:lang w:val="en-US"/>
        </w:rPr>
        <w:t xml:space="preserve">. This labeling yield was set at </w:t>
      </w:r>
      <w:r w:rsidR="00973661" w:rsidRPr="001C4CB9">
        <w:rPr>
          <w:rFonts w:ascii="Arial" w:hAnsi="Arial"/>
          <w:sz w:val="17"/>
          <w:lang w:val="en-US"/>
        </w:rPr>
        <w:t>&gt;95%</w:t>
      </w:r>
      <w:r w:rsidR="00822C2F" w:rsidRPr="001C4CB9">
        <w:rPr>
          <w:rFonts w:ascii="Arial" w:hAnsi="Arial"/>
          <w:sz w:val="17"/>
          <w:lang w:val="en-US"/>
        </w:rPr>
        <w:t xml:space="preserve"> and enabled deducing </w:t>
      </w:r>
      <w:r w:rsidR="00973661" w:rsidRPr="001C4CB9">
        <w:rPr>
          <w:rFonts w:ascii="Arial" w:hAnsi="Arial"/>
          <w:sz w:val="17"/>
          <w:lang w:val="en-US"/>
        </w:rPr>
        <w:t>the other</w:t>
      </w:r>
      <w:r w:rsidR="00965B58" w:rsidRPr="001C4CB9">
        <w:rPr>
          <w:rFonts w:ascii="Arial" w:hAnsi="Arial"/>
          <w:sz w:val="17"/>
          <w:lang w:val="en-US"/>
        </w:rPr>
        <w:t xml:space="preserve"> labeling yields</w:t>
      </w:r>
      <w:r w:rsidR="00973661" w:rsidRPr="001C4CB9">
        <w:rPr>
          <w:rFonts w:ascii="Arial" w:hAnsi="Arial"/>
          <w:sz w:val="17"/>
          <w:lang w:val="en-US"/>
        </w:rPr>
        <w:t xml:space="preserve">. </w:t>
      </w:r>
      <w:r w:rsidR="00965B58" w:rsidRPr="001C4CB9">
        <w:rPr>
          <w:rFonts w:ascii="Arial" w:hAnsi="Arial"/>
          <w:sz w:val="17"/>
          <w:lang w:val="en-US"/>
        </w:rPr>
        <w:t>After 4h</w:t>
      </w:r>
      <w:r w:rsidR="00973661" w:rsidRPr="001C4CB9">
        <w:rPr>
          <w:rFonts w:ascii="Arial" w:hAnsi="Arial"/>
          <w:sz w:val="17"/>
          <w:lang w:val="en-US"/>
        </w:rPr>
        <w:t>,</w:t>
      </w:r>
      <w:r w:rsidRPr="001C4CB9">
        <w:rPr>
          <w:rFonts w:ascii="Arial" w:hAnsi="Arial"/>
          <w:sz w:val="17"/>
          <w:lang w:val="en-US"/>
        </w:rPr>
        <w:t xml:space="preserve"> </w:t>
      </w:r>
      <w:r w:rsidR="00973661" w:rsidRPr="001C4CB9">
        <w:rPr>
          <w:rFonts w:ascii="Arial" w:hAnsi="Arial"/>
          <w:sz w:val="17"/>
          <w:lang w:val="en-US"/>
        </w:rPr>
        <w:t xml:space="preserve">probe </w:t>
      </w:r>
      <w:r w:rsidR="00973661" w:rsidRPr="001C4CB9">
        <w:rPr>
          <w:rFonts w:ascii="Arial" w:hAnsi="Arial"/>
          <w:b/>
          <w:sz w:val="17"/>
          <w:lang w:val="en-US"/>
        </w:rPr>
        <w:t>2</w:t>
      </w:r>
      <w:r w:rsidR="00973661" w:rsidRPr="001C4CB9">
        <w:rPr>
          <w:rFonts w:ascii="Arial" w:hAnsi="Arial"/>
          <w:sz w:val="17"/>
          <w:lang w:val="en-US"/>
        </w:rPr>
        <w:t xml:space="preserve"> crosslinked </w:t>
      </w:r>
      <w:r w:rsidR="00965B58" w:rsidRPr="001C4CB9">
        <w:rPr>
          <w:rFonts w:ascii="Arial" w:hAnsi="Arial"/>
          <w:sz w:val="17"/>
          <w:lang w:val="en-US"/>
        </w:rPr>
        <w:t xml:space="preserve">rhMMP-12 with </w:t>
      </w:r>
      <w:r w:rsidRPr="001C4CB9">
        <w:rPr>
          <w:rFonts w:ascii="Arial" w:hAnsi="Arial"/>
          <w:sz w:val="17"/>
          <w:lang w:val="en-US"/>
        </w:rPr>
        <w:t>76% yield</w:t>
      </w:r>
      <w:r w:rsidR="00965B58" w:rsidRPr="001C4CB9">
        <w:rPr>
          <w:rFonts w:ascii="Arial" w:hAnsi="Arial"/>
          <w:sz w:val="17"/>
          <w:lang w:val="en-US"/>
        </w:rPr>
        <w:t xml:space="preserve">, a </w:t>
      </w:r>
      <w:r w:rsidRPr="001C4CB9">
        <w:rPr>
          <w:rFonts w:ascii="Arial" w:hAnsi="Arial"/>
          <w:sz w:val="17"/>
          <w:lang w:val="en-US"/>
        </w:rPr>
        <w:t xml:space="preserve">crosslinking yield never </w:t>
      </w:r>
      <w:r w:rsidR="001C4795" w:rsidRPr="001C4CB9">
        <w:rPr>
          <w:rFonts w:ascii="Arial" w:hAnsi="Arial"/>
          <w:sz w:val="17"/>
          <w:lang w:val="en-US"/>
        </w:rPr>
        <w:t xml:space="preserve">yet </w:t>
      </w:r>
      <w:r w:rsidRPr="001C4CB9">
        <w:rPr>
          <w:rFonts w:ascii="Arial" w:hAnsi="Arial"/>
          <w:sz w:val="17"/>
          <w:lang w:val="en-US"/>
        </w:rPr>
        <w:t xml:space="preserve">reported for an activity-based probe targeting a metalloprotease. </w:t>
      </w:r>
      <w:r w:rsidR="00FC688B">
        <w:rPr>
          <w:rFonts w:ascii="Arial" w:hAnsi="Arial"/>
          <w:sz w:val="17"/>
          <w:lang w:val="en-US"/>
        </w:rPr>
        <w:t>Moreover, w</w:t>
      </w:r>
      <w:r w:rsidR="00DB5DA0">
        <w:rPr>
          <w:rFonts w:ascii="Arial" w:hAnsi="Arial"/>
          <w:sz w:val="17"/>
          <w:lang w:val="en-US"/>
        </w:rPr>
        <w:t xml:space="preserve">ith </w:t>
      </w:r>
      <w:r w:rsidR="00FC688B">
        <w:rPr>
          <w:rFonts w:ascii="Arial" w:hAnsi="Arial"/>
          <w:sz w:val="17"/>
          <w:lang w:val="en-US"/>
        </w:rPr>
        <w:t xml:space="preserve">this probe </w:t>
      </w:r>
      <w:r w:rsidR="00FC688B" w:rsidRPr="00FC688B">
        <w:rPr>
          <w:rFonts w:ascii="Arial" w:hAnsi="Arial"/>
          <w:b/>
          <w:sz w:val="17"/>
          <w:lang w:val="en-US"/>
        </w:rPr>
        <w:t>2</w:t>
      </w:r>
      <w:r w:rsidR="00DB5DA0">
        <w:rPr>
          <w:rFonts w:ascii="Arial" w:hAnsi="Arial"/>
          <w:sz w:val="17"/>
          <w:lang w:val="en-US"/>
        </w:rPr>
        <w:t xml:space="preserve">, </w:t>
      </w:r>
      <w:r w:rsidR="00DB5DA0" w:rsidRPr="00FC688B">
        <w:rPr>
          <w:rFonts w:ascii="Arial" w:hAnsi="Arial"/>
          <w:sz w:val="17"/>
          <w:lang w:val="en-US"/>
        </w:rPr>
        <w:t>we also showed</w:t>
      </w:r>
      <w:r w:rsidR="007A3476" w:rsidRPr="00FC688B">
        <w:rPr>
          <w:rFonts w:ascii="Arial" w:hAnsi="Arial"/>
          <w:sz w:val="17"/>
          <w:lang w:val="en-US"/>
        </w:rPr>
        <w:t xml:space="preserve"> </w:t>
      </w:r>
      <w:r w:rsidR="00DB5DA0" w:rsidRPr="00FC688B">
        <w:rPr>
          <w:rFonts w:ascii="Arial" w:hAnsi="Arial"/>
          <w:sz w:val="17"/>
          <w:lang w:val="en-US"/>
        </w:rPr>
        <w:t xml:space="preserve">that </w:t>
      </w:r>
      <w:r w:rsidR="007A3476" w:rsidRPr="00FC688B">
        <w:rPr>
          <w:rFonts w:ascii="Arial" w:hAnsi="Arial"/>
          <w:sz w:val="17"/>
          <w:lang w:val="en-US"/>
        </w:rPr>
        <w:t xml:space="preserve">rhMMP-12 </w:t>
      </w:r>
      <w:r w:rsidR="00FC688B" w:rsidRPr="00FC688B">
        <w:rPr>
          <w:rFonts w:ascii="Arial" w:hAnsi="Arial"/>
          <w:sz w:val="17"/>
          <w:lang w:val="en-US"/>
        </w:rPr>
        <w:t>was efficiently</w:t>
      </w:r>
      <w:r w:rsidR="007A3476" w:rsidRPr="00FC688B">
        <w:rPr>
          <w:rFonts w:ascii="Arial" w:hAnsi="Arial"/>
          <w:sz w:val="17"/>
          <w:lang w:val="en-US"/>
        </w:rPr>
        <w:t xml:space="preserve"> label</w:t>
      </w:r>
      <w:r w:rsidR="00FC688B" w:rsidRPr="00FC688B">
        <w:rPr>
          <w:rFonts w:ascii="Arial" w:hAnsi="Arial"/>
          <w:sz w:val="17"/>
          <w:lang w:val="en-US"/>
        </w:rPr>
        <w:t>ed after only 15 minutes, with a labelling</w:t>
      </w:r>
      <w:r w:rsidR="007A3476" w:rsidRPr="00FC688B">
        <w:rPr>
          <w:rFonts w:ascii="Arial" w:hAnsi="Arial"/>
          <w:sz w:val="17"/>
          <w:lang w:val="en-US"/>
        </w:rPr>
        <w:t xml:space="preserve"> yield increas</w:t>
      </w:r>
      <w:r w:rsidR="00FC688B" w:rsidRPr="00FC688B">
        <w:rPr>
          <w:rFonts w:ascii="Arial" w:hAnsi="Arial"/>
          <w:sz w:val="17"/>
          <w:lang w:val="en-US"/>
        </w:rPr>
        <w:t>ing</w:t>
      </w:r>
      <w:r w:rsidR="007A3476" w:rsidRPr="00FC688B">
        <w:rPr>
          <w:rFonts w:ascii="Arial" w:hAnsi="Arial"/>
          <w:sz w:val="17"/>
          <w:lang w:val="en-US"/>
        </w:rPr>
        <w:t xml:space="preserve"> </w:t>
      </w:r>
      <w:r w:rsidR="005A45B8">
        <w:rPr>
          <w:rFonts w:ascii="Arial" w:hAnsi="Arial"/>
          <w:sz w:val="17"/>
          <w:lang w:val="en-US"/>
        </w:rPr>
        <w:t>w</w:t>
      </w:r>
      <w:r w:rsidR="00F96C12">
        <w:rPr>
          <w:rFonts w:ascii="Arial" w:hAnsi="Arial"/>
          <w:sz w:val="17"/>
          <w:lang w:val="en-US"/>
        </w:rPr>
        <w:t>ith</w:t>
      </w:r>
      <w:r w:rsidR="00FC688B">
        <w:rPr>
          <w:rFonts w:ascii="Arial" w:hAnsi="Arial"/>
          <w:sz w:val="17"/>
          <w:lang w:val="en-US"/>
        </w:rPr>
        <w:t xml:space="preserve"> longer </w:t>
      </w:r>
      <w:r w:rsidR="00F96C12">
        <w:rPr>
          <w:rFonts w:ascii="Arial" w:hAnsi="Arial"/>
          <w:sz w:val="17"/>
          <w:lang w:val="en-US"/>
        </w:rPr>
        <w:t xml:space="preserve">incubation </w:t>
      </w:r>
      <w:r w:rsidR="00FC688B">
        <w:rPr>
          <w:rFonts w:ascii="Arial" w:hAnsi="Arial"/>
          <w:sz w:val="17"/>
          <w:lang w:val="en-US"/>
        </w:rPr>
        <w:t>time</w:t>
      </w:r>
      <w:r w:rsidR="00F96C12">
        <w:rPr>
          <w:rFonts w:ascii="Arial" w:hAnsi="Arial"/>
          <w:sz w:val="17"/>
          <w:lang w:val="en-US"/>
        </w:rPr>
        <w:t>s</w:t>
      </w:r>
      <w:r w:rsidR="00FC688B">
        <w:rPr>
          <w:rFonts w:ascii="Arial" w:hAnsi="Arial"/>
          <w:sz w:val="17"/>
          <w:lang w:val="en-US"/>
        </w:rPr>
        <w:t xml:space="preserve"> </w:t>
      </w:r>
      <w:r w:rsidR="007A3476" w:rsidRPr="00FC688B">
        <w:rPr>
          <w:rFonts w:ascii="Arial" w:hAnsi="Arial"/>
          <w:sz w:val="17"/>
          <w:lang w:val="en-US"/>
        </w:rPr>
        <w:t>(</w:t>
      </w:r>
      <w:r w:rsidR="00FC688B" w:rsidRPr="00FC688B">
        <w:rPr>
          <w:rFonts w:ascii="Arial" w:hAnsi="Arial"/>
          <w:sz w:val="17"/>
          <w:lang w:val="en-US"/>
        </w:rPr>
        <w:t>Figure S4A</w:t>
      </w:r>
      <w:r w:rsidR="007A3476" w:rsidRPr="00FC688B">
        <w:rPr>
          <w:rFonts w:ascii="Arial" w:hAnsi="Arial"/>
          <w:sz w:val="17"/>
          <w:lang w:val="en-US"/>
        </w:rPr>
        <w:t>).</w:t>
      </w:r>
      <w:r w:rsidR="00FC688B">
        <w:rPr>
          <w:rFonts w:ascii="Arial" w:hAnsi="Arial"/>
          <w:sz w:val="17"/>
          <w:lang w:val="en-US"/>
        </w:rPr>
        <w:t xml:space="preserve"> </w:t>
      </w:r>
      <w:r w:rsidRPr="001C4CB9">
        <w:rPr>
          <w:rFonts w:ascii="Arial" w:hAnsi="Arial"/>
          <w:sz w:val="17"/>
          <w:lang w:val="en-US"/>
        </w:rPr>
        <w:t xml:space="preserve">Despite its lower reactivity, probe </w:t>
      </w:r>
      <w:r w:rsidRPr="001C4CB9">
        <w:rPr>
          <w:rFonts w:ascii="Arial" w:hAnsi="Arial"/>
          <w:b/>
          <w:sz w:val="17"/>
          <w:lang w:val="en-US"/>
        </w:rPr>
        <w:t>1</w:t>
      </w:r>
      <w:r w:rsidRPr="001C4CB9">
        <w:rPr>
          <w:rFonts w:ascii="Arial" w:hAnsi="Arial"/>
          <w:sz w:val="17"/>
          <w:lang w:val="en-US"/>
        </w:rPr>
        <w:t xml:space="preserve"> remained effective with a significant labeling yield of 25% after 4h (Figure 3A, Lane B), comparable to those obtained with </w:t>
      </w:r>
      <w:r w:rsidR="00820E12" w:rsidRPr="001C4CB9">
        <w:rPr>
          <w:rFonts w:ascii="Arial" w:hAnsi="Arial"/>
          <w:sz w:val="17"/>
          <w:lang w:val="en-US"/>
        </w:rPr>
        <w:t xml:space="preserve">most of </w:t>
      </w:r>
      <w:r w:rsidRPr="001C4CB9">
        <w:rPr>
          <w:rFonts w:ascii="Arial" w:hAnsi="Arial"/>
          <w:sz w:val="17"/>
          <w:lang w:val="en-US"/>
        </w:rPr>
        <w:t>photoactivatable probes</w:t>
      </w:r>
      <w:r w:rsidRPr="001C4CB9">
        <w:rPr>
          <w:rFonts w:ascii="Arial" w:hAnsi="Arial"/>
          <w:sz w:val="17"/>
          <w:lang w:val="en-US"/>
        </w:rPr>
        <w:fldChar w:fldCharType="begin"/>
      </w:r>
      <w:r w:rsidRPr="001C4CB9">
        <w:rPr>
          <w:rFonts w:ascii="Arial" w:hAnsi="Arial"/>
          <w:sz w:val="17"/>
          <w:lang w:val="en-US"/>
        </w:rPr>
        <w:instrText xml:space="preserve"> ADDIN ZOTERO_ITEM CSL_CITATION {"citationID":"m9GZt7sS","properties":{"formattedCitation":"\\super [20,23]\\nosupersub{}","plainCitation":"[20,23]","noteIndex":0},"citationItems":[{"id":457,"uris":["http://zotero.org/users/local/t888UWzB/items/GVT28HTA"],"uri":["http://zotero.org/users/local/t888UWzB/items/GVT28HTA"],"itemData":{"id":457,"type":"article-journal","container-title":"Angewandte Chemie (International Ed. in English)","DOI":"10.1002/anie.200604408","ISSN":"1433-7851","issue":"18","journalAbbreviation":"Angew. Chem. Int. Ed. Engl.","language":"eng","note":"PMID: 17387672","page":"3275-3277","source":"PubMed","title":"Cross-linking yield variation of a potent matrix metalloproteinase photoaffinity probe and consequences for functional proteomics","volume":"46","author":[{"family":"David","given":"Arnaud"},{"family":"Steer","given":"David"},{"family":"Bregant","given":"Sarah"},{"family":"Devel","given":"Laurent"},{"family":"Makaritis","given":"Anastasios"},{"family":"Beau","given":"Fabrice"},{"family":"Yiotakis","given":"Athanasios"},{"family":"Dive","given":"Vincent"}],"issued":{"date-parts":[["2007"]]}}},{"id":393,"uris":["http://zotero.org/users/local/t888UWzB/items/DS98A5VR"],"uri":["http://zotero.org/users/local/t888UWzB/items/DS98A5VR"],"itemData":{"id":393,"type":"article-journal","abstract":"A photoaffinity probe based on the scaffold of a potent broad-spectrum phosphinic peptide inhibitor of matrix metalloproteinases (MMPs) has been developed. A photolabile diazirine group for covalent modification of MMP active forms was incorporated at the P(1) ' position, and a tritium radioactive label for the sensitive detection of MMP covalent adducts by radioimaging was attached. The probe was characterized on seven catalytic domains of human MMPs (MMP-2, -3, -8, -9, -12, -13 and -14) and was found to display nanomolar affinities towards this set of MMPs, covalently modifying them with crosslinking yields varying from 12 to 58 %, thus leading to highly sensitive detection of these MMPs. In a complex proteome complemented with four recombinant MMPs (MMP-2, -9, -12 and -13), this probe enabled their simultaneous detection with a threshold of few femtomoles and low background labelling. Those properties should make this new pan-activity-based MMP probe a valuable tool for the detection of MMP active forms from biological fluids or tissue extracts.","container-title":"Chembiochem: A European Journal of Chemical Biology","DOI":"10.1002/cbic.201200583","ISSN":"1439-7633","issue":"1","journalAbbreviation":"Chembiochem","language":"ENG","note":"PMID: 23203916","page":"107-114","source":"PubMed","title":"A pan photoaffinity probe for detecting active forms of matrix metalloproteinases","volume":"14","author":[{"family":"Nury","given":"Catherine"},{"family":"Czarny","given":"Bertrand"},{"family":"Cassar-Lajeunesse","given":"Evelyne"},{"family":"Georgiadis","given":"Dimitris"},{"family":"Bregant","given":"Sarah"},{"family":"Dive","given":"Vincent"}],"issued":{"date-parts":[["2013",1,2]]}}}],"schema":"https://github.com/citation-style-language/schema/raw/master/csl-citation.json"} </w:instrText>
      </w:r>
      <w:r w:rsidRPr="001C4CB9">
        <w:rPr>
          <w:rFonts w:ascii="Arial" w:hAnsi="Arial"/>
          <w:sz w:val="17"/>
          <w:lang w:val="en-US"/>
        </w:rPr>
        <w:fldChar w:fldCharType="separate"/>
      </w:r>
      <w:r w:rsidRPr="001C4CB9">
        <w:rPr>
          <w:rFonts w:ascii="Arial" w:hAnsi="Arial" w:cs="Arial"/>
          <w:sz w:val="17"/>
          <w:vertAlign w:val="superscript"/>
          <w:lang w:val="en-US"/>
        </w:rPr>
        <w:t>[20,23]</w:t>
      </w:r>
      <w:r w:rsidRPr="001C4CB9">
        <w:rPr>
          <w:rFonts w:ascii="Arial" w:hAnsi="Arial"/>
          <w:sz w:val="17"/>
          <w:lang w:val="en-US"/>
        </w:rPr>
        <w:fldChar w:fldCharType="end"/>
      </w:r>
      <w:r w:rsidRPr="001C4CB9">
        <w:rPr>
          <w:rFonts w:ascii="Arial" w:hAnsi="Arial"/>
          <w:sz w:val="17"/>
          <w:lang w:val="en-US"/>
        </w:rPr>
        <w:t xml:space="preserve">. </w:t>
      </w:r>
    </w:p>
    <w:p w:rsidR="00173DF8" w:rsidRPr="001C4CB9" w:rsidRDefault="00173DF8" w:rsidP="00D20D07">
      <w:pPr>
        <w:spacing w:line="225" w:lineRule="exact"/>
        <w:contextualSpacing/>
        <w:jc w:val="both"/>
        <w:rPr>
          <w:rFonts w:ascii="Arial" w:hAnsi="Arial" w:cs="Arial"/>
          <w:sz w:val="17"/>
          <w:szCs w:val="17"/>
          <w:lang w:val="en-US"/>
        </w:rPr>
      </w:pPr>
      <w:r w:rsidRPr="001C4CB9">
        <w:rPr>
          <w:rFonts w:ascii="Arial" w:hAnsi="Arial"/>
          <w:sz w:val="17"/>
          <w:lang w:val="en-US"/>
        </w:rPr>
        <w:t xml:space="preserve">To explore </w:t>
      </w:r>
      <w:r w:rsidR="00041755" w:rsidRPr="001C4CB9">
        <w:rPr>
          <w:rFonts w:ascii="Arial" w:hAnsi="Arial"/>
          <w:sz w:val="17"/>
          <w:lang w:val="en-US"/>
        </w:rPr>
        <w:t xml:space="preserve">further </w:t>
      </w:r>
      <w:r w:rsidRPr="001C4CB9">
        <w:rPr>
          <w:rFonts w:ascii="Arial" w:hAnsi="Arial"/>
          <w:sz w:val="17"/>
          <w:lang w:val="en-US"/>
        </w:rPr>
        <w:t xml:space="preserve">potential </w:t>
      </w:r>
      <w:r w:rsidR="00D20D07" w:rsidRPr="001C4CB9">
        <w:rPr>
          <w:rFonts w:ascii="Arial" w:hAnsi="Arial"/>
          <w:sz w:val="17"/>
          <w:lang w:val="en-US"/>
        </w:rPr>
        <w:t xml:space="preserve">differences </w:t>
      </w:r>
      <w:r w:rsidRPr="001C4CB9">
        <w:rPr>
          <w:rFonts w:ascii="Arial" w:hAnsi="Arial"/>
          <w:sz w:val="17"/>
          <w:lang w:val="en-US"/>
        </w:rPr>
        <w:t xml:space="preserve">in reactivity between probe </w:t>
      </w:r>
      <w:r w:rsidRPr="001C4CB9">
        <w:rPr>
          <w:rFonts w:ascii="Arial" w:hAnsi="Arial"/>
          <w:b/>
          <w:sz w:val="17"/>
          <w:lang w:val="en-US"/>
        </w:rPr>
        <w:t xml:space="preserve">1 </w:t>
      </w:r>
      <w:r w:rsidRPr="001C4CB9">
        <w:rPr>
          <w:rFonts w:ascii="Arial" w:hAnsi="Arial"/>
          <w:sz w:val="17"/>
          <w:lang w:val="en-US"/>
        </w:rPr>
        <w:t xml:space="preserve">and </w:t>
      </w:r>
      <w:r w:rsidRPr="001C4CB9">
        <w:rPr>
          <w:rFonts w:ascii="Arial" w:hAnsi="Arial"/>
          <w:b/>
          <w:sz w:val="17"/>
          <w:lang w:val="en-US"/>
        </w:rPr>
        <w:t>2</w:t>
      </w:r>
      <w:r w:rsidRPr="001C4CB9">
        <w:rPr>
          <w:rFonts w:ascii="Arial" w:hAnsi="Arial"/>
          <w:sz w:val="17"/>
          <w:lang w:val="en-US"/>
        </w:rPr>
        <w:t xml:space="preserve">, we also compared their behavior toward an </w:t>
      </w:r>
      <w:r w:rsidRPr="001C4CB9">
        <w:rPr>
          <w:rFonts w:ascii="Arial" w:hAnsi="Arial"/>
          <w:sz w:val="17"/>
          <w:lang w:val="en-US"/>
        </w:rPr>
        <w:lastRenderedPageBreak/>
        <w:t>rhMMP12 mutant bearing an unreactive alanine residue in position K177.</w:t>
      </w:r>
      <w:r w:rsidRPr="001C4CB9">
        <w:rPr>
          <w:rFonts w:ascii="Arial" w:hAnsi="Arial" w:cs="Arial"/>
          <w:sz w:val="17"/>
          <w:szCs w:val="17"/>
          <w:lang w:val="en-US"/>
        </w:rPr>
        <w:t xml:space="preserve"> </w:t>
      </w:r>
      <w:r w:rsidR="00965B58" w:rsidRPr="001C4CB9">
        <w:rPr>
          <w:rFonts w:ascii="Arial" w:hAnsi="Arial" w:cs="Arial"/>
          <w:sz w:val="17"/>
          <w:szCs w:val="17"/>
          <w:lang w:val="en-US"/>
        </w:rPr>
        <w:t xml:space="preserve">As shown in figure 3B, </w:t>
      </w:r>
      <w:r w:rsidRPr="001C4CB9">
        <w:rPr>
          <w:rFonts w:ascii="Arial" w:hAnsi="Arial"/>
          <w:sz w:val="17"/>
          <w:lang w:val="en-US"/>
        </w:rPr>
        <w:t xml:space="preserve">K177A mutant was not labelled </w:t>
      </w:r>
      <w:r w:rsidR="001F441F" w:rsidRPr="001C4CB9">
        <w:rPr>
          <w:rFonts w:ascii="Arial" w:hAnsi="Arial" w:cs="Arial"/>
          <w:sz w:val="17"/>
          <w:szCs w:val="17"/>
          <w:lang w:val="en-US"/>
        </w:rPr>
        <w:t>by</w:t>
      </w:r>
      <w:r w:rsidRPr="001C4CB9">
        <w:rPr>
          <w:rFonts w:ascii="Arial" w:hAnsi="Arial" w:cs="Arial"/>
          <w:sz w:val="17"/>
          <w:szCs w:val="17"/>
          <w:lang w:val="en-US"/>
        </w:rPr>
        <w:t xml:space="preserve"> probe </w:t>
      </w:r>
      <w:r w:rsidRPr="001C4CB9">
        <w:rPr>
          <w:rFonts w:ascii="Arial" w:hAnsi="Arial" w:cs="Arial"/>
          <w:b/>
          <w:sz w:val="17"/>
          <w:szCs w:val="17"/>
          <w:lang w:val="en-US"/>
        </w:rPr>
        <w:t>1</w:t>
      </w:r>
      <w:r w:rsidRPr="001C4CB9">
        <w:rPr>
          <w:rFonts w:ascii="Arial" w:hAnsi="Arial" w:cs="Arial"/>
          <w:sz w:val="17"/>
          <w:szCs w:val="17"/>
          <w:lang w:val="en-US"/>
        </w:rPr>
        <w:t xml:space="preserve"> while a very faint </w:t>
      </w:r>
      <w:r w:rsidR="00004437" w:rsidRPr="001C4CB9">
        <w:rPr>
          <w:rFonts w:ascii="Arial" w:hAnsi="Arial" w:cs="Arial"/>
          <w:sz w:val="17"/>
          <w:szCs w:val="17"/>
          <w:lang w:val="en-US"/>
        </w:rPr>
        <w:t>Cy3-band</w:t>
      </w:r>
      <w:r w:rsidRPr="001C4CB9">
        <w:rPr>
          <w:rFonts w:ascii="Arial" w:hAnsi="Arial" w:cs="Arial"/>
          <w:sz w:val="17"/>
          <w:szCs w:val="17"/>
          <w:lang w:val="en-US"/>
        </w:rPr>
        <w:t xml:space="preserve"> was detected </w:t>
      </w:r>
      <w:r w:rsidR="00004437" w:rsidRPr="001C4CB9">
        <w:rPr>
          <w:rFonts w:ascii="Arial" w:hAnsi="Arial" w:cs="Arial"/>
          <w:sz w:val="17"/>
          <w:szCs w:val="17"/>
          <w:lang w:val="en-US"/>
        </w:rPr>
        <w:t>in the case of</w:t>
      </w:r>
      <w:r w:rsidRPr="001C4CB9">
        <w:rPr>
          <w:rFonts w:ascii="Arial" w:hAnsi="Arial" w:cs="Arial"/>
          <w:sz w:val="17"/>
          <w:szCs w:val="17"/>
          <w:lang w:val="en-US"/>
        </w:rPr>
        <w:t xml:space="preserve"> probe </w:t>
      </w:r>
      <w:r w:rsidRPr="001C4CB9">
        <w:rPr>
          <w:rFonts w:ascii="Arial" w:hAnsi="Arial" w:cs="Arial"/>
          <w:b/>
          <w:sz w:val="17"/>
          <w:szCs w:val="17"/>
          <w:lang w:val="en-US"/>
        </w:rPr>
        <w:t>2</w:t>
      </w:r>
      <w:r w:rsidRPr="001C4CB9">
        <w:rPr>
          <w:rFonts w:ascii="Arial" w:hAnsi="Arial" w:cs="Arial"/>
          <w:sz w:val="17"/>
          <w:szCs w:val="17"/>
          <w:lang w:val="en-US"/>
        </w:rPr>
        <w:t xml:space="preserve"> (Figure 3B). This further supported that Lys</w:t>
      </w:r>
      <w:r w:rsidRPr="001C4CB9">
        <w:rPr>
          <w:rFonts w:ascii="Arial" w:hAnsi="Arial" w:cs="Arial"/>
          <w:sz w:val="17"/>
          <w:szCs w:val="17"/>
          <w:vertAlign w:val="superscript"/>
          <w:lang w:val="en-US"/>
        </w:rPr>
        <w:t>177</w:t>
      </w:r>
      <w:r w:rsidRPr="001C4CB9">
        <w:rPr>
          <w:rFonts w:ascii="Arial" w:hAnsi="Arial" w:cs="Arial"/>
          <w:sz w:val="17"/>
          <w:szCs w:val="17"/>
          <w:lang w:val="en-US"/>
        </w:rPr>
        <w:t xml:space="preserve"> </w:t>
      </w:r>
      <w:r w:rsidR="000631BB" w:rsidRPr="001C4CB9">
        <w:rPr>
          <w:rFonts w:ascii="Arial" w:hAnsi="Arial" w:cs="Arial"/>
          <w:sz w:val="17"/>
          <w:szCs w:val="17"/>
          <w:lang w:val="en-US"/>
        </w:rPr>
        <w:t>was</w:t>
      </w:r>
      <w:r w:rsidRPr="001C4CB9">
        <w:rPr>
          <w:rFonts w:ascii="Arial" w:hAnsi="Arial" w:cs="Arial"/>
          <w:sz w:val="17"/>
          <w:szCs w:val="17"/>
          <w:lang w:val="en-US"/>
        </w:rPr>
        <w:t xml:space="preserve"> the privileged labeling site </w:t>
      </w:r>
      <w:r w:rsidR="00004437" w:rsidRPr="001C4CB9">
        <w:rPr>
          <w:rFonts w:ascii="Arial" w:hAnsi="Arial" w:cs="Arial"/>
          <w:sz w:val="17"/>
          <w:szCs w:val="17"/>
          <w:lang w:val="en-US"/>
        </w:rPr>
        <w:t xml:space="preserve">for both probes within </w:t>
      </w:r>
      <w:r w:rsidR="00976BB3" w:rsidRPr="001C4CB9">
        <w:rPr>
          <w:rFonts w:ascii="Arial" w:hAnsi="Arial" w:cs="Arial"/>
          <w:sz w:val="17"/>
          <w:szCs w:val="17"/>
          <w:lang w:val="en-US"/>
        </w:rPr>
        <w:t xml:space="preserve">the </w:t>
      </w:r>
      <w:r w:rsidR="00004437" w:rsidRPr="001C4CB9">
        <w:rPr>
          <w:rFonts w:ascii="Arial" w:hAnsi="Arial" w:cs="Arial"/>
          <w:sz w:val="17"/>
          <w:szCs w:val="17"/>
          <w:lang w:val="en-US"/>
        </w:rPr>
        <w:t>rhMMP-12 S</w:t>
      </w:r>
      <w:r w:rsidR="00004437" w:rsidRPr="001C4CB9">
        <w:rPr>
          <w:rFonts w:ascii="Arial" w:hAnsi="Arial" w:cs="Arial"/>
          <w:sz w:val="17"/>
          <w:szCs w:val="17"/>
          <w:vertAlign w:val="subscript"/>
          <w:lang w:val="en-US"/>
        </w:rPr>
        <w:t>3</w:t>
      </w:r>
      <w:r w:rsidR="00004437" w:rsidRPr="001C4CB9">
        <w:rPr>
          <w:rFonts w:ascii="Arial" w:hAnsi="Arial" w:cs="Arial"/>
          <w:sz w:val="17"/>
          <w:szCs w:val="17"/>
          <w:lang w:val="en-US"/>
        </w:rPr>
        <w:t>’ region</w:t>
      </w:r>
      <w:r w:rsidRPr="001C4CB9">
        <w:rPr>
          <w:rFonts w:ascii="Arial" w:hAnsi="Arial" w:cs="Arial"/>
          <w:sz w:val="17"/>
          <w:szCs w:val="17"/>
          <w:lang w:val="en-US"/>
        </w:rPr>
        <w:t xml:space="preserve">. </w:t>
      </w:r>
      <w:r w:rsidRPr="001C4CB9">
        <w:rPr>
          <w:rFonts w:ascii="Arial" w:hAnsi="Arial" w:cs="Arial"/>
          <w:color w:val="000000" w:themeColor="text1"/>
          <w:sz w:val="17"/>
          <w:szCs w:val="17"/>
          <w:lang w:val="en-US"/>
        </w:rPr>
        <w:t xml:space="preserve">In the case of probe </w:t>
      </w:r>
      <w:r w:rsidRPr="001C4CB9">
        <w:rPr>
          <w:rFonts w:ascii="Arial" w:hAnsi="Arial" w:cs="Arial"/>
          <w:b/>
          <w:color w:val="000000" w:themeColor="text1"/>
          <w:sz w:val="17"/>
          <w:szCs w:val="17"/>
          <w:lang w:val="en-US"/>
        </w:rPr>
        <w:t>1</w:t>
      </w:r>
      <w:r w:rsidRPr="001C4CB9">
        <w:rPr>
          <w:rFonts w:ascii="Arial" w:hAnsi="Arial" w:cs="Arial"/>
          <w:color w:val="000000" w:themeColor="text1"/>
          <w:sz w:val="17"/>
          <w:szCs w:val="17"/>
          <w:lang w:val="en-US"/>
        </w:rPr>
        <w:t xml:space="preserve">, the absence of crosslink on K177A mutant </w:t>
      </w:r>
      <w:r w:rsidR="00965B58" w:rsidRPr="001C4CB9">
        <w:rPr>
          <w:rFonts w:ascii="Arial" w:hAnsi="Arial" w:cs="Arial"/>
          <w:color w:val="000000" w:themeColor="text1"/>
          <w:sz w:val="17"/>
          <w:szCs w:val="17"/>
          <w:lang w:val="en-US"/>
        </w:rPr>
        <w:t xml:space="preserve">further confirmed that </w:t>
      </w:r>
      <w:r w:rsidRPr="001C4CB9">
        <w:rPr>
          <w:rFonts w:ascii="Arial" w:hAnsi="Arial" w:cs="Arial"/>
          <w:color w:val="000000" w:themeColor="text1"/>
          <w:sz w:val="17"/>
          <w:szCs w:val="17"/>
          <w:lang w:val="en-US"/>
        </w:rPr>
        <w:t>Thr</w:t>
      </w:r>
      <w:r w:rsidRPr="001C4CB9">
        <w:rPr>
          <w:rFonts w:ascii="Arial" w:hAnsi="Arial" w:cs="Arial"/>
          <w:color w:val="000000" w:themeColor="text1"/>
          <w:sz w:val="17"/>
          <w:szCs w:val="17"/>
          <w:vertAlign w:val="superscript"/>
          <w:lang w:val="en-US"/>
        </w:rPr>
        <w:t>210</w:t>
      </w:r>
      <w:r w:rsidR="00965B58" w:rsidRPr="001C4CB9">
        <w:rPr>
          <w:rFonts w:ascii="Arial" w:hAnsi="Arial" w:cs="Arial"/>
          <w:color w:val="000000" w:themeColor="text1"/>
          <w:sz w:val="17"/>
          <w:szCs w:val="17"/>
          <w:lang w:val="en-US"/>
        </w:rPr>
        <w:t xml:space="preserve">, </w:t>
      </w:r>
      <w:r w:rsidRPr="001C4CB9">
        <w:rPr>
          <w:rFonts w:ascii="Arial" w:hAnsi="Arial" w:cs="Arial"/>
          <w:color w:val="000000" w:themeColor="text1"/>
          <w:sz w:val="17"/>
          <w:szCs w:val="17"/>
          <w:lang w:val="en-US"/>
        </w:rPr>
        <w:t>Tyr</w:t>
      </w:r>
      <w:r w:rsidRPr="001C4CB9">
        <w:rPr>
          <w:rFonts w:ascii="Arial" w:hAnsi="Arial" w:cs="Arial"/>
          <w:color w:val="000000" w:themeColor="text1"/>
          <w:sz w:val="17"/>
          <w:szCs w:val="17"/>
          <w:vertAlign w:val="superscript"/>
          <w:lang w:val="en-US"/>
        </w:rPr>
        <w:t>240</w:t>
      </w:r>
      <w:r w:rsidRPr="001C4CB9">
        <w:rPr>
          <w:rFonts w:ascii="Arial" w:hAnsi="Arial" w:cs="Arial"/>
          <w:color w:val="000000" w:themeColor="text1"/>
          <w:sz w:val="17"/>
          <w:szCs w:val="17"/>
          <w:lang w:val="en-US"/>
        </w:rPr>
        <w:t xml:space="preserve"> </w:t>
      </w:r>
      <w:r w:rsidR="00965B58" w:rsidRPr="001C4CB9">
        <w:rPr>
          <w:rFonts w:ascii="Arial" w:hAnsi="Arial" w:cs="Arial"/>
          <w:color w:val="000000" w:themeColor="text1"/>
          <w:sz w:val="17"/>
          <w:szCs w:val="17"/>
          <w:lang w:val="en-US"/>
        </w:rPr>
        <w:t>and Lys</w:t>
      </w:r>
      <w:r w:rsidR="00965B58" w:rsidRPr="001C4CB9">
        <w:rPr>
          <w:rFonts w:ascii="Arial" w:hAnsi="Arial" w:cs="Arial"/>
          <w:color w:val="000000" w:themeColor="text1"/>
          <w:sz w:val="17"/>
          <w:szCs w:val="17"/>
          <w:vertAlign w:val="superscript"/>
          <w:lang w:val="en-US"/>
        </w:rPr>
        <w:t>241</w:t>
      </w:r>
      <w:r w:rsidR="00965B58" w:rsidRPr="001C4CB9">
        <w:rPr>
          <w:rFonts w:ascii="Arial" w:hAnsi="Arial" w:cs="Arial"/>
          <w:color w:val="000000" w:themeColor="text1"/>
          <w:sz w:val="17"/>
          <w:szCs w:val="17"/>
          <w:lang w:val="en-US"/>
        </w:rPr>
        <w:t xml:space="preserve"> </w:t>
      </w:r>
      <w:r w:rsidRPr="001C4CB9">
        <w:rPr>
          <w:rFonts w:ascii="Arial" w:hAnsi="Arial" w:cs="Arial"/>
          <w:color w:val="000000" w:themeColor="text1"/>
          <w:sz w:val="17"/>
          <w:szCs w:val="17"/>
          <w:lang w:val="en-US"/>
        </w:rPr>
        <w:t xml:space="preserve">(Figure S1A) </w:t>
      </w:r>
      <w:r w:rsidR="00965B58" w:rsidRPr="001C4CB9">
        <w:rPr>
          <w:rFonts w:ascii="Arial" w:hAnsi="Arial" w:cs="Arial"/>
          <w:color w:val="000000" w:themeColor="text1"/>
          <w:sz w:val="17"/>
          <w:szCs w:val="17"/>
          <w:lang w:val="en-US"/>
        </w:rPr>
        <w:t xml:space="preserve">were not targetable </w:t>
      </w:r>
      <w:r w:rsidRPr="001C4CB9">
        <w:rPr>
          <w:rFonts w:ascii="Arial" w:hAnsi="Arial" w:cs="Arial"/>
          <w:color w:val="000000" w:themeColor="text1"/>
          <w:sz w:val="17"/>
          <w:szCs w:val="17"/>
          <w:lang w:val="en-US"/>
        </w:rPr>
        <w:t xml:space="preserve">by </w:t>
      </w:r>
      <w:r w:rsidR="00965B58" w:rsidRPr="001C4CB9">
        <w:rPr>
          <w:rFonts w:ascii="Arial" w:hAnsi="Arial" w:cs="Arial"/>
          <w:color w:val="000000" w:themeColor="text1"/>
          <w:sz w:val="17"/>
          <w:szCs w:val="17"/>
          <w:lang w:val="en-US"/>
        </w:rPr>
        <w:t xml:space="preserve">acyl imidazole </w:t>
      </w:r>
      <w:r w:rsidRPr="001C4CB9">
        <w:rPr>
          <w:rFonts w:ascii="Arial" w:hAnsi="Arial" w:cs="Arial"/>
          <w:color w:val="000000" w:themeColor="text1"/>
          <w:sz w:val="17"/>
          <w:szCs w:val="17"/>
          <w:lang w:val="en-US"/>
        </w:rPr>
        <w:t xml:space="preserve">linker </w:t>
      </w:r>
      <w:r w:rsidR="00004437" w:rsidRPr="001C4CB9">
        <w:rPr>
          <w:rFonts w:ascii="Arial" w:hAnsi="Arial" w:cs="Arial"/>
          <w:color w:val="000000" w:themeColor="text1"/>
          <w:sz w:val="17"/>
          <w:szCs w:val="17"/>
          <w:lang w:val="en-US"/>
        </w:rPr>
        <w:t xml:space="preserve">installed </w:t>
      </w:r>
      <w:r w:rsidRPr="001C4CB9">
        <w:rPr>
          <w:rFonts w:ascii="Arial" w:hAnsi="Arial" w:cs="Arial"/>
          <w:color w:val="000000" w:themeColor="text1"/>
          <w:sz w:val="17"/>
          <w:szCs w:val="17"/>
          <w:lang w:val="en-US"/>
        </w:rPr>
        <w:t xml:space="preserve">on such probe scaffold. </w:t>
      </w:r>
      <w:r w:rsidR="00A63907" w:rsidRPr="001C4CB9">
        <w:rPr>
          <w:rFonts w:ascii="Arial" w:hAnsi="Arial" w:cs="Arial"/>
          <w:sz w:val="17"/>
          <w:szCs w:val="17"/>
          <w:lang w:val="en-US"/>
        </w:rPr>
        <w:t xml:space="preserve">The observation made with probe </w:t>
      </w:r>
      <w:r w:rsidR="00A63907" w:rsidRPr="001C4CB9">
        <w:rPr>
          <w:rFonts w:ascii="Arial" w:hAnsi="Arial" w:cs="Arial"/>
          <w:b/>
          <w:sz w:val="17"/>
          <w:szCs w:val="17"/>
          <w:lang w:val="en-US"/>
        </w:rPr>
        <w:t>2</w:t>
      </w:r>
      <w:r w:rsidR="00A63907" w:rsidRPr="001C4CB9">
        <w:rPr>
          <w:rFonts w:ascii="Arial" w:hAnsi="Arial" w:cs="Arial"/>
          <w:sz w:val="17"/>
          <w:szCs w:val="17"/>
          <w:lang w:val="en-US"/>
        </w:rPr>
        <w:t xml:space="preserve"> was consistent with the propensity of NASA linker to preferentially react with Lysine</w:t>
      </w:r>
      <w:r w:rsidR="00A63907" w:rsidRPr="001C4CB9">
        <w:rPr>
          <w:rFonts w:ascii="Arial" w:hAnsi="Arial" w:cs="Arial"/>
          <w:sz w:val="17"/>
          <w:szCs w:val="17"/>
          <w:lang w:val="en-US"/>
        </w:rPr>
        <w:fldChar w:fldCharType="begin"/>
      </w:r>
      <w:r w:rsidR="00A63907" w:rsidRPr="001C4CB9">
        <w:rPr>
          <w:rFonts w:ascii="Arial" w:hAnsi="Arial" w:cs="Arial"/>
          <w:sz w:val="17"/>
          <w:szCs w:val="17"/>
          <w:lang w:val="en-US"/>
        </w:rPr>
        <w:instrText xml:space="preserve"> ADDIN ZOTERO_ITEM CSL_CITATION {"citationID":"9qz7DK2j","properties":{"formattedCitation":"\\super [38]\\nosupersub{}","plainCitation":"[38]","noteIndex":0},"citationItems":[{"id":878,"uris":["http://zotero.org/users/local/t888UWzB/items/LJTXET7V"],"uri":["http://zotero.org/users/local/t888UWzB/items/LJTXET7V"],"itemData":{"id":878,"type":"article-journal","abstract":"Selective modification of native proteins in live cells is one of the central challenges in recent chemical biology. As a unique bioorthogonal approach, ligand-directed chemistry recently emerged, but the slow kinetics limits its scope. Here we successfully overcome this obstacle using N-acyl-N-alkyl sulfonamide as a reactive group. Quantitative kinetic analyses reveal that ligand-directed N-acyl-N-alkyl sulfonamide chemistry allows for rapid modification of a lysine residue proximal to the ligand binding site of a target protein, with a rate constant of ~104 M-1 s-1, comparable to the fastest bioorthogonal chemistry. Despite some off-target reactions, this method can selectively label both intracellular and membrane-bound endogenous proteins. Moreover, the unique reactivity of N-acyl-N-alkyl sulfonamide enables the rational design of a lysine-targeted covalent inhibitor that shows durable suppression of the activity of Hsp90 in cancer cells. This work provides possibilities to extend the covalent inhibition approach that is currently being reassessed in drug discovery.","container-title":"Nature Communications","DOI":"10.1038/s41467-018-04343-0","ISSN":"2041-1723","issue":"1","journalAbbreviation":"Nat Commun","language":"eng","note":"PMID: 29760386\nPMCID: PMC5951806","page":"1870","source":"PubMed","title":"Rapid labelling and covalent inhibition of intracellular native proteins using ligand-directed N-acyl-N-alkyl sulfonamide","volume":"9","author":[{"family":"Tamura","given":"Tomonori"},{"family":"Ueda","given":"Tsuyoshi"},{"family":"Goto","given":"Taiki"},{"family":"Tsukidate","given":"Taku"},{"family":"Shapira","given":"Yonatan"},{"family":"Nishikawa","given":"Yuki"},{"family":"Fujisawa","given":"Alma"},{"family":"Hamachi","given":"Itaru"}],"issued":{"date-parts":[["2018"]],"season":"14"}}}],"schema":"https://github.com/citation-style-language/schema/raw/master/csl-citation.json"} </w:instrText>
      </w:r>
      <w:r w:rsidR="00A63907" w:rsidRPr="001C4CB9">
        <w:rPr>
          <w:rFonts w:ascii="Arial" w:hAnsi="Arial" w:cs="Arial"/>
          <w:sz w:val="17"/>
          <w:szCs w:val="17"/>
          <w:lang w:val="en-US"/>
        </w:rPr>
        <w:fldChar w:fldCharType="separate"/>
      </w:r>
      <w:r w:rsidR="00A63907" w:rsidRPr="001C4CB9">
        <w:rPr>
          <w:rFonts w:ascii="Arial" w:hAnsi="Arial" w:cs="Arial"/>
          <w:sz w:val="17"/>
          <w:vertAlign w:val="superscript"/>
          <w:lang w:val="en-US"/>
        </w:rPr>
        <w:t>[38]</w:t>
      </w:r>
      <w:r w:rsidR="00A63907" w:rsidRPr="001C4CB9">
        <w:rPr>
          <w:rFonts w:ascii="Arial" w:hAnsi="Arial" w:cs="Arial"/>
          <w:sz w:val="17"/>
          <w:szCs w:val="17"/>
          <w:lang w:val="en-US"/>
        </w:rPr>
        <w:fldChar w:fldCharType="end"/>
      </w:r>
      <w:r w:rsidR="00A63907" w:rsidRPr="001C4CB9">
        <w:rPr>
          <w:rFonts w:ascii="Arial" w:hAnsi="Arial" w:cs="Arial"/>
          <w:sz w:val="17"/>
          <w:szCs w:val="17"/>
          <w:lang w:val="en-US"/>
        </w:rPr>
        <w:t xml:space="preserve"> but also indicated that an alternative residue could be targeted within the S</w:t>
      </w:r>
      <w:r w:rsidR="00A63907" w:rsidRPr="001C4CB9">
        <w:rPr>
          <w:rFonts w:ascii="Arial" w:hAnsi="Arial" w:cs="Arial"/>
          <w:sz w:val="17"/>
          <w:szCs w:val="17"/>
          <w:vertAlign w:val="subscript"/>
          <w:lang w:val="en-US"/>
        </w:rPr>
        <w:t>3’</w:t>
      </w:r>
      <w:r w:rsidR="00A63907" w:rsidRPr="001C4CB9">
        <w:rPr>
          <w:rFonts w:ascii="Arial" w:hAnsi="Arial" w:cs="Arial"/>
          <w:sz w:val="17"/>
          <w:szCs w:val="17"/>
          <w:lang w:val="en-US"/>
        </w:rPr>
        <w:t xml:space="preserve"> region.</w:t>
      </w:r>
      <w:r w:rsidRPr="001C4CB9">
        <w:rPr>
          <w:rFonts w:ascii="Arial" w:hAnsi="Arial" w:cs="Arial"/>
          <w:color w:val="FF0000"/>
          <w:sz w:val="17"/>
          <w:szCs w:val="17"/>
          <w:lang w:val="en-US"/>
        </w:rPr>
        <w:t xml:space="preserve"> </w:t>
      </w:r>
      <w:r w:rsidR="00A63907" w:rsidRPr="001C4CB9">
        <w:rPr>
          <w:rFonts w:ascii="Arial" w:hAnsi="Arial" w:cs="Arial"/>
          <w:color w:val="000000" w:themeColor="text1"/>
          <w:sz w:val="17"/>
          <w:szCs w:val="17"/>
          <w:lang w:val="en-US"/>
        </w:rPr>
        <w:t>A second</w:t>
      </w:r>
      <w:r w:rsidRPr="001C4CB9">
        <w:rPr>
          <w:rFonts w:ascii="Arial" w:hAnsi="Arial" w:cs="Arial"/>
          <w:color w:val="000000" w:themeColor="text1"/>
          <w:sz w:val="17"/>
          <w:szCs w:val="17"/>
          <w:lang w:val="en-US"/>
        </w:rPr>
        <w:t xml:space="preserve"> labeling site </w:t>
      </w:r>
      <w:r w:rsidR="00070B6C" w:rsidRPr="001C4CB9">
        <w:rPr>
          <w:rFonts w:ascii="Arial" w:hAnsi="Arial" w:cs="Arial"/>
          <w:color w:val="000000" w:themeColor="text1"/>
          <w:sz w:val="17"/>
          <w:szCs w:val="17"/>
          <w:lang w:val="en-US"/>
        </w:rPr>
        <w:t xml:space="preserve">was also in accordance </w:t>
      </w:r>
      <w:r w:rsidRPr="001C4CB9">
        <w:rPr>
          <w:rFonts w:ascii="Arial" w:hAnsi="Arial" w:cs="Arial"/>
          <w:color w:val="000000" w:themeColor="text1"/>
          <w:sz w:val="17"/>
          <w:szCs w:val="17"/>
          <w:lang w:val="en-US"/>
        </w:rPr>
        <w:t xml:space="preserve">with the observation of two Cy3-labeled bands when probe </w:t>
      </w:r>
      <w:r w:rsidRPr="001C4CB9">
        <w:rPr>
          <w:rFonts w:ascii="Arial" w:hAnsi="Arial" w:cs="Arial"/>
          <w:b/>
          <w:color w:val="000000" w:themeColor="text1"/>
          <w:sz w:val="17"/>
          <w:szCs w:val="17"/>
          <w:lang w:val="en-US"/>
        </w:rPr>
        <w:t>2</w:t>
      </w:r>
      <w:r w:rsidRPr="001C4CB9">
        <w:rPr>
          <w:rFonts w:ascii="Arial" w:hAnsi="Arial" w:cs="Arial"/>
          <w:color w:val="000000" w:themeColor="text1"/>
          <w:sz w:val="17"/>
          <w:szCs w:val="17"/>
          <w:lang w:val="en-US"/>
        </w:rPr>
        <w:t xml:space="preserve"> reacted with rhMMP-12</w:t>
      </w:r>
      <w:r w:rsidR="00912866" w:rsidRPr="001C4CB9">
        <w:rPr>
          <w:rFonts w:ascii="Arial" w:hAnsi="Arial" w:cs="Arial"/>
          <w:color w:val="000000" w:themeColor="text1"/>
          <w:sz w:val="17"/>
          <w:szCs w:val="17"/>
          <w:lang w:val="en-US"/>
        </w:rPr>
        <w:t xml:space="preserve">. These </w:t>
      </w:r>
      <w:r w:rsidR="00070B6C" w:rsidRPr="001C4CB9">
        <w:rPr>
          <w:rFonts w:ascii="Arial" w:hAnsi="Arial" w:cs="Arial"/>
          <w:color w:val="000000" w:themeColor="text1"/>
          <w:sz w:val="17"/>
          <w:szCs w:val="17"/>
          <w:lang w:val="en-US"/>
        </w:rPr>
        <w:t xml:space="preserve">two bands possessing distinct molecular weight could </w:t>
      </w:r>
      <w:r w:rsidR="00CE5FDE" w:rsidRPr="001C4CB9">
        <w:rPr>
          <w:rFonts w:ascii="Arial" w:hAnsi="Arial" w:cs="Arial"/>
          <w:color w:val="000000" w:themeColor="text1"/>
          <w:sz w:val="17"/>
          <w:szCs w:val="17"/>
          <w:lang w:val="en-US"/>
        </w:rPr>
        <w:t>be related to</w:t>
      </w:r>
      <w:r w:rsidR="00070B6C" w:rsidRPr="001C4CB9">
        <w:rPr>
          <w:rFonts w:ascii="Arial" w:hAnsi="Arial" w:cs="Arial"/>
          <w:color w:val="000000" w:themeColor="text1"/>
          <w:sz w:val="17"/>
          <w:szCs w:val="17"/>
          <w:lang w:val="en-US"/>
        </w:rPr>
        <w:t xml:space="preserve"> </w:t>
      </w:r>
      <w:r w:rsidR="00CE5FDE" w:rsidRPr="001C4CB9">
        <w:rPr>
          <w:rFonts w:ascii="Arial" w:hAnsi="Arial" w:cs="Arial"/>
          <w:color w:val="000000" w:themeColor="text1"/>
          <w:sz w:val="17"/>
          <w:szCs w:val="17"/>
          <w:lang w:val="en-US"/>
        </w:rPr>
        <w:t>entities harboring one or two Cy3-tags.</w:t>
      </w:r>
    </w:p>
    <w:p w:rsidR="008520B2" w:rsidRPr="001C4CB9" w:rsidRDefault="008520B2" w:rsidP="000631BB">
      <w:pPr>
        <w:spacing w:line="225" w:lineRule="exact"/>
        <w:contextualSpacing/>
        <w:jc w:val="both"/>
        <w:rPr>
          <w:rFonts w:ascii="Arial" w:hAnsi="Arial" w:cs="Arial"/>
          <w:sz w:val="17"/>
          <w:szCs w:val="17"/>
          <w:lang w:val="en-US"/>
        </w:rPr>
      </w:pPr>
      <w:r w:rsidRPr="001C4CB9">
        <w:rPr>
          <w:rFonts w:ascii="Arial" w:hAnsi="Arial" w:cs="Arial"/>
          <w:sz w:val="17"/>
          <w:szCs w:val="17"/>
          <w:lang w:val="en-US"/>
        </w:rPr>
        <w:t>A detailed analysis of the rhMMP-12 RX structure showed that only one additional lysine (K</w:t>
      </w:r>
      <w:r w:rsidRPr="001C4CB9">
        <w:rPr>
          <w:rFonts w:ascii="Arial" w:hAnsi="Arial" w:cs="Arial"/>
          <w:sz w:val="17"/>
          <w:szCs w:val="17"/>
          <w:vertAlign w:val="superscript"/>
          <w:lang w:val="en-US"/>
        </w:rPr>
        <w:t>241</w:t>
      </w:r>
      <w:r w:rsidRPr="001C4CB9">
        <w:rPr>
          <w:rFonts w:ascii="Arial" w:hAnsi="Arial" w:cs="Arial"/>
          <w:sz w:val="17"/>
          <w:szCs w:val="17"/>
          <w:lang w:val="en-US"/>
        </w:rPr>
        <w:t>) was present in the rhMMP-12 S</w:t>
      </w:r>
      <w:r w:rsidRPr="001C4CB9">
        <w:rPr>
          <w:rFonts w:ascii="Arial" w:hAnsi="Arial" w:cs="Arial"/>
          <w:sz w:val="17"/>
          <w:szCs w:val="17"/>
          <w:vertAlign w:val="subscript"/>
          <w:lang w:val="en-US"/>
        </w:rPr>
        <w:t>3’</w:t>
      </w:r>
      <w:r w:rsidRPr="001C4CB9">
        <w:rPr>
          <w:rFonts w:ascii="Arial" w:hAnsi="Arial" w:cs="Arial"/>
          <w:sz w:val="17"/>
          <w:szCs w:val="17"/>
          <w:lang w:val="en-US"/>
        </w:rPr>
        <w:t xml:space="preserve"> region (Figure </w:t>
      </w:r>
      <w:r w:rsidR="00070B6C" w:rsidRPr="001C4CB9">
        <w:rPr>
          <w:rFonts w:ascii="Arial" w:hAnsi="Arial" w:cs="Arial"/>
          <w:sz w:val="17"/>
          <w:szCs w:val="17"/>
          <w:lang w:val="en-US"/>
        </w:rPr>
        <w:t>4</w:t>
      </w:r>
      <w:r w:rsidRPr="001C4CB9">
        <w:rPr>
          <w:rFonts w:ascii="Arial" w:hAnsi="Arial" w:cs="Arial"/>
          <w:sz w:val="17"/>
          <w:szCs w:val="17"/>
          <w:lang w:val="en-US"/>
        </w:rPr>
        <w:t xml:space="preserve">). </w:t>
      </w:r>
      <w:r w:rsidR="005B6FD2" w:rsidRPr="001C4CB9">
        <w:rPr>
          <w:rFonts w:ascii="Arial" w:hAnsi="Arial" w:cs="Arial"/>
          <w:sz w:val="17"/>
          <w:szCs w:val="17"/>
          <w:lang w:val="en-US"/>
        </w:rPr>
        <w:t>The K</w:t>
      </w:r>
      <w:r w:rsidR="005B6FD2" w:rsidRPr="001C4CB9">
        <w:rPr>
          <w:rFonts w:ascii="Arial" w:hAnsi="Arial" w:cs="Arial"/>
          <w:sz w:val="17"/>
          <w:szCs w:val="17"/>
          <w:vertAlign w:val="superscript"/>
          <w:lang w:val="en-US"/>
        </w:rPr>
        <w:t>241</w:t>
      </w:r>
      <w:r w:rsidR="005B6FD2" w:rsidRPr="001C4CB9">
        <w:rPr>
          <w:rFonts w:ascii="Arial" w:hAnsi="Arial" w:cs="Arial"/>
          <w:sz w:val="17"/>
          <w:szCs w:val="17"/>
          <w:lang w:val="en-US"/>
        </w:rPr>
        <w:t xml:space="preserve"> </w:t>
      </w:r>
      <w:r w:rsidRPr="001C4CB9">
        <w:rPr>
          <w:rFonts w:ascii="Arial" w:hAnsi="Arial" w:cs="Arial"/>
          <w:sz w:val="17"/>
          <w:szCs w:val="17"/>
          <w:lang w:val="en-US"/>
        </w:rPr>
        <w:t>location on a flexible loop (S</w:t>
      </w:r>
      <w:r w:rsidRPr="001C4CB9">
        <w:rPr>
          <w:rFonts w:ascii="Arial" w:hAnsi="Arial" w:cs="Arial"/>
          <w:sz w:val="17"/>
          <w:szCs w:val="17"/>
          <w:vertAlign w:val="subscript"/>
          <w:lang w:val="en-US"/>
        </w:rPr>
        <w:t>1</w:t>
      </w:r>
      <w:r w:rsidRPr="001C4CB9">
        <w:rPr>
          <w:rFonts w:ascii="Arial" w:hAnsi="Arial" w:cs="Arial"/>
          <w:sz w:val="17"/>
          <w:szCs w:val="17"/>
          <w:lang w:val="en-US"/>
        </w:rPr>
        <w:t>’ loop) and its reactivity toward a photoactivable probe targeting the S</w:t>
      </w:r>
      <w:r w:rsidRPr="001C4CB9">
        <w:rPr>
          <w:rFonts w:ascii="Arial" w:hAnsi="Arial" w:cs="Arial"/>
          <w:sz w:val="17"/>
          <w:szCs w:val="17"/>
          <w:vertAlign w:val="subscript"/>
          <w:lang w:val="en-US"/>
        </w:rPr>
        <w:t>1</w:t>
      </w:r>
      <w:r w:rsidRPr="001C4CB9">
        <w:rPr>
          <w:rFonts w:ascii="Arial" w:hAnsi="Arial" w:cs="Arial"/>
          <w:sz w:val="17"/>
          <w:szCs w:val="17"/>
          <w:lang w:val="en-US"/>
        </w:rPr>
        <w:t>’ subsite</w:t>
      </w:r>
      <w:r w:rsidRPr="001C4CB9">
        <w:rPr>
          <w:rFonts w:ascii="Arial" w:hAnsi="Arial" w:cs="Arial"/>
          <w:sz w:val="17"/>
          <w:szCs w:val="17"/>
          <w:lang w:val="en-US"/>
        </w:rPr>
        <w:fldChar w:fldCharType="begin"/>
      </w:r>
      <w:r w:rsidRPr="001C4CB9">
        <w:rPr>
          <w:rFonts w:ascii="Arial" w:hAnsi="Arial" w:cs="Arial"/>
          <w:sz w:val="17"/>
          <w:szCs w:val="17"/>
          <w:lang w:val="en-US"/>
        </w:rPr>
        <w:instrText xml:space="preserve"> ADDIN ZOTERO_ITEM CSL_CITATION {"citationID":"HPp6bpwz","properties":{"formattedCitation":"\\super [39]\\nosupersub{}","plainCitation":"[39]","noteIndex":0},"citationItems":[{"id":340,"uris":["http://zotero.org/users/local/t888UWzB/items/35UHT67X"],"uri":["http://zotero.org/users/local/t888UWzB/items/35UHT67X"],"itemData":{"id":340,"type":"article-journal","abstract":"Mass spectroscopy, microsequencing, and site-directed mutagenesis studies have been performed to identify in human matrix metalloelastase (hMMP-12) residues covalently modified by a photoaffinity probe, previously shown to be able to covalently label specifically the active site of matrix metalloproteinases (MMPs). Results obtained led us to conclude that photoactivation of this probe in complex with hMMP-12 affects a single residue in human MMP-12, Lys(241), through covalent modification of its side chain epsilon NH(2) group. Because x-ray and NMR studies of hMMP-12 indicate that Lys(241) side chain is highly flexible, our data reveal the existence of particular Lys(241) side-chain conformation in which the epsilon NH(2) group points toward the photolabile group of the probe, an event explaining the high levels of cross-linking yield between hMMP-12 and the probe. Lys(241) is not conserved in MMPs, thus differences in cross-linking yields observed with this probe between MMP members may be linked to the residue variability observed at position 241 in this family.","container-title":"The Journal of Biological Chemistry","DOI":"10.1074/jbc.M805795200","ISSN":"0021-9258","issue":"45","journalAbbreviation":"J. Biol. Chem.","language":"eng","note":"PMID: 18775985\nPMCID: PMC2662175","page":"31058-31067","source":"PubMed","title":"Molecular determinants of matrix metalloproteinase-12 covalent modification by a photoaffinity probe: insights into activity-based probe development and conformational variability of matrix metalloproteinases","title-short":"Molecular determinants of matrix metalloproteinase-12 covalent modification by a photoaffinity probe","volume":"283","author":[{"family":"Dabert-Gay","given":"Anne-Sophie"},{"family":"Czarny","given":"Bertrand"},{"family":"Devel","given":"Laurent"},{"family":"Beau","given":"Fabrice"},{"family":"Lajeunesse","given":"Evelyne"},{"family":"Bregant","given":"Sarah"},{"family":"Thai","given":"Robert"},{"family":"Yiotakis","given":"Athanasios"},{"family":"Dive","given":"Vincent"}],"issued":{"date-parts":[["2008",11,7]]}}}],"schema":"https://github.com/citation-style-language/schema/raw/master/csl-citation.json"} </w:instrText>
      </w:r>
      <w:r w:rsidRPr="001C4CB9">
        <w:rPr>
          <w:rFonts w:ascii="Arial" w:hAnsi="Arial" w:cs="Arial"/>
          <w:sz w:val="17"/>
          <w:szCs w:val="17"/>
          <w:lang w:val="en-US"/>
        </w:rPr>
        <w:fldChar w:fldCharType="separate"/>
      </w:r>
      <w:r w:rsidRPr="001C4CB9">
        <w:rPr>
          <w:rFonts w:ascii="Arial" w:hAnsi="Arial" w:cs="Arial"/>
          <w:sz w:val="17"/>
          <w:vertAlign w:val="superscript"/>
          <w:lang w:val="en-US"/>
        </w:rPr>
        <w:t>[39]</w:t>
      </w:r>
      <w:r w:rsidRPr="001C4CB9">
        <w:rPr>
          <w:rFonts w:ascii="Arial" w:hAnsi="Arial" w:cs="Arial"/>
          <w:sz w:val="17"/>
          <w:szCs w:val="17"/>
          <w:lang w:val="en-US"/>
        </w:rPr>
        <w:fldChar w:fldCharType="end"/>
      </w:r>
      <w:r w:rsidRPr="001C4CB9">
        <w:rPr>
          <w:rFonts w:ascii="Arial" w:hAnsi="Arial" w:cs="Arial"/>
          <w:sz w:val="17"/>
          <w:szCs w:val="17"/>
          <w:lang w:val="en-US"/>
        </w:rPr>
        <w:t xml:space="preserve"> </w:t>
      </w:r>
      <w:r w:rsidR="002F7D90" w:rsidRPr="001C4CB9">
        <w:rPr>
          <w:rFonts w:ascii="Arial" w:hAnsi="Arial" w:cs="Arial"/>
          <w:sz w:val="17"/>
          <w:szCs w:val="17"/>
          <w:lang w:val="en-US"/>
        </w:rPr>
        <w:t>made</w:t>
      </w:r>
      <w:r w:rsidRPr="001C4CB9">
        <w:rPr>
          <w:rFonts w:ascii="Arial" w:hAnsi="Arial" w:cs="Arial"/>
          <w:sz w:val="17"/>
          <w:szCs w:val="17"/>
          <w:lang w:val="en-US"/>
        </w:rPr>
        <w:t xml:space="preserve"> this </w:t>
      </w:r>
      <w:r w:rsidR="002F7D90" w:rsidRPr="001C4CB9">
        <w:rPr>
          <w:rFonts w:ascii="Arial" w:hAnsi="Arial" w:cs="Arial"/>
          <w:sz w:val="17"/>
          <w:szCs w:val="17"/>
          <w:lang w:val="en-US"/>
        </w:rPr>
        <w:t>amino acid a</w:t>
      </w:r>
      <w:r w:rsidRPr="001C4CB9">
        <w:rPr>
          <w:rFonts w:ascii="Arial" w:hAnsi="Arial" w:cs="Arial"/>
          <w:sz w:val="17"/>
          <w:szCs w:val="17"/>
          <w:lang w:val="en-US"/>
        </w:rPr>
        <w:t xml:space="preserve"> </w:t>
      </w:r>
      <w:r w:rsidR="002F7D90" w:rsidRPr="001C4CB9">
        <w:rPr>
          <w:rFonts w:ascii="Arial" w:hAnsi="Arial" w:cs="Arial"/>
          <w:sz w:val="17"/>
          <w:szCs w:val="17"/>
          <w:lang w:val="en-US"/>
        </w:rPr>
        <w:t xml:space="preserve">plausible second labeling </w:t>
      </w:r>
      <w:r w:rsidRPr="001C4CB9">
        <w:rPr>
          <w:rFonts w:ascii="Arial" w:hAnsi="Arial" w:cs="Arial"/>
          <w:sz w:val="17"/>
          <w:szCs w:val="17"/>
          <w:lang w:val="en-US"/>
        </w:rPr>
        <w:t>site. However, a very recent work of Hamachi’s group on the development of covalent inhibitors with a NASA warhead, revealed a broader reactivity for this linker</w:t>
      </w:r>
      <w:r w:rsidRPr="001C4CB9">
        <w:rPr>
          <w:rFonts w:ascii="Arial" w:hAnsi="Arial" w:cs="Arial"/>
          <w:sz w:val="17"/>
          <w:szCs w:val="17"/>
          <w:lang w:val="en-US"/>
        </w:rPr>
        <w:fldChar w:fldCharType="begin"/>
      </w:r>
      <w:r w:rsidRPr="001C4CB9">
        <w:rPr>
          <w:rFonts w:ascii="Arial" w:hAnsi="Arial" w:cs="Arial"/>
          <w:sz w:val="17"/>
          <w:szCs w:val="17"/>
          <w:lang w:val="en-US"/>
        </w:rPr>
        <w:instrText xml:space="preserve"> ADDIN ZOTERO_ITEM CSL_CITATION {"citationID":"s3Lmnr5G","properties":{"formattedCitation":"\\super [40]\\nosupersub{}","plainCitation":"[40]","noteIndex":0},"citationItems":[{"id":1131,"uris":["http://zotero.org/users/local/t888UWzB/items/YC78Y7S3"],"uri":["http://zotero.org/users/local/t888UWzB/items/YC78Y7S3"],"itemData":{"id":1131,"type":"article-journal","abstract":"Protein-protein interactions (PPIs) intimately govern various biological processes and disease states and therefore have been identified as attractive therapeutic targets for small-molecule drug discovery. However, the development of highly potent inhibitors for PPIs has proven to be extremely challenging with limited clinical success stories. Herein, we report irreversible inhibitors of the human double minute 2 (HDM2)/p53 PPI, which employ a reactive N-acyl-N-alkyl sulfonamide (NASA) group as a warhead. Mass-based analysis successfully revealed the kinetics of covalent inhibition and the modification sites on HDM2 to be the N-terminal α-amine and Tyr67, both rarely seen in traditional covalent inhibitors. Finally, we demonstrated prolonged p53-pathway activation and more effective induction of the p53-mediated cell death in comparison to a noncovalent inhibitor. This study highlights the potential of the NASA warhead as a versatile electrophile for the covalent inhibition of PPIs and opens new avenues for the rational design of potent covalent PPI inhibitors.","container-title":"Journal of the American Chemical Society","DOI":"10.1021/jacs.1c00703","ISSN":"1520-5126","issue":"12","journalAbbreviation":"J Am Chem Soc","language":"eng","note":"PMID: 33733756","page":"4766-4774","source":"PubMed","title":"Enhanced Suppression of a Protein-Protein Interaction in Cells Using Small-Molecule Covalent Inhibitors Based on an N-Acyl-N-alkyl Sulfonamide Warhead","volume":"143","author":[{"family":"Ueda","given":"Tsuyoshi"},{"family":"Tamura","given":"Tomonori"},{"family":"Kawano","given":"Masaharu"},{"family":"Shiono","given":"Keiya"},{"family":"Hobor","given":"Fruzsina"},{"family":"Wilson","given":"Andrew J."},{"family":"Hamachi","given":"Itaru"}],"issued":{"date-parts":[["2021",3,31]]}}}],"schema":"https://github.com/citation-style-language/schema/raw/master/csl-citation.json"} </w:instrText>
      </w:r>
      <w:r w:rsidRPr="001C4CB9">
        <w:rPr>
          <w:rFonts w:ascii="Arial" w:hAnsi="Arial" w:cs="Arial"/>
          <w:sz w:val="17"/>
          <w:szCs w:val="17"/>
          <w:lang w:val="en-US"/>
        </w:rPr>
        <w:fldChar w:fldCharType="separate"/>
      </w:r>
      <w:r w:rsidRPr="001C4CB9">
        <w:rPr>
          <w:rFonts w:ascii="Arial" w:hAnsi="Arial" w:cs="Arial"/>
          <w:sz w:val="17"/>
          <w:vertAlign w:val="superscript"/>
          <w:lang w:val="en-US"/>
        </w:rPr>
        <w:t>[40]</w:t>
      </w:r>
      <w:r w:rsidRPr="001C4CB9">
        <w:rPr>
          <w:rFonts w:ascii="Arial" w:hAnsi="Arial" w:cs="Arial"/>
          <w:sz w:val="17"/>
          <w:szCs w:val="17"/>
          <w:lang w:val="en-US"/>
        </w:rPr>
        <w:fldChar w:fldCharType="end"/>
      </w:r>
      <w:r w:rsidRPr="001C4CB9">
        <w:rPr>
          <w:rFonts w:ascii="Arial" w:hAnsi="Arial" w:cs="Arial"/>
          <w:sz w:val="17"/>
          <w:szCs w:val="17"/>
          <w:lang w:val="en-US"/>
        </w:rPr>
        <w:t xml:space="preserve">,  suggesting  that amino acids </w:t>
      </w:r>
      <w:r w:rsidR="00912866" w:rsidRPr="001C4CB9">
        <w:rPr>
          <w:rFonts w:ascii="Arial" w:hAnsi="Arial" w:cs="Arial"/>
          <w:sz w:val="17"/>
          <w:szCs w:val="17"/>
          <w:lang w:val="en-US"/>
        </w:rPr>
        <w:t xml:space="preserve">other </w:t>
      </w:r>
      <w:r w:rsidRPr="001C4CB9">
        <w:rPr>
          <w:rFonts w:ascii="Arial" w:hAnsi="Arial" w:cs="Arial"/>
          <w:sz w:val="17"/>
          <w:szCs w:val="17"/>
          <w:lang w:val="en-US"/>
        </w:rPr>
        <w:t xml:space="preserve">than Lysine could be crosslinked by probe </w:t>
      </w:r>
      <w:r w:rsidRPr="001C4CB9">
        <w:rPr>
          <w:rFonts w:ascii="Arial" w:hAnsi="Arial" w:cs="Arial"/>
          <w:b/>
          <w:sz w:val="17"/>
          <w:szCs w:val="17"/>
          <w:lang w:val="en-US"/>
        </w:rPr>
        <w:t>2</w:t>
      </w:r>
      <w:r w:rsidRPr="001C4CB9">
        <w:rPr>
          <w:rFonts w:ascii="Arial" w:hAnsi="Arial" w:cs="Arial"/>
          <w:sz w:val="17"/>
          <w:szCs w:val="17"/>
          <w:lang w:val="en-US"/>
        </w:rPr>
        <w:t>. Disappointingly, attempts to identify the second labeling site within the rhMMP12 S</w:t>
      </w:r>
      <w:r w:rsidRPr="001C4CB9">
        <w:rPr>
          <w:rFonts w:ascii="Arial" w:hAnsi="Arial" w:cs="Arial"/>
          <w:sz w:val="17"/>
          <w:szCs w:val="17"/>
          <w:vertAlign w:val="subscript"/>
          <w:lang w:val="en-US"/>
        </w:rPr>
        <w:t>3</w:t>
      </w:r>
      <w:r w:rsidRPr="001C4CB9">
        <w:rPr>
          <w:rFonts w:ascii="Arial" w:hAnsi="Arial" w:cs="Arial"/>
          <w:sz w:val="17"/>
          <w:szCs w:val="17"/>
          <w:lang w:val="en-US"/>
        </w:rPr>
        <w:t>’ turned out unsuccessful.</w:t>
      </w:r>
    </w:p>
    <w:p w:rsidR="00F4044C" w:rsidRPr="001C4CB9" w:rsidRDefault="000C5ED7" w:rsidP="000631BB">
      <w:pPr>
        <w:spacing w:line="225" w:lineRule="exact"/>
        <w:contextualSpacing/>
        <w:jc w:val="both"/>
        <w:rPr>
          <w:rFonts w:ascii="Arial" w:hAnsi="Arial"/>
          <w:sz w:val="17"/>
          <w:lang w:val="en-US"/>
        </w:rPr>
      </w:pPr>
      <w:r>
        <w:rPr>
          <w:rFonts w:ascii="Arial" w:hAnsi="Arial" w:cs="Arial"/>
          <w:b/>
          <w:noProof/>
          <w:color w:val="000000" w:themeColor="text1"/>
          <w:sz w:val="14"/>
          <w:szCs w:val="14"/>
          <w:lang w:val="en-US"/>
        </w:rPr>
        <w:drawing>
          <wp:anchor distT="0" distB="0" distL="114300" distR="114300" simplePos="0" relativeHeight="251700224" behindDoc="0" locked="0" layoutInCell="1" allowOverlap="1">
            <wp:simplePos x="0" y="0"/>
            <wp:positionH relativeFrom="column">
              <wp:posOffset>11624</wp:posOffset>
            </wp:positionH>
            <wp:positionV relativeFrom="paragraph">
              <wp:posOffset>187602</wp:posOffset>
            </wp:positionV>
            <wp:extent cx="2959100" cy="3495040"/>
            <wp:effectExtent l="0" t="0" r="0"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4.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9100" cy="3495040"/>
                    </a:xfrm>
                    <a:prstGeom prst="rect">
                      <a:avLst/>
                    </a:prstGeom>
                  </pic:spPr>
                </pic:pic>
              </a:graphicData>
            </a:graphic>
            <wp14:sizeRelH relativeFrom="margin">
              <wp14:pctWidth>0</wp14:pctWidth>
            </wp14:sizeRelH>
            <wp14:sizeRelV relativeFrom="margin">
              <wp14:pctHeight>0</wp14:pctHeight>
            </wp14:sizeRelV>
          </wp:anchor>
        </w:drawing>
      </w:r>
    </w:p>
    <w:p w:rsidR="00950625" w:rsidRPr="001C4CB9" w:rsidRDefault="00950625" w:rsidP="005B6FD2">
      <w:pPr>
        <w:spacing w:before="230" w:after="460" w:line="180" w:lineRule="exact"/>
        <w:jc w:val="both"/>
        <w:rPr>
          <w:rFonts w:ascii="Arial" w:hAnsi="Arial" w:cs="Arial"/>
          <w:color w:val="000000" w:themeColor="text1"/>
          <w:sz w:val="14"/>
          <w:szCs w:val="14"/>
          <w:lang w:val="en-US"/>
        </w:rPr>
      </w:pPr>
      <w:r w:rsidRPr="001C4CB9">
        <w:rPr>
          <w:rFonts w:ascii="Arial" w:hAnsi="Arial" w:cs="Arial"/>
          <w:b/>
          <w:color w:val="000000" w:themeColor="text1"/>
          <w:sz w:val="14"/>
          <w:szCs w:val="14"/>
          <w:lang w:val="en-US"/>
        </w:rPr>
        <w:t>Figure 4</w:t>
      </w:r>
      <w:r w:rsidRPr="001C4CB9">
        <w:rPr>
          <w:rFonts w:ascii="Arial" w:hAnsi="Arial" w:cs="Arial"/>
          <w:color w:val="000000" w:themeColor="text1"/>
          <w:sz w:val="14"/>
          <w:szCs w:val="14"/>
          <w:lang w:val="en-US"/>
        </w:rPr>
        <w:t>: Zoom on the S</w:t>
      </w:r>
      <w:r w:rsidRPr="001C4CB9">
        <w:rPr>
          <w:rFonts w:ascii="Arial" w:hAnsi="Arial" w:cs="Arial"/>
          <w:color w:val="000000" w:themeColor="text1"/>
          <w:sz w:val="14"/>
          <w:szCs w:val="14"/>
          <w:vertAlign w:val="subscript"/>
          <w:lang w:val="en-US"/>
        </w:rPr>
        <w:t>3</w:t>
      </w:r>
      <w:r w:rsidRPr="001C4CB9">
        <w:rPr>
          <w:rFonts w:ascii="Arial" w:hAnsi="Arial" w:cs="Arial"/>
          <w:color w:val="000000" w:themeColor="text1"/>
          <w:sz w:val="14"/>
          <w:szCs w:val="14"/>
          <w:lang w:val="en-US"/>
        </w:rPr>
        <w:t>’ region of hMMP-2 (PDB code: 1QIB), hMMP-9 (PDB code: 6ESM), hMMP-12 (PDB code: 3LIK) and rhMMP-13 (PDB code: 2OW9) in cartoon representation. Lysine and Aspartate side chains are shown as red and cyan</w:t>
      </w:r>
      <w:r w:rsidR="005B6FD2" w:rsidRPr="001C4CB9">
        <w:rPr>
          <w:rFonts w:ascii="Arial" w:hAnsi="Arial" w:cs="Arial"/>
          <w:color w:val="000000" w:themeColor="text1"/>
          <w:sz w:val="14"/>
          <w:szCs w:val="14"/>
          <w:lang w:val="en-US"/>
        </w:rPr>
        <w:t xml:space="preserve"> “</w:t>
      </w:r>
      <w:proofErr w:type="spellStart"/>
      <w:r w:rsidR="005B6FD2" w:rsidRPr="001C4CB9">
        <w:rPr>
          <w:rFonts w:ascii="Arial" w:hAnsi="Arial" w:cs="Arial"/>
          <w:color w:val="000000" w:themeColor="text1"/>
          <w:sz w:val="14"/>
          <w:szCs w:val="14"/>
          <w:lang w:val="en-US"/>
        </w:rPr>
        <w:t>deepteal</w:t>
      </w:r>
      <w:proofErr w:type="spellEnd"/>
      <w:r w:rsidR="005B6FD2" w:rsidRPr="001C4CB9">
        <w:rPr>
          <w:rFonts w:ascii="Arial" w:hAnsi="Arial" w:cs="Arial"/>
          <w:color w:val="000000" w:themeColor="text1"/>
          <w:sz w:val="14"/>
          <w:szCs w:val="14"/>
          <w:lang w:val="en-US"/>
        </w:rPr>
        <w:t>”</w:t>
      </w:r>
      <w:r w:rsidRPr="001C4CB9">
        <w:rPr>
          <w:rFonts w:ascii="Arial" w:hAnsi="Arial" w:cs="Arial"/>
          <w:color w:val="000000" w:themeColor="text1"/>
          <w:sz w:val="14"/>
          <w:szCs w:val="14"/>
          <w:lang w:val="en-US"/>
        </w:rPr>
        <w:t xml:space="preserve"> sticks respectively and the catalytic zinc ion is shown as a magenta ball. The identified labeling sites within rhMMP-9 (Lys</w:t>
      </w:r>
      <w:r w:rsidRPr="001C4CB9">
        <w:rPr>
          <w:rFonts w:ascii="Arial" w:hAnsi="Arial" w:cs="Arial"/>
          <w:color w:val="000000" w:themeColor="text1"/>
          <w:sz w:val="14"/>
          <w:szCs w:val="14"/>
          <w:vertAlign w:val="superscript"/>
          <w:lang w:val="en-US"/>
        </w:rPr>
        <w:t>214</w:t>
      </w:r>
      <w:r w:rsidRPr="001C4CB9">
        <w:rPr>
          <w:rFonts w:ascii="Arial" w:hAnsi="Arial" w:cs="Arial"/>
          <w:color w:val="000000" w:themeColor="text1"/>
          <w:sz w:val="14"/>
          <w:szCs w:val="14"/>
          <w:lang w:val="en-US"/>
        </w:rPr>
        <w:t>), rhMMP-12 (Lys</w:t>
      </w:r>
      <w:r w:rsidRPr="001C4CB9">
        <w:rPr>
          <w:rFonts w:ascii="Arial" w:hAnsi="Arial" w:cs="Arial"/>
          <w:color w:val="000000" w:themeColor="text1"/>
          <w:sz w:val="14"/>
          <w:szCs w:val="14"/>
          <w:vertAlign w:val="superscript"/>
          <w:lang w:val="en-US"/>
        </w:rPr>
        <w:t>177</w:t>
      </w:r>
      <w:r w:rsidRPr="001C4CB9">
        <w:rPr>
          <w:rFonts w:ascii="Arial" w:hAnsi="Arial" w:cs="Arial"/>
          <w:color w:val="000000" w:themeColor="text1"/>
          <w:sz w:val="14"/>
          <w:szCs w:val="14"/>
          <w:lang w:val="en-US"/>
        </w:rPr>
        <w:t>) and hMMP-13 (Lys</w:t>
      </w:r>
      <w:r w:rsidRPr="001C4CB9">
        <w:rPr>
          <w:rFonts w:ascii="Arial" w:hAnsi="Arial" w:cs="Arial"/>
          <w:color w:val="000000" w:themeColor="text1"/>
          <w:sz w:val="14"/>
          <w:szCs w:val="14"/>
          <w:vertAlign w:val="superscript"/>
          <w:lang w:val="en-US"/>
        </w:rPr>
        <w:t>212</w:t>
      </w:r>
      <w:r w:rsidRPr="001C4CB9">
        <w:rPr>
          <w:rFonts w:ascii="Arial" w:hAnsi="Arial" w:cs="Arial"/>
          <w:color w:val="000000" w:themeColor="text1"/>
          <w:sz w:val="14"/>
          <w:szCs w:val="14"/>
          <w:lang w:val="en-US"/>
        </w:rPr>
        <w:t>) S</w:t>
      </w:r>
      <w:r w:rsidRPr="001C4CB9">
        <w:rPr>
          <w:rFonts w:ascii="Arial" w:hAnsi="Arial" w:cs="Arial"/>
          <w:color w:val="000000" w:themeColor="text1"/>
          <w:sz w:val="14"/>
          <w:szCs w:val="14"/>
          <w:vertAlign w:val="superscript"/>
          <w:lang w:val="en-US"/>
        </w:rPr>
        <w:t>3</w:t>
      </w:r>
      <w:r w:rsidRPr="001C4CB9">
        <w:rPr>
          <w:rFonts w:ascii="Arial" w:hAnsi="Arial" w:cs="Arial"/>
          <w:color w:val="000000" w:themeColor="text1"/>
          <w:sz w:val="14"/>
          <w:szCs w:val="14"/>
          <w:lang w:val="en-US"/>
        </w:rPr>
        <w:t>’ region</w:t>
      </w:r>
      <w:r w:rsidR="005B6FD2" w:rsidRPr="001C4CB9">
        <w:rPr>
          <w:rFonts w:ascii="Arial" w:hAnsi="Arial" w:cs="Arial"/>
          <w:color w:val="000000" w:themeColor="text1"/>
          <w:sz w:val="14"/>
          <w:szCs w:val="14"/>
          <w:lang w:val="en-US"/>
        </w:rPr>
        <w:t xml:space="preserve"> </w:t>
      </w:r>
      <w:r w:rsidRPr="001C4CB9">
        <w:rPr>
          <w:rFonts w:ascii="Arial" w:hAnsi="Arial" w:cs="Arial"/>
          <w:color w:val="000000" w:themeColor="text1"/>
          <w:sz w:val="14"/>
          <w:szCs w:val="14"/>
          <w:lang w:val="en-US"/>
        </w:rPr>
        <w:t>are</w:t>
      </w:r>
      <w:r w:rsidR="005B6FD2" w:rsidRPr="001C4CB9">
        <w:rPr>
          <w:rFonts w:ascii="Arial" w:hAnsi="Arial" w:cs="Arial"/>
          <w:color w:val="000000" w:themeColor="text1"/>
          <w:sz w:val="14"/>
          <w:szCs w:val="14"/>
          <w:lang w:val="en-US"/>
        </w:rPr>
        <w:t xml:space="preserve"> </w:t>
      </w:r>
      <w:r w:rsidRPr="001C4CB9">
        <w:rPr>
          <w:rFonts w:ascii="Arial" w:hAnsi="Arial" w:cs="Arial"/>
          <w:color w:val="000000" w:themeColor="text1"/>
          <w:sz w:val="14"/>
          <w:szCs w:val="14"/>
          <w:lang w:val="en-US"/>
        </w:rPr>
        <w:t>specifically marked with a red background.</w:t>
      </w:r>
    </w:p>
    <w:p w:rsidR="004A4ED1" w:rsidRPr="001C4CB9" w:rsidRDefault="008520B2" w:rsidP="004A4ED1">
      <w:pPr>
        <w:spacing w:line="225" w:lineRule="exact"/>
        <w:jc w:val="both"/>
        <w:rPr>
          <w:rFonts w:ascii="Arial" w:hAnsi="Arial" w:cs="Arial"/>
          <w:color w:val="000000" w:themeColor="text1"/>
          <w:sz w:val="17"/>
          <w:szCs w:val="17"/>
          <w:lang w:val="en-US"/>
        </w:rPr>
      </w:pPr>
      <w:r w:rsidRPr="001C4CB9">
        <w:rPr>
          <w:rFonts w:ascii="Arial" w:hAnsi="Arial" w:cs="Arial"/>
          <w:color w:val="000000" w:themeColor="text1"/>
          <w:sz w:val="17"/>
          <w:szCs w:val="17"/>
          <w:lang w:val="en-US"/>
        </w:rPr>
        <w:t>Since the catalytic domains of MMPs share both a sequential similarity and a high structural homology</w:t>
      </w:r>
      <w:r w:rsidRPr="001C4CB9">
        <w:rPr>
          <w:rFonts w:ascii="Arial" w:hAnsi="Arial" w:cs="Arial"/>
          <w:color w:val="000000" w:themeColor="text1"/>
          <w:sz w:val="17"/>
          <w:szCs w:val="17"/>
          <w:lang w:val="en-US"/>
        </w:rPr>
        <w:fldChar w:fldCharType="begin"/>
      </w:r>
      <w:r w:rsidRPr="001C4CB9">
        <w:rPr>
          <w:rFonts w:ascii="Arial" w:hAnsi="Arial" w:cs="Arial"/>
          <w:color w:val="000000" w:themeColor="text1"/>
          <w:sz w:val="17"/>
          <w:szCs w:val="17"/>
          <w:lang w:val="en-US"/>
        </w:rPr>
        <w:instrText xml:space="preserve"> ADDIN ZOTERO_ITEM CSL_CITATION {"citationID":"Xd6mgoYW","properties":{"formattedCitation":"\\super [41,42]\\nosupersub{}","plainCitation":"[41,42]","noteIndex":0},"citationItems":[{"id":1133,"uris":["http://zotero.org/users/local/t888UWzB/items/87NRC2BB"],"uri":["http://zotero.org/users/local/t888UWzB/items/87NRC2BB"],"itemData":{"id":1133,"type":"article-journal","abstract":"Matrix metalloproteinases (MMPs), also designated matrixins, hydrolyze components of the extracellular matrix. These proteinases play a central role in many biological processes, such as embryogenesis, normal tissue remodeling, wound healing, and angiogenesis, and in diseases such as atheroma, arthritis, cancer, and tissue ulceration. Currently 23 MMP genes have been identified in humans, and most are multidomain proteins. This review describes the members of the matrixin family and discusses substrate specificity, domain structure and function, the activation of proMMPs, the regulation of matrixin activity by tissue inhibitors of metalloproteinases, and their pathophysiological implication.","container-title":"Circulation Research","DOI":"10.1161/01.RES.0000070112.80711.3D","ISSN":"1524-4571","issue":"8","journalAbbreviation":"Circ Res","language":"eng","note":"PMID: 12730128","page":"827-839","source":"PubMed","title":"Matrix metalloproteinases and tissue inhibitors of metalloproteinases: structure, function, and biochemistry","title-short":"Matrix metalloproteinases and tissue inhibitors of metalloproteinases","volume":"92","author":[{"family":"Visse","given":"Robert"},{"family":"Nagase","given":"Hideaki"}],"issued":{"date-parts":[["2003",5,2]]}}},{"id":1136,"uris":["http://zotero.org/users/local/t888UWzB/items/DT3WUJ77"],"uri":["http://zotero.org/users/local/t888UWzB/items/DT3WUJ77"],"itemData":{"id":1136,"type":"article-journal","abstract":"The extracellular matrix (ECM) is a macromolecules network, in which the most abundant molecule is collagen. This protein in triple helical conformation is highly resistant to proteinases degradation, the only enzymes capable of degrading the collagen are matrix metalloproteinases (MMPs). This resistance and maintenance of collagen, and consequently of ECM, is involved in several biological processes and it must be strictly regulated by endogenous inhibitors (TIMPs). The deregulation of MMPs activity leads to development of numerous diseases. This review shows MMPs complexity.","container-title":"Cells","DOI":"10.3390/cells9051076","ISSN":"2073-4409","issue":"5","journalAbbreviation":"Cells","language":"eng","note":"PMID: 32357580\nPMCID: PMC7290392","source":"PubMed","title":"Structure and Function of Human Matrix Metalloproteinases","volume":"9","author":[{"family":"Laronha","given":"Helena"},{"family":"Caldeira","given":"Jorge"}],"issued":{"date-parts":[["2020",4,26]]}}}],"schema":"https://github.com/citation-style-language/schema/raw/master/csl-citation.json"} </w:instrText>
      </w:r>
      <w:r w:rsidRPr="001C4CB9">
        <w:rPr>
          <w:rFonts w:ascii="Arial" w:hAnsi="Arial" w:cs="Arial"/>
          <w:color w:val="000000" w:themeColor="text1"/>
          <w:sz w:val="17"/>
          <w:szCs w:val="17"/>
          <w:lang w:val="en-US"/>
        </w:rPr>
        <w:fldChar w:fldCharType="separate"/>
      </w:r>
      <w:r w:rsidRPr="001C4CB9">
        <w:rPr>
          <w:rFonts w:ascii="Arial" w:hAnsi="Arial" w:cs="Arial"/>
          <w:color w:val="000000"/>
          <w:sz w:val="17"/>
          <w:vertAlign w:val="superscript"/>
          <w:lang w:val="en-US"/>
        </w:rPr>
        <w:t>[41,42]</w:t>
      </w:r>
      <w:r w:rsidRPr="001C4CB9">
        <w:rPr>
          <w:rFonts w:ascii="Arial" w:hAnsi="Arial" w:cs="Arial"/>
          <w:color w:val="000000" w:themeColor="text1"/>
          <w:sz w:val="17"/>
          <w:szCs w:val="17"/>
          <w:lang w:val="en-US"/>
        </w:rPr>
        <w:fldChar w:fldCharType="end"/>
      </w:r>
      <w:r w:rsidRPr="001C4CB9">
        <w:rPr>
          <w:rFonts w:ascii="Arial" w:hAnsi="Arial" w:cs="Arial"/>
          <w:color w:val="000000" w:themeColor="text1"/>
          <w:sz w:val="17"/>
          <w:szCs w:val="17"/>
          <w:lang w:val="en-US"/>
        </w:rPr>
        <w:t xml:space="preserve">, the reactivity and selectivity of probe </w:t>
      </w:r>
      <w:r w:rsidRPr="001C4CB9">
        <w:rPr>
          <w:rFonts w:ascii="Arial" w:hAnsi="Arial" w:cs="Arial"/>
          <w:b/>
          <w:color w:val="000000" w:themeColor="text1"/>
          <w:sz w:val="17"/>
          <w:szCs w:val="17"/>
          <w:lang w:val="en-US"/>
        </w:rPr>
        <w:t>1</w:t>
      </w:r>
      <w:r w:rsidRPr="001C4CB9">
        <w:rPr>
          <w:rFonts w:ascii="Arial" w:hAnsi="Arial" w:cs="Arial"/>
          <w:color w:val="000000" w:themeColor="text1"/>
          <w:sz w:val="17"/>
          <w:szCs w:val="17"/>
          <w:lang w:val="en-US"/>
        </w:rPr>
        <w:t xml:space="preserve"> and </w:t>
      </w:r>
      <w:r w:rsidRPr="001C4CB9">
        <w:rPr>
          <w:rFonts w:ascii="Arial" w:hAnsi="Arial" w:cs="Arial"/>
          <w:b/>
          <w:color w:val="000000" w:themeColor="text1"/>
          <w:sz w:val="17"/>
          <w:szCs w:val="17"/>
          <w:lang w:val="en-US"/>
        </w:rPr>
        <w:t>2</w:t>
      </w:r>
      <w:r w:rsidRPr="001C4CB9">
        <w:rPr>
          <w:rFonts w:ascii="Arial" w:hAnsi="Arial" w:cs="Arial"/>
          <w:color w:val="000000" w:themeColor="text1"/>
          <w:sz w:val="17"/>
          <w:szCs w:val="17"/>
          <w:lang w:val="en-US"/>
        </w:rPr>
        <w:t xml:space="preserve"> w</w:t>
      </w:r>
      <w:r w:rsidR="00041755" w:rsidRPr="001C4CB9">
        <w:rPr>
          <w:rFonts w:ascii="Arial" w:hAnsi="Arial" w:cs="Arial"/>
          <w:color w:val="000000" w:themeColor="text1"/>
          <w:sz w:val="17"/>
          <w:szCs w:val="17"/>
          <w:lang w:val="en-US"/>
        </w:rPr>
        <w:t>ere</w:t>
      </w:r>
      <w:r w:rsidRPr="001C4CB9">
        <w:rPr>
          <w:rFonts w:ascii="Arial" w:hAnsi="Arial" w:cs="Arial"/>
          <w:color w:val="000000" w:themeColor="text1"/>
          <w:sz w:val="17"/>
          <w:szCs w:val="17"/>
          <w:lang w:val="en-US"/>
        </w:rPr>
        <w:t xml:space="preserve"> further investigated on six other </w:t>
      </w:r>
      <w:proofErr w:type="spellStart"/>
      <w:r w:rsidRPr="001C4CB9">
        <w:rPr>
          <w:rFonts w:ascii="Arial" w:hAnsi="Arial" w:cs="Arial"/>
          <w:color w:val="000000" w:themeColor="text1"/>
          <w:sz w:val="17"/>
          <w:szCs w:val="17"/>
          <w:lang w:val="en-US"/>
        </w:rPr>
        <w:t>rhMMPs</w:t>
      </w:r>
      <w:proofErr w:type="spellEnd"/>
      <w:r w:rsidRPr="001C4CB9">
        <w:rPr>
          <w:rFonts w:ascii="Arial" w:hAnsi="Arial" w:cs="Arial"/>
          <w:color w:val="000000" w:themeColor="text1"/>
          <w:sz w:val="17"/>
          <w:szCs w:val="17"/>
          <w:lang w:val="en-US"/>
        </w:rPr>
        <w:t xml:space="preserve"> (Figure 2C). Although displaying a marked specificity for rhMMP-12, both probes displayed a different labeling profile, with light detected crosslink</w:t>
      </w:r>
      <w:r w:rsidR="00A329B1" w:rsidRPr="001C4CB9">
        <w:rPr>
          <w:rFonts w:ascii="Arial" w:hAnsi="Arial" w:cs="Arial"/>
          <w:color w:val="000000" w:themeColor="text1"/>
          <w:sz w:val="17"/>
          <w:szCs w:val="17"/>
          <w:lang w:val="en-US"/>
        </w:rPr>
        <w:t>s</w:t>
      </w:r>
      <w:r w:rsidRPr="001C4CB9">
        <w:rPr>
          <w:rFonts w:ascii="Arial" w:hAnsi="Arial" w:cs="Arial"/>
          <w:color w:val="000000" w:themeColor="text1"/>
          <w:sz w:val="17"/>
          <w:szCs w:val="17"/>
          <w:lang w:val="en-US"/>
        </w:rPr>
        <w:t xml:space="preserve"> of rhMMP-3 and 10 </w:t>
      </w:r>
      <w:r w:rsidR="0060075F" w:rsidRPr="001C4CB9">
        <w:rPr>
          <w:rFonts w:ascii="Arial" w:hAnsi="Arial" w:cs="Arial"/>
          <w:color w:val="000000" w:themeColor="text1"/>
          <w:sz w:val="17"/>
          <w:szCs w:val="17"/>
          <w:lang w:val="en-US"/>
        </w:rPr>
        <w:t>with</w:t>
      </w:r>
      <w:r w:rsidRPr="001C4CB9">
        <w:rPr>
          <w:rFonts w:ascii="Arial" w:hAnsi="Arial" w:cs="Arial"/>
          <w:color w:val="000000" w:themeColor="text1"/>
          <w:sz w:val="17"/>
          <w:szCs w:val="17"/>
          <w:lang w:val="en-US"/>
        </w:rPr>
        <w:t xml:space="preserve"> probe </w:t>
      </w:r>
      <w:r w:rsidRPr="001C4CB9">
        <w:rPr>
          <w:rFonts w:ascii="Arial" w:hAnsi="Arial" w:cs="Arial"/>
          <w:b/>
          <w:color w:val="000000" w:themeColor="text1"/>
          <w:sz w:val="17"/>
          <w:szCs w:val="17"/>
          <w:lang w:val="en-US"/>
        </w:rPr>
        <w:t>1</w:t>
      </w:r>
      <w:r w:rsidRPr="001C4CB9">
        <w:rPr>
          <w:rFonts w:ascii="Arial" w:hAnsi="Arial" w:cs="Arial"/>
          <w:color w:val="000000" w:themeColor="text1"/>
          <w:sz w:val="17"/>
          <w:szCs w:val="17"/>
          <w:lang w:val="en-US"/>
        </w:rPr>
        <w:t xml:space="preserve"> and rhMMP-3, 9 and 13 </w:t>
      </w:r>
      <w:r w:rsidR="0060075F" w:rsidRPr="001C4CB9">
        <w:rPr>
          <w:rFonts w:ascii="Arial" w:hAnsi="Arial" w:cs="Arial"/>
          <w:color w:val="000000" w:themeColor="text1"/>
          <w:sz w:val="17"/>
          <w:szCs w:val="17"/>
          <w:lang w:val="en-US"/>
        </w:rPr>
        <w:t>with</w:t>
      </w:r>
      <w:r w:rsidRPr="001C4CB9">
        <w:rPr>
          <w:rFonts w:ascii="Arial" w:hAnsi="Arial" w:cs="Arial"/>
          <w:color w:val="000000" w:themeColor="text1"/>
          <w:sz w:val="17"/>
          <w:szCs w:val="17"/>
          <w:lang w:val="en-US"/>
        </w:rPr>
        <w:t xml:space="preserve"> probe </w:t>
      </w:r>
      <w:r w:rsidRPr="001C4CB9">
        <w:rPr>
          <w:rFonts w:ascii="Arial" w:hAnsi="Arial" w:cs="Arial"/>
          <w:b/>
          <w:color w:val="000000" w:themeColor="text1"/>
          <w:sz w:val="17"/>
          <w:szCs w:val="17"/>
          <w:lang w:val="en-US"/>
        </w:rPr>
        <w:t>2</w:t>
      </w:r>
      <w:r w:rsidRPr="001C4CB9">
        <w:rPr>
          <w:rFonts w:ascii="Arial" w:hAnsi="Arial" w:cs="Arial"/>
          <w:color w:val="000000" w:themeColor="text1"/>
          <w:sz w:val="17"/>
          <w:szCs w:val="17"/>
          <w:lang w:val="en-US"/>
        </w:rPr>
        <w:t xml:space="preserve">. Importantly, a control probe </w:t>
      </w:r>
      <w:r w:rsidRPr="001C4CB9">
        <w:rPr>
          <w:rFonts w:ascii="Arial" w:hAnsi="Arial" w:cs="Arial"/>
          <w:b/>
          <w:color w:val="000000" w:themeColor="text1"/>
          <w:sz w:val="17"/>
          <w:szCs w:val="17"/>
          <w:lang w:val="en-US"/>
        </w:rPr>
        <w:t>10</w:t>
      </w:r>
      <w:r w:rsidRPr="001C4CB9">
        <w:rPr>
          <w:rFonts w:ascii="Arial" w:hAnsi="Arial" w:cs="Arial"/>
          <w:color w:val="000000" w:themeColor="text1"/>
          <w:sz w:val="17"/>
          <w:szCs w:val="17"/>
          <w:lang w:val="en-US"/>
        </w:rPr>
        <w:t xml:space="preserve"> possessing a NASA linker exempt of any targeting motif did not provide any detectable labelling on rhMMP-3, 9, 12 and 13 (Figure S4</w:t>
      </w:r>
      <w:r w:rsidR="002421AB">
        <w:rPr>
          <w:rFonts w:ascii="Arial" w:hAnsi="Arial" w:cs="Arial"/>
          <w:color w:val="000000" w:themeColor="text1"/>
          <w:sz w:val="17"/>
          <w:szCs w:val="17"/>
          <w:lang w:val="en-US"/>
        </w:rPr>
        <w:t>B</w:t>
      </w:r>
      <w:r w:rsidRPr="001C4CB9">
        <w:rPr>
          <w:rFonts w:ascii="Arial" w:hAnsi="Arial" w:cs="Arial"/>
          <w:color w:val="000000" w:themeColor="text1"/>
          <w:sz w:val="17"/>
          <w:szCs w:val="17"/>
          <w:lang w:val="en-US"/>
        </w:rPr>
        <w:t xml:space="preserve">), further evidencing a reaction mediated by a probe-MMP recognition. </w:t>
      </w:r>
      <w:r w:rsidR="00041755" w:rsidRPr="001C4CB9">
        <w:rPr>
          <w:rFonts w:ascii="Arial" w:hAnsi="Arial" w:cs="Arial"/>
          <w:color w:val="000000" w:themeColor="text1"/>
          <w:sz w:val="17"/>
          <w:szCs w:val="17"/>
          <w:lang w:val="en-US"/>
        </w:rPr>
        <w:t>When the probes were used at a higher concentration, h</w:t>
      </w:r>
      <w:r w:rsidRPr="001C4CB9">
        <w:rPr>
          <w:rFonts w:ascii="Arial" w:hAnsi="Arial" w:cs="Arial"/>
          <w:color w:val="000000" w:themeColor="text1"/>
          <w:sz w:val="17"/>
          <w:szCs w:val="17"/>
          <w:lang w:val="en-US"/>
        </w:rPr>
        <w:t>igher fluorescence incorporation</w:t>
      </w:r>
      <w:r w:rsidR="00041755" w:rsidRPr="001C4CB9">
        <w:rPr>
          <w:rFonts w:ascii="Arial" w:hAnsi="Arial" w:cs="Arial"/>
          <w:color w:val="000000" w:themeColor="text1"/>
          <w:sz w:val="17"/>
          <w:szCs w:val="17"/>
          <w:lang w:val="en-US"/>
        </w:rPr>
        <w:t>s</w:t>
      </w:r>
      <w:r w:rsidRPr="001C4CB9">
        <w:rPr>
          <w:rFonts w:ascii="Arial" w:hAnsi="Arial" w:cs="Arial"/>
          <w:color w:val="000000" w:themeColor="text1"/>
          <w:sz w:val="17"/>
          <w:szCs w:val="17"/>
          <w:lang w:val="en-US"/>
        </w:rPr>
        <w:t xml:space="preserve"> onto respective cross-linked </w:t>
      </w:r>
      <w:proofErr w:type="spellStart"/>
      <w:r w:rsidRPr="001C4CB9">
        <w:rPr>
          <w:rFonts w:ascii="Arial" w:hAnsi="Arial" w:cs="Arial"/>
          <w:color w:val="000000" w:themeColor="text1"/>
          <w:sz w:val="17"/>
          <w:szCs w:val="17"/>
          <w:lang w:val="en-US"/>
        </w:rPr>
        <w:t>rhMMP</w:t>
      </w:r>
      <w:proofErr w:type="spellEnd"/>
      <w:r w:rsidRPr="001C4CB9">
        <w:rPr>
          <w:rFonts w:ascii="Arial" w:hAnsi="Arial" w:cs="Arial"/>
          <w:color w:val="000000" w:themeColor="text1"/>
          <w:sz w:val="17"/>
          <w:szCs w:val="17"/>
          <w:lang w:val="en-US"/>
        </w:rPr>
        <w:t xml:space="preserve"> w</w:t>
      </w:r>
      <w:r w:rsidR="00041755" w:rsidRPr="001C4CB9">
        <w:rPr>
          <w:rFonts w:ascii="Arial" w:hAnsi="Arial" w:cs="Arial"/>
          <w:color w:val="000000" w:themeColor="text1"/>
          <w:sz w:val="17"/>
          <w:szCs w:val="17"/>
          <w:lang w:val="en-US"/>
        </w:rPr>
        <w:t>ere</w:t>
      </w:r>
      <w:r w:rsidRPr="001C4CB9">
        <w:rPr>
          <w:rFonts w:ascii="Arial" w:hAnsi="Arial" w:cs="Arial"/>
          <w:color w:val="000000" w:themeColor="text1"/>
          <w:sz w:val="17"/>
          <w:szCs w:val="17"/>
          <w:lang w:val="en-US"/>
        </w:rPr>
        <w:t xml:space="preserve"> achieved (Figure S4</w:t>
      </w:r>
      <w:r w:rsidR="002421AB">
        <w:rPr>
          <w:rFonts w:ascii="Arial" w:hAnsi="Arial" w:cs="Arial"/>
          <w:color w:val="000000" w:themeColor="text1"/>
          <w:sz w:val="17"/>
          <w:szCs w:val="17"/>
          <w:lang w:val="en-US"/>
        </w:rPr>
        <w:t>C</w:t>
      </w:r>
      <w:r w:rsidRPr="001C4CB9">
        <w:rPr>
          <w:rFonts w:ascii="Arial" w:hAnsi="Arial" w:cs="Arial"/>
          <w:color w:val="000000" w:themeColor="text1"/>
          <w:sz w:val="17"/>
          <w:szCs w:val="17"/>
          <w:lang w:val="en-US"/>
        </w:rPr>
        <w:t>)</w:t>
      </w:r>
      <w:r w:rsidR="004A4ED1" w:rsidRPr="001C4CB9">
        <w:rPr>
          <w:rFonts w:ascii="Arial" w:hAnsi="Arial" w:cs="Arial"/>
          <w:color w:val="000000" w:themeColor="text1"/>
          <w:sz w:val="17"/>
          <w:szCs w:val="17"/>
          <w:lang w:val="en-US"/>
        </w:rPr>
        <w:t xml:space="preserve">, </w:t>
      </w:r>
      <w:r w:rsidR="0060075F" w:rsidRPr="001C4CB9">
        <w:rPr>
          <w:rFonts w:ascii="Arial" w:hAnsi="Arial" w:cs="Arial"/>
          <w:color w:val="000000" w:themeColor="text1"/>
          <w:sz w:val="17"/>
          <w:szCs w:val="17"/>
          <w:lang w:val="en-US"/>
        </w:rPr>
        <w:t>in accordance with an affinity-based labeling</w:t>
      </w:r>
      <w:r w:rsidRPr="001C4CB9">
        <w:rPr>
          <w:rFonts w:ascii="Arial" w:hAnsi="Arial" w:cs="Arial"/>
          <w:color w:val="000000" w:themeColor="text1"/>
          <w:sz w:val="17"/>
          <w:szCs w:val="17"/>
          <w:lang w:val="en-US"/>
        </w:rPr>
        <w:t xml:space="preserve">. Those results clearly indicated that certain </w:t>
      </w:r>
      <w:proofErr w:type="spellStart"/>
      <w:r w:rsidRPr="001C4CB9">
        <w:rPr>
          <w:rFonts w:ascii="Arial" w:hAnsi="Arial" w:cs="Arial"/>
          <w:color w:val="000000" w:themeColor="text1"/>
          <w:sz w:val="17"/>
          <w:szCs w:val="17"/>
          <w:lang w:val="en-US"/>
        </w:rPr>
        <w:t>hMMPs</w:t>
      </w:r>
      <w:proofErr w:type="spellEnd"/>
      <w:r w:rsidRPr="001C4CB9">
        <w:rPr>
          <w:rFonts w:ascii="Arial" w:hAnsi="Arial" w:cs="Arial"/>
          <w:color w:val="000000" w:themeColor="text1"/>
          <w:sz w:val="17"/>
          <w:szCs w:val="17"/>
          <w:lang w:val="en-US"/>
        </w:rPr>
        <w:t xml:space="preserve"> possessed accessible nucleophiles prone to react with cleavable linkers within their S</w:t>
      </w:r>
      <w:r w:rsidRPr="001C4CB9">
        <w:rPr>
          <w:rFonts w:ascii="Arial" w:hAnsi="Arial" w:cs="Arial"/>
          <w:color w:val="000000" w:themeColor="text1"/>
          <w:sz w:val="17"/>
          <w:szCs w:val="17"/>
          <w:vertAlign w:val="subscript"/>
          <w:lang w:val="en-US"/>
        </w:rPr>
        <w:t>3</w:t>
      </w:r>
      <w:r w:rsidRPr="001C4CB9">
        <w:rPr>
          <w:rFonts w:ascii="Arial" w:hAnsi="Arial" w:cs="Arial"/>
          <w:color w:val="000000" w:themeColor="text1"/>
          <w:sz w:val="17"/>
          <w:szCs w:val="17"/>
          <w:lang w:val="en-US"/>
        </w:rPr>
        <w:t>’ region. In the case of rhMMP-9</w:t>
      </w:r>
      <w:r w:rsidR="006710B0" w:rsidRPr="001C4CB9">
        <w:rPr>
          <w:rFonts w:ascii="Arial" w:hAnsi="Arial" w:cs="Arial"/>
          <w:color w:val="000000" w:themeColor="text1"/>
          <w:sz w:val="17"/>
          <w:szCs w:val="17"/>
          <w:lang w:val="en-US"/>
        </w:rPr>
        <w:t xml:space="preserve"> and</w:t>
      </w:r>
      <w:r w:rsidRPr="001C4CB9">
        <w:rPr>
          <w:rFonts w:ascii="Arial" w:hAnsi="Arial" w:cs="Arial"/>
          <w:color w:val="000000" w:themeColor="text1"/>
          <w:sz w:val="17"/>
          <w:szCs w:val="17"/>
          <w:lang w:val="en-US"/>
        </w:rPr>
        <w:t xml:space="preserve"> 13 labeled by probe </w:t>
      </w:r>
      <w:r w:rsidRPr="001C4CB9">
        <w:rPr>
          <w:rFonts w:ascii="Arial" w:hAnsi="Arial" w:cs="Arial"/>
          <w:b/>
          <w:color w:val="000000" w:themeColor="text1"/>
          <w:sz w:val="17"/>
          <w:szCs w:val="17"/>
          <w:lang w:val="en-US"/>
        </w:rPr>
        <w:t>2</w:t>
      </w:r>
      <w:r w:rsidRPr="001C4CB9">
        <w:rPr>
          <w:rFonts w:ascii="Arial" w:hAnsi="Arial" w:cs="Arial"/>
          <w:color w:val="000000" w:themeColor="text1"/>
          <w:sz w:val="17"/>
          <w:szCs w:val="17"/>
          <w:lang w:val="en-US"/>
        </w:rPr>
        <w:t>, the privileged labeling sites were identified by mass spectrometry as Lys</w:t>
      </w:r>
      <w:r w:rsidRPr="001C4CB9">
        <w:rPr>
          <w:rFonts w:ascii="Arial" w:hAnsi="Arial" w:cs="Arial"/>
          <w:color w:val="000000" w:themeColor="text1"/>
          <w:sz w:val="17"/>
          <w:szCs w:val="17"/>
          <w:vertAlign w:val="superscript"/>
          <w:lang w:val="en-US"/>
        </w:rPr>
        <w:t xml:space="preserve">214 </w:t>
      </w:r>
      <w:r w:rsidR="00041755" w:rsidRPr="001C4CB9">
        <w:rPr>
          <w:rFonts w:ascii="Arial" w:hAnsi="Arial" w:cs="Arial"/>
          <w:color w:val="000000" w:themeColor="text1"/>
          <w:sz w:val="17"/>
          <w:szCs w:val="17"/>
          <w:lang w:val="en-US"/>
        </w:rPr>
        <w:t xml:space="preserve">for rhMMP-9 </w:t>
      </w:r>
      <w:r w:rsidRPr="001C4CB9">
        <w:rPr>
          <w:rFonts w:ascii="Arial" w:hAnsi="Arial" w:cs="Arial"/>
          <w:color w:val="000000" w:themeColor="text1"/>
          <w:sz w:val="17"/>
          <w:szCs w:val="17"/>
          <w:lang w:val="en-US"/>
        </w:rPr>
        <w:t xml:space="preserve">and </w:t>
      </w:r>
      <w:r w:rsidR="00041755" w:rsidRPr="001C4CB9">
        <w:rPr>
          <w:rFonts w:ascii="Arial" w:hAnsi="Arial" w:cs="Arial"/>
          <w:color w:val="000000" w:themeColor="text1"/>
          <w:sz w:val="17"/>
          <w:szCs w:val="17"/>
          <w:lang w:val="en-US"/>
        </w:rPr>
        <w:t xml:space="preserve">as </w:t>
      </w:r>
      <w:r w:rsidRPr="001C4CB9">
        <w:rPr>
          <w:rFonts w:ascii="Arial" w:hAnsi="Arial" w:cs="Arial"/>
          <w:color w:val="000000" w:themeColor="text1"/>
          <w:sz w:val="17"/>
          <w:szCs w:val="17"/>
          <w:lang w:val="en-US"/>
        </w:rPr>
        <w:t>Lys</w:t>
      </w:r>
      <w:r w:rsidRPr="001C4CB9">
        <w:rPr>
          <w:rFonts w:ascii="Arial" w:hAnsi="Arial" w:cs="Arial"/>
          <w:color w:val="000000" w:themeColor="text1"/>
          <w:sz w:val="17"/>
          <w:szCs w:val="17"/>
          <w:vertAlign w:val="superscript"/>
          <w:lang w:val="en-US"/>
        </w:rPr>
        <w:t xml:space="preserve">212 </w:t>
      </w:r>
      <w:r w:rsidR="00041755" w:rsidRPr="001C4CB9">
        <w:rPr>
          <w:rFonts w:ascii="Arial" w:hAnsi="Arial" w:cs="Arial"/>
          <w:color w:val="000000" w:themeColor="text1"/>
          <w:sz w:val="17"/>
          <w:szCs w:val="17"/>
          <w:lang w:val="en-US"/>
        </w:rPr>
        <w:t>for</w:t>
      </w:r>
      <w:r w:rsidRPr="001C4CB9">
        <w:rPr>
          <w:rFonts w:ascii="Arial" w:hAnsi="Arial" w:cs="Arial"/>
          <w:color w:val="000000" w:themeColor="text1"/>
          <w:sz w:val="17"/>
          <w:szCs w:val="17"/>
          <w:lang w:val="en-US"/>
        </w:rPr>
        <w:t xml:space="preserve"> rhMMP-13 respectively (Figure S5B). These results combined with a detailed analysis of </w:t>
      </w:r>
      <w:r w:rsidR="0060075F" w:rsidRPr="001C4CB9">
        <w:rPr>
          <w:rFonts w:ascii="Arial" w:hAnsi="Arial" w:cs="Arial"/>
          <w:color w:val="000000" w:themeColor="text1"/>
          <w:sz w:val="17"/>
          <w:szCs w:val="17"/>
          <w:lang w:val="en-US"/>
        </w:rPr>
        <w:t>their</w:t>
      </w:r>
      <w:r w:rsidRPr="001C4CB9">
        <w:rPr>
          <w:rFonts w:ascii="Arial" w:hAnsi="Arial" w:cs="Arial"/>
          <w:color w:val="000000" w:themeColor="text1"/>
          <w:sz w:val="17"/>
          <w:szCs w:val="17"/>
          <w:lang w:val="en-US"/>
        </w:rPr>
        <w:t xml:space="preserve"> crystal structures (Figure </w:t>
      </w:r>
      <w:r w:rsidR="007155D6" w:rsidRPr="001C4CB9">
        <w:rPr>
          <w:rFonts w:ascii="Arial" w:hAnsi="Arial" w:cs="Arial"/>
          <w:color w:val="000000" w:themeColor="text1"/>
          <w:sz w:val="17"/>
          <w:szCs w:val="17"/>
          <w:lang w:val="en-US"/>
        </w:rPr>
        <w:t>4</w:t>
      </w:r>
      <w:r w:rsidRPr="001C4CB9">
        <w:rPr>
          <w:rFonts w:ascii="Arial" w:hAnsi="Arial" w:cs="Arial"/>
          <w:color w:val="000000" w:themeColor="text1"/>
          <w:sz w:val="17"/>
          <w:szCs w:val="17"/>
          <w:lang w:val="en-US"/>
        </w:rPr>
        <w:t xml:space="preserve">) enable </w:t>
      </w:r>
      <w:r w:rsidR="00F45AC2" w:rsidRPr="001C4CB9">
        <w:rPr>
          <w:rFonts w:ascii="Arial" w:hAnsi="Arial" w:cs="Arial"/>
          <w:color w:val="000000" w:themeColor="text1"/>
          <w:sz w:val="17"/>
          <w:szCs w:val="17"/>
          <w:lang w:val="en-US"/>
        </w:rPr>
        <w:t xml:space="preserve">a </w:t>
      </w:r>
      <w:r w:rsidRPr="001C4CB9">
        <w:rPr>
          <w:rFonts w:ascii="Arial" w:hAnsi="Arial" w:cs="Arial"/>
          <w:color w:val="000000" w:themeColor="text1"/>
          <w:sz w:val="17"/>
          <w:szCs w:val="17"/>
          <w:lang w:val="en-US"/>
        </w:rPr>
        <w:t>better understand</w:t>
      </w:r>
      <w:r w:rsidR="00F45AC2" w:rsidRPr="001C4CB9">
        <w:rPr>
          <w:rFonts w:ascii="Arial" w:hAnsi="Arial" w:cs="Arial"/>
          <w:color w:val="000000" w:themeColor="text1"/>
          <w:sz w:val="17"/>
          <w:szCs w:val="17"/>
          <w:lang w:val="en-US"/>
        </w:rPr>
        <w:t>ing</w:t>
      </w:r>
      <w:r w:rsidRPr="001C4CB9">
        <w:rPr>
          <w:rFonts w:ascii="Arial" w:hAnsi="Arial" w:cs="Arial"/>
          <w:color w:val="000000" w:themeColor="text1"/>
          <w:sz w:val="17"/>
          <w:szCs w:val="17"/>
          <w:lang w:val="en-US"/>
        </w:rPr>
        <w:t xml:space="preserve"> of </w:t>
      </w:r>
      <w:r w:rsidR="00F45AC2" w:rsidRPr="001C4CB9">
        <w:rPr>
          <w:rFonts w:ascii="Arial" w:hAnsi="Arial" w:cs="Arial"/>
          <w:color w:val="000000" w:themeColor="text1"/>
          <w:sz w:val="17"/>
          <w:szCs w:val="17"/>
          <w:lang w:val="en-US"/>
        </w:rPr>
        <w:t>certain</w:t>
      </w:r>
      <w:r w:rsidRPr="001C4CB9">
        <w:rPr>
          <w:rFonts w:ascii="Arial" w:hAnsi="Arial" w:cs="Arial"/>
          <w:color w:val="000000" w:themeColor="text1"/>
          <w:sz w:val="17"/>
          <w:szCs w:val="17"/>
          <w:lang w:val="en-US"/>
        </w:rPr>
        <w:t xml:space="preserve"> factors </w:t>
      </w:r>
      <w:r w:rsidR="00996147" w:rsidRPr="001C4CB9">
        <w:rPr>
          <w:rFonts w:ascii="Arial" w:hAnsi="Arial" w:cs="Arial"/>
          <w:color w:val="000000" w:themeColor="text1"/>
          <w:sz w:val="17"/>
          <w:szCs w:val="17"/>
          <w:lang w:val="en-US"/>
        </w:rPr>
        <w:t xml:space="preserve">potentially </w:t>
      </w:r>
      <w:r w:rsidRPr="001C4CB9">
        <w:rPr>
          <w:rFonts w:ascii="Arial" w:hAnsi="Arial" w:cs="Arial"/>
          <w:color w:val="000000" w:themeColor="text1"/>
          <w:sz w:val="17"/>
          <w:szCs w:val="17"/>
          <w:lang w:val="en-US"/>
        </w:rPr>
        <w:t xml:space="preserve">governing the reactivity of these </w:t>
      </w:r>
      <w:proofErr w:type="spellStart"/>
      <w:r w:rsidRPr="001C4CB9">
        <w:rPr>
          <w:rFonts w:ascii="Arial" w:hAnsi="Arial" w:cs="Arial"/>
          <w:color w:val="000000" w:themeColor="text1"/>
          <w:sz w:val="17"/>
          <w:szCs w:val="17"/>
          <w:lang w:val="en-US"/>
        </w:rPr>
        <w:t>hMMPs</w:t>
      </w:r>
      <w:proofErr w:type="spellEnd"/>
      <w:r w:rsidRPr="001C4CB9">
        <w:rPr>
          <w:rFonts w:ascii="Arial" w:hAnsi="Arial" w:cs="Arial"/>
          <w:color w:val="000000" w:themeColor="text1"/>
          <w:sz w:val="17"/>
          <w:szCs w:val="17"/>
          <w:lang w:val="en-US"/>
        </w:rPr>
        <w:t xml:space="preserve"> toward chemical probes targeting their S</w:t>
      </w:r>
      <w:r w:rsidRPr="001C4CB9">
        <w:rPr>
          <w:rFonts w:ascii="Arial" w:hAnsi="Arial" w:cs="Arial"/>
          <w:color w:val="000000" w:themeColor="text1"/>
          <w:sz w:val="17"/>
          <w:szCs w:val="17"/>
          <w:vertAlign w:val="subscript"/>
          <w:lang w:val="en-US"/>
        </w:rPr>
        <w:t>3</w:t>
      </w:r>
      <w:r w:rsidRPr="001C4CB9">
        <w:rPr>
          <w:rFonts w:ascii="Arial" w:hAnsi="Arial" w:cs="Arial"/>
          <w:color w:val="000000" w:themeColor="text1"/>
          <w:sz w:val="17"/>
          <w:szCs w:val="17"/>
          <w:lang w:val="en-US"/>
        </w:rPr>
        <w:t xml:space="preserve">’ subsites. Specifically, rhMMP-9, 12 and 13 possess reactive Lysine residues located on flexible loops, such as the upper loop (S-loop) in the case of rhMMP-12 or the </w:t>
      </w:r>
      <w:proofErr w:type="spellStart"/>
      <w:r w:rsidRPr="001C4CB9">
        <w:rPr>
          <w:rFonts w:ascii="Arial" w:hAnsi="Arial" w:cs="Arial"/>
          <w:color w:val="000000" w:themeColor="text1"/>
          <w:sz w:val="17"/>
          <w:szCs w:val="17"/>
          <w:lang w:val="en-US"/>
        </w:rPr>
        <w:t>h</w:t>
      </w:r>
      <w:r w:rsidRPr="001C4CB9">
        <w:rPr>
          <w:rFonts w:ascii="Symbol" w:hAnsi="Symbol" w:cs="Arial"/>
          <w:color w:val="000000" w:themeColor="text1"/>
          <w:sz w:val="17"/>
          <w:szCs w:val="17"/>
          <w:lang w:val="en-US"/>
        </w:rPr>
        <w:t></w:t>
      </w:r>
      <w:r w:rsidRPr="001C4CB9">
        <w:rPr>
          <w:rFonts w:ascii="Arial" w:hAnsi="Arial" w:cs="Arial"/>
          <w:color w:val="000000" w:themeColor="text1"/>
          <w:sz w:val="17"/>
          <w:szCs w:val="17"/>
          <w:lang w:val="en-US"/>
        </w:rPr>
        <w:t>B-loop</w:t>
      </w:r>
      <w:proofErr w:type="spellEnd"/>
      <w:r w:rsidRPr="001C4CB9">
        <w:rPr>
          <w:rFonts w:ascii="Arial" w:hAnsi="Arial" w:cs="Arial"/>
          <w:color w:val="000000" w:themeColor="text1"/>
          <w:sz w:val="17"/>
          <w:szCs w:val="17"/>
          <w:lang w:val="en-US"/>
        </w:rPr>
        <w:t xml:space="preserve"> connected to active site helix for rhMMP-9 and 13 (Figure </w:t>
      </w:r>
      <w:r w:rsidR="007155D6" w:rsidRPr="001C4CB9">
        <w:rPr>
          <w:rFonts w:ascii="Arial" w:hAnsi="Arial" w:cs="Arial"/>
          <w:color w:val="000000" w:themeColor="text1"/>
          <w:sz w:val="17"/>
          <w:szCs w:val="17"/>
          <w:lang w:val="en-US"/>
        </w:rPr>
        <w:t>4</w:t>
      </w:r>
      <w:r w:rsidRPr="001C4CB9">
        <w:rPr>
          <w:rFonts w:ascii="Arial" w:hAnsi="Arial" w:cs="Arial"/>
          <w:color w:val="000000" w:themeColor="text1"/>
          <w:sz w:val="17"/>
          <w:szCs w:val="17"/>
          <w:lang w:val="en-US"/>
        </w:rPr>
        <w:t xml:space="preserve">). </w:t>
      </w:r>
      <w:r w:rsidR="009C3985" w:rsidRPr="001C4CB9">
        <w:rPr>
          <w:rFonts w:ascii="Arial" w:hAnsi="Arial" w:cs="Arial"/>
          <w:color w:val="000000" w:themeColor="text1"/>
          <w:sz w:val="17"/>
          <w:szCs w:val="17"/>
          <w:lang w:val="en-US"/>
        </w:rPr>
        <w:t>Due to their particular location, those Lysine are potentially highly flexible in solution, which</w:t>
      </w:r>
      <w:r w:rsidRPr="001C4CB9">
        <w:rPr>
          <w:rFonts w:ascii="Arial" w:hAnsi="Arial" w:cs="Arial"/>
          <w:color w:val="000000" w:themeColor="text1"/>
          <w:sz w:val="17"/>
          <w:szCs w:val="17"/>
          <w:lang w:val="en-US"/>
        </w:rPr>
        <w:t xml:space="preserve"> </w:t>
      </w:r>
      <w:r w:rsidR="007E511B" w:rsidRPr="001C4CB9">
        <w:rPr>
          <w:rFonts w:ascii="Arial" w:hAnsi="Arial" w:cs="Arial"/>
          <w:color w:val="000000" w:themeColor="text1"/>
          <w:sz w:val="17"/>
          <w:szCs w:val="17"/>
          <w:lang w:val="en-US"/>
        </w:rPr>
        <w:t xml:space="preserve">may </w:t>
      </w:r>
      <w:r w:rsidR="00AA7BA1" w:rsidRPr="001C4CB9">
        <w:rPr>
          <w:rFonts w:ascii="Arial" w:hAnsi="Arial" w:cs="Arial"/>
          <w:color w:val="000000" w:themeColor="text1"/>
          <w:sz w:val="17"/>
          <w:szCs w:val="17"/>
          <w:lang w:val="en-US"/>
        </w:rPr>
        <w:t xml:space="preserve">enable a </w:t>
      </w:r>
      <w:r w:rsidRPr="001C4CB9">
        <w:rPr>
          <w:rFonts w:ascii="Arial" w:hAnsi="Arial" w:cs="Arial"/>
          <w:color w:val="000000" w:themeColor="text1"/>
          <w:sz w:val="17"/>
          <w:szCs w:val="17"/>
          <w:lang w:val="en-US"/>
        </w:rPr>
        <w:t xml:space="preserve">favorable distance and orientation between the two reactive partners for an effective reaction. Beside topological aspects and intrinsic reactivity of the chemical warhead, the local environment around the protein nucleophile can also influence its reactivity and explained substantial difference in </w:t>
      </w:r>
      <w:r w:rsidR="00D664DC" w:rsidRPr="001C4CB9">
        <w:rPr>
          <w:rFonts w:ascii="Arial" w:hAnsi="Arial" w:cs="Arial"/>
          <w:color w:val="000000" w:themeColor="text1"/>
          <w:sz w:val="17"/>
          <w:szCs w:val="17"/>
          <w:lang w:val="en-US"/>
        </w:rPr>
        <w:t>labeling between the MMPs tested</w:t>
      </w:r>
      <w:r w:rsidRPr="001C4CB9">
        <w:rPr>
          <w:rFonts w:ascii="Arial" w:hAnsi="Arial" w:cs="Arial"/>
          <w:color w:val="000000" w:themeColor="text1"/>
          <w:sz w:val="17"/>
          <w:szCs w:val="17"/>
          <w:lang w:val="en-US"/>
        </w:rPr>
        <w:t>. This is particularly well</w:t>
      </w:r>
      <w:r w:rsidR="0060075F" w:rsidRPr="001C4CB9">
        <w:rPr>
          <w:rFonts w:ascii="Arial" w:hAnsi="Arial" w:cs="Arial"/>
          <w:color w:val="000000" w:themeColor="text1"/>
          <w:sz w:val="17"/>
          <w:szCs w:val="17"/>
          <w:lang w:val="en-US"/>
        </w:rPr>
        <w:t xml:space="preserve"> </w:t>
      </w:r>
      <w:r w:rsidRPr="001C4CB9">
        <w:rPr>
          <w:rFonts w:ascii="Arial" w:hAnsi="Arial" w:cs="Arial"/>
          <w:color w:val="000000" w:themeColor="text1"/>
          <w:sz w:val="17"/>
          <w:szCs w:val="17"/>
          <w:lang w:val="en-US"/>
        </w:rPr>
        <w:t>illustrated by the labelling of rhMMP-9 occurring predominantly at Lys</w:t>
      </w:r>
      <w:r w:rsidRPr="001C4CB9">
        <w:rPr>
          <w:rFonts w:ascii="Arial" w:hAnsi="Arial" w:cs="Arial"/>
          <w:color w:val="000000" w:themeColor="text1"/>
          <w:sz w:val="17"/>
          <w:szCs w:val="17"/>
          <w:vertAlign w:val="superscript"/>
          <w:lang w:val="en-US"/>
        </w:rPr>
        <w:t>214</w:t>
      </w:r>
      <w:r w:rsidRPr="001C4CB9">
        <w:rPr>
          <w:rFonts w:ascii="Arial" w:hAnsi="Arial" w:cs="Arial"/>
          <w:color w:val="000000" w:themeColor="text1"/>
          <w:sz w:val="17"/>
          <w:szCs w:val="17"/>
          <w:lang w:val="en-US"/>
        </w:rPr>
        <w:t xml:space="preserve"> </w:t>
      </w:r>
      <w:r w:rsidR="00000D31" w:rsidRPr="001C4CB9">
        <w:rPr>
          <w:rFonts w:ascii="Arial" w:hAnsi="Arial" w:cs="Arial"/>
          <w:color w:val="000000" w:themeColor="text1"/>
          <w:sz w:val="17"/>
          <w:szCs w:val="17"/>
          <w:lang w:val="en-US"/>
        </w:rPr>
        <w:t xml:space="preserve">within the S-loop </w:t>
      </w:r>
      <w:r w:rsidRPr="001C4CB9">
        <w:rPr>
          <w:rFonts w:ascii="Arial" w:hAnsi="Arial" w:cs="Arial"/>
          <w:color w:val="000000" w:themeColor="text1"/>
          <w:sz w:val="17"/>
          <w:szCs w:val="17"/>
          <w:lang w:val="en-US"/>
        </w:rPr>
        <w:t xml:space="preserve">whereas </w:t>
      </w:r>
      <w:r w:rsidR="006B359C" w:rsidRPr="001C4CB9">
        <w:rPr>
          <w:rFonts w:ascii="Arial" w:hAnsi="Arial" w:cs="Arial"/>
          <w:color w:val="000000" w:themeColor="text1"/>
          <w:sz w:val="17"/>
          <w:szCs w:val="17"/>
          <w:lang w:val="en-US"/>
        </w:rPr>
        <w:t xml:space="preserve">this </w:t>
      </w:r>
      <w:r w:rsidR="00000D31" w:rsidRPr="001C4CB9">
        <w:rPr>
          <w:rFonts w:ascii="Arial" w:hAnsi="Arial" w:cs="Arial"/>
          <w:color w:val="000000" w:themeColor="text1"/>
          <w:sz w:val="17"/>
          <w:szCs w:val="17"/>
          <w:lang w:val="en-US"/>
        </w:rPr>
        <w:t xml:space="preserve">enzyme also </w:t>
      </w:r>
      <w:r w:rsidRPr="001C4CB9">
        <w:rPr>
          <w:rFonts w:ascii="Arial" w:hAnsi="Arial" w:cs="Arial"/>
          <w:color w:val="000000" w:themeColor="text1"/>
          <w:sz w:val="17"/>
          <w:szCs w:val="17"/>
          <w:lang w:val="en-US"/>
        </w:rPr>
        <w:t xml:space="preserve">possesses a </w:t>
      </w:r>
      <w:r w:rsidR="00000D31" w:rsidRPr="001C4CB9">
        <w:rPr>
          <w:rFonts w:ascii="Arial" w:hAnsi="Arial" w:cs="Arial"/>
          <w:color w:val="000000" w:themeColor="text1"/>
          <w:sz w:val="17"/>
          <w:szCs w:val="17"/>
          <w:lang w:val="en-US"/>
        </w:rPr>
        <w:t>Lysine (</w:t>
      </w:r>
      <w:r w:rsidRPr="001C4CB9">
        <w:rPr>
          <w:rFonts w:ascii="Arial" w:hAnsi="Arial" w:cs="Arial"/>
          <w:color w:val="000000" w:themeColor="text1"/>
          <w:sz w:val="17"/>
          <w:szCs w:val="17"/>
          <w:lang w:val="en-US"/>
        </w:rPr>
        <w:t>Lys</w:t>
      </w:r>
      <w:r w:rsidRPr="001C4CB9">
        <w:rPr>
          <w:rFonts w:ascii="Arial" w:hAnsi="Arial" w:cs="Arial"/>
          <w:color w:val="000000" w:themeColor="text1"/>
          <w:sz w:val="17"/>
          <w:szCs w:val="17"/>
          <w:vertAlign w:val="superscript"/>
          <w:lang w:val="en-US"/>
        </w:rPr>
        <w:t>184</w:t>
      </w:r>
      <w:r w:rsidR="00000D31" w:rsidRPr="001C4CB9">
        <w:rPr>
          <w:rFonts w:ascii="Arial" w:hAnsi="Arial" w:cs="Arial"/>
          <w:color w:val="000000" w:themeColor="text1"/>
          <w:sz w:val="17"/>
          <w:szCs w:val="17"/>
          <w:lang w:val="en-US"/>
        </w:rPr>
        <w:t xml:space="preserve">) </w:t>
      </w:r>
      <w:r w:rsidRPr="001C4CB9">
        <w:rPr>
          <w:rFonts w:ascii="Arial" w:hAnsi="Arial" w:cs="Arial"/>
          <w:color w:val="000000" w:themeColor="text1"/>
          <w:sz w:val="17"/>
          <w:szCs w:val="17"/>
          <w:lang w:val="en-US"/>
        </w:rPr>
        <w:t xml:space="preserve">in comparable position to the reactive </w:t>
      </w:r>
      <w:r w:rsidR="00E73FA6" w:rsidRPr="001C4CB9">
        <w:rPr>
          <w:rFonts w:ascii="Arial" w:hAnsi="Arial" w:cs="Arial"/>
          <w:color w:val="000000" w:themeColor="text1"/>
          <w:sz w:val="17"/>
          <w:szCs w:val="17"/>
          <w:lang w:val="en-US"/>
        </w:rPr>
        <w:t xml:space="preserve">rhMMP-12 </w:t>
      </w:r>
      <w:r w:rsidRPr="001C4CB9">
        <w:rPr>
          <w:rFonts w:ascii="Arial" w:hAnsi="Arial" w:cs="Arial"/>
          <w:color w:val="000000" w:themeColor="text1"/>
          <w:sz w:val="17"/>
          <w:szCs w:val="17"/>
          <w:lang w:val="en-US"/>
        </w:rPr>
        <w:t>Lys</w:t>
      </w:r>
      <w:r w:rsidRPr="001C4CB9">
        <w:rPr>
          <w:rFonts w:ascii="Arial" w:hAnsi="Arial" w:cs="Arial"/>
          <w:color w:val="000000" w:themeColor="text1"/>
          <w:sz w:val="17"/>
          <w:szCs w:val="17"/>
          <w:vertAlign w:val="superscript"/>
          <w:lang w:val="en-US"/>
        </w:rPr>
        <w:t>177</w:t>
      </w:r>
      <w:r w:rsidRPr="001C4CB9">
        <w:rPr>
          <w:rFonts w:ascii="Arial" w:hAnsi="Arial" w:cs="Arial"/>
          <w:color w:val="000000" w:themeColor="text1"/>
          <w:sz w:val="17"/>
          <w:szCs w:val="17"/>
          <w:lang w:val="en-US"/>
        </w:rPr>
        <w:t xml:space="preserve">. Absence of reactivity of </w:t>
      </w:r>
      <w:r w:rsidR="00E73FA6" w:rsidRPr="001C4CB9">
        <w:rPr>
          <w:rFonts w:ascii="Arial" w:hAnsi="Arial" w:cs="Arial"/>
          <w:color w:val="000000" w:themeColor="text1"/>
          <w:sz w:val="17"/>
          <w:szCs w:val="17"/>
          <w:lang w:val="en-US"/>
        </w:rPr>
        <w:t xml:space="preserve">rhMMP-2 </w:t>
      </w:r>
      <w:r w:rsidRPr="001C4CB9">
        <w:rPr>
          <w:rFonts w:ascii="Arial" w:hAnsi="Arial" w:cs="Arial"/>
          <w:color w:val="000000" w:themeColor="text1"/>
          <w:sz w:val="17"/>
          <w:szCs w:val="17"/>
          <w:lang w:val="en-US"/>
        </w:rPr>
        <w:t>Lys</w:t>
      </w:r>
      <w:r w:rsidRPr="001C4CB9">
        <w:rPr>
          <w:rFonts w:ascii="Arial" w:hAnsi="Arial" w:cs="Arial"/>
          <w:color w:val="000000" w:themeColor="text1"/>
          <w:sz w:val="17"/>
          <w:szCs w:val="17"/>
          <w:vertAlign w:val="superscript"/>
          <w:lang w:val="en-US"/>
        </w:rPr>
        <w:t>187</w:t>
      </w:r>
      <w:r w:rsidRPr="001C4CB9">
        <w:rPr>
          <w:rFonts w:ascii="Arial" w:hAnsi="Arial" w:cs="Arial"/>
          <w:color w:val="000000" w:themeColor="text1"/>
          <w:sz w:val="17"/>
          <w:szCs w:val="17"/>
          <w:lang w:val="en-US"/>
        </w:rPr>
        <w:t xml:space="preserve"> situated at </w:t>
      </w:r>
      <w:r w:rsidR="00E73FA6" w:rsidRPr="001C4CB9">
        <w:rPr>
          <w:rFonts w:ascii="Arial" w:hAnsi="Arial" w:cs="Arial"/>
          <w:color w:val="000000" w:themeColor="text1"/>
          <w:sz w:val="17"/>
          <w:szCs w:val="17"/>
          <w:lang w:val="en-US"/>
        </w:rPr>
        <w:t>a similar</w:t>
      </w:r>
      <w:r w:rsidRPr="001C4CB9">
        <w:rPr>
          <w:rFonts w:ascii="Arial" w:hAnsi="Arial" w:cs="Arial"/>
          <w:color w:val="000000" w:themeColor="text1"/>
          <w:sz w:val="17"/>
          <w:szCs w:val="17"/>
          <w:lang w:val="en-US"/>
        </w:rPr>
        <w:t xml:space="preserve"> position may also attest </w:t>
      </w:r>
      <w:r w:rsidR="00E73FA6" w:rsidRPr="001C4CB9">
        <w:rPr>
          <w:rFonts w:ascii="Arial" w:hAnsi="Arial" w:cs="Arial"/>
          <w:color w:val="000000" w:themeColor="text1"/>
          <w:sz w:val="17"/>
          <w:szCs w:val="17"/>
          <w:lang w:val="en-US"/>
        </w:rPr>
        <w:t xml:space="preserve">to </w:t>
      </w:r>
      <w:r w:rsidRPr="001C4CB9">
        <w:rPr>
          <w:rFonts w:ascii="Arial" w:hAnsi="Arial" w:cs="Arial"/>
          <w:color w:val="000000" w:themeColor="text1"/>
          <w:sz w:val="17"/>
          <w:szCs w:val="17"/>
          <w:lang w:val="en-US"/>
        </w:rPr>
        <w:t xml:space="preserve">the pivotal role </w:t>
      </w:r>
      <w:r w:rsidR="00E73FA6" w:rsidRPr="001C4CB9">
        <w:rPr>
          <w:rFonts w:ascii="Arial" w:hAnsi="Arial" w:cs="Arial"/>
          <w:color w:val="000000" w:themeColor="text1"/>
          <w:sz w:val="17"/>
          <w:szCs w:val="17"/>
          <w:lang w:val="en-US"/>
        </w:rPr>
        <w:t>of</w:t>
      </w:r>
      <w:r w:rsidRPr="001C4CB9">
        <w:rPr>
          <w:rFonts w:ascii="Arial" w:hAnsi="Arial" w:cs="Arial"/>
          <w:color w:val="000000" w:themeColor="text1"/>
          <w:sz w:val="17"/>
          <w:szCs w:val="17"/>
          <w:lang w:val="en-US"/>
        </w:rPr>
        <w:t xml:space="preserve"> surrounding </w:t>
      </w:r>
      <w:r w:rsidR="00E73FA6" w:rsidRPr="001C4CB9">
        <w:rPr>
          <w:rFonts w:ascii="Arial" w:hAnsi="Arial" w:cs="Arial"/>
          <w:color w:val="000000" w:themeColor="text1"/>
          <w:sz w:val="17"/>
          <w:szCs w:val="17"/>
          <w:lang w:val="en-US"/>
        </w:rPr>
        <w:t>amino acids</w:t>
      </w:r>
      <w:r w:rsidRPr="001C4CB9">
        <w:rPr>
          <w:rFonts w:ascii="Arial" w:hAnsi="Arial" w:cs="Arial"/>
          <w:color w:val="000000" w:themeColor="text1"/>
          <w:sz w:val="17"/>
          <w:szCs w:val="17"/>
          <w:lang w:val="en-US"/>
        </w:rPr>
        <w:t>.</w:t>
      </w:r>
      <w:r w:rsidR="00E73FA6" w:rsidRPr="001C4CB9">
        <w:rPr>
          <w:rFonts w:ascii="Arial" w:hAnsi="Arial" w:cs="Arial"/>
          <w:color w:val="000000" w:themeColor="text1"/>
          <w:sz w:val="17"/>
          <w:szCs w:val="17"/>
          <w:lang w:val="en-US"/>
        </w:rPr>
        <w:t xml:space="preserve"> Thus, t</w:t>
      </w:r>
      <w:r w:rsidRPr="001C4CB9">
        <w:rPr>
          <w:rFonts w:ascii="Arial" w:hAnsi="Arial" w:cs="Arial"/>
          <w:color w:val="000000" w:themeColor="text1"/>
          <w:sz w:val="17"/>
          <w:szCs w:val="17"/>
          <w:lang w:val="en-US"/>
        </w:rPr>
        <w:t>he presence of an acid aspartic residue adjacent to Lys</w:t>
      </w:r>
      <w:r w:rsidRPr="001C4CB9">
        <w:rPr>
          <w:rFonts w:ascii="Arial" w:hAnsi="Arial" w:cs="Arial"/>
          <w:color w:val="000000" w:themeColor="text1"/>
          <w:sz w:val="17"/>
          <w:szCs w:val="17"/>
          <w:vertAlign w:val="superscript"/>
          <w:lang w:val="en-US"/>
        </w:rPr>
        <w:t xml:space="preserve">187 </w:t>
      </w:r>
      <w:r w:rsidRPr="001C4CB9">
        <w:rPr>
          <w:rFonts w:ascii="Arial" w:hAnsi="Arial" w:cs="Arial"/>
          <w:color w:val="000000" w:themeColor="text1"/>
          <w:sz w:val="17"/>
          <w:szCs w:val="17"/>
          <w:lang w:val="en-US"/>
        </w:rPr>
        <w:t xml:space="preserve">(rhMMP-2) </w:t>
      </w:r>
      <w:r w:rsidR="00261264" w:rsidRPr="001C4CB9">
        <w:rPr>
          <w:rFonts w:ascii="Arial" w:hAnsi="Arial" w:cs="Arial"/>
          <w:color w:val="000000" w:themeColor="text1"/>
          <w:sz w:val="17"/>
          <w:szCs w:val="17"/>
          <w:lang w:val="en-US"/>
        </w:rPr>
        <w:t>or</w:t>
      </w:r>
      <w:r w:rsidRPr="001C4CB9">
        <w:rPr>
          <w:rFonts w:ascii="Arial" w:hAnsi="Arial" w:cs="Arial"/>
          <w:color w:val="000000" w:themeColor="text1"/>
          <w:sz w:val="17"/>
          <w:szCs w:val="17"/>
          <w:lang w:val="en-US"/>
        </w:rPr>
        <w:t xml:space="preserve"> Lys</w:t>
      </w:r>
      <w:r w:rsidRPr="001C4CB9">
        <w:rPr>
          <w:rFonts w:ascii="Arial" w:hAnsi="Arial" w:cs="Arial"/>
          <w:color w:val="000000" w:themeColor="text1"/>
          <w:sz w:val="17"/>
          <w:szCs w:val="17"/>
          <w:vertAlign w:val="superscript"/>
          <w:lang w:val="en-US"/>
        </w:rPr>
        <w:t>184</w:t>
      </w:r>
      <w:r w:rsidRPr="001C4CB9">
        <w:rPr>
          <w:rFonts w:ascii="Arial" w:hAnsi="Arial" w:cs="Arial"/>
          <w:color w:val="000000" w:themeColor="text1"/>
          <w:sz w:val="17"/>
          <w:szCs w:val="17"/>
          <w:lang w:val="en-US"/>
        </w:rPr>
        <w:t xml:space="preserve"> (rhMMP-9) may </w:t>
      </w:r>
      <w:r w:rsidR="00000D31" w:rsidRPr="001C4CB9">
        <w:rPr>
          <w:rFonts w:ascii="Arial" w:hAnsi="Arial" w:cs="Arial"/>
          <w:color w:val="000000" w:themeColor="text1"/>
          <w:sz w:val="17"/>
          <w:szCs w:val="17"/>
          <w:lang w:val="en-US"/>
        </w:rPr>
        <w:t>reduce</w:t>
      </w:r>
      <w:r w:rsidRPr="001C4CB9">
        <w:rPr>
          <w:rFonts w:ascii="Arial" w:hAnsi="Arial" w:cs="Arial"/>
          <w:color w:val="000000" w:themeColor="text1"/>
          <w:sz w:val="17"/>
          <w:szCs w:val="17"/>
          <w:lang w:val="en-US"/>
        </w:rPr>
        <w:t xml:space="preserve"> </w:t>
      </w:r>
      <w:r w:rsidR="00000D31" w:rsidRPr="001C4CB9">
        <w:rPr>
          <w:rFonts w:ascii="Arial" w:hAnsi="Arial" w:cs="Arial"/>
          <w:color w:val="000000" w:themeColor="text1"/>
          <w:sz w:val="17"/>
          <w:szCs w:val="17"/>
          <w:lang w:val="en-US"/>
        </w:rPr>
        <w:t>the</w:t>
      </w:r>
      <w:r w:rsidRPr="001C4CB9">
        <w:rPr>
          <w:rFonts w:ascii="Arial" w:hAnsi="Arial" w:cs="Arial"/>
          <w:color w:val="000000" w:themeColor="text1"/>
          <w:sz w:val="17"/>
          <w:szCs w:val="17"/>
          <w:lang w:val="en-US"/>
        </w:rPr>
        <w:t xml:space="preserve"> nucleophilic character of Lysine </w:t>
      </w:r>
      <w:r w:rsidRPr="001C4CB9">
        <w:rPr>
          <w:rFonts w:ascii="Symbol" w:hAnsi="Symbol" w:cs="Arial"/>
          <w:color w:val="000000" w:themeColor="text1"/>
          <w:sz w:val="17"/>
          <w:szCs w:val="17"/>
          <w:lang w:val="en-US"/>
        </w:rPr>
        <w:t></w:t>
      </w:r>
      <w:r w:rsidRPr="001C4CB9">
        <w:rPr>
          <w:rFonts w:ascii="Arial" w:hAnsi="Arial" w:cs="Arial"/>
          <w:color w:val="000000" w:themeColor="text1"/>
          <w:sz w:val="17"/>
          <w:szCs w:val="17"/>
          <w:lang w:val="en-US"/>
        </w:rPr>
        <w:t xml:space="preserve">-amino group by bridging it under its protonated state. Overall, our results constitute to our knowledge the first example of a ligand-directed chemistry validated in the context of a family of proteins whose members are structurally very close. </w:t>
      </w:r>
    </w:p>
    <w:p w:rsidR="004A4ED1" w:rsidRPr="001C4CB9" w:rsidRDefault="0057742D" w:rsidP="004A4ED1">
      <w:pPr>
        <w:spacing w:line="225" w:lineRule="exact"/>
        <w:jc w:val="both"/>
        <w:rPr>
          <w:rFonts w:ascii="Arial" w:hAnsi="Arial" w:cs="Arial"/>
          <w:sz w:val="17"/>
          <w:szCs w:val="17"/>
          <w:lang w:val="en-US"/>
        </w:rPr>
        <w:sectPr w:rsidR="004A4ED1" w:rsidRPr="001C4CB9" w:rsidSect="002D1701">
          <w:type w:val="continuous"/>
          <w:pgSz w:w="11906" w:h="16838" w:code="9"/>
          <w:pgMar w:top="1673" w:right="936" w:bottom="1134" w:left="936" w:header="709" w:footer="709" w:gutter="0"/>
          <w:cols w:num="2" w:space="709"/>
          <w:docGrid w:linePitch="360"/>
        </w:sectPr>
      </w:pPr>
      <w:r w:rsidRPr="001C4CB9">
        <w:rPr>
          <w:rFonts w:ascii="Arial" w:hAnsi="Arial" w:cs="Arial"/>
          <w:sz w:val="17"/>
          <w:szCs w:val="17"/>
          <w:lang w:val="en-US"/>
        </w:rPr>
        <w:t xml:space="preserve">We then evaluated the reactivity and selectivity of probes </w:t>
      </w:r>
      <w:r w:rsidRPr="001C4CB9">
        <w:rPr>
          <w:rFonts w:ascii="Arial" w:hAnsi="Arial" w:cs="Arial"/>
          <w:b/>
          <w:sz w:val="17"/>
          <w:szCs w:val="17"/>
          <w:lang w:val="en-US"/>
        </w:rPr>
        <w:t>1</w:t>
      </w:r>
      <w:r w:rsidRPr="001C4CB9">
        <w:rPr>
          <w:rFonts w:ascii="Arial" w:hAnsi="Arial" w:cs="Arial"/>
          <w:sz w:val="17"/>
          <w:szCs w:val="17"/>
          <w:lang w:val="en-US"/>
        </w:rPr>
        <w:t xml:space="preserve"> and </w:t>
      </w:r>
      <w:r w:rsidRPr="001C4CB9">
        <w:rPr>
          <w:rFonts w:ascii="Arial" w:hAnsi="Arial" w:cs="Arial"/>
          <w:b/>
          <w:sz w:val="17"/>
          <w:szCs w:val="17"/>
          <w:lang w:val="en-US"/>
        </w:rPr>
        <w:t>2</w:t>
      </w:r>
      <w:r w:rsidRPr="001C4CB9">
        <w:rPr>
          <w:rFonts w:ascii="Arial" w:hAnsi="Arial" w:cs="Arial"/>
          <w:sz w:val="17"/>
          <w:szCs w:val="17"/>
          <w:lang w:val="en-US"/>
        </w:rPr>
        <w:t xml:space="preserve"> (100 </w:t>
      </w:r>
      <w:proofErr w:type="spellStart"/>
      <w:r w:rsidRPr="001C4CB9">
        <w:rPr>
          <w:rFonts w:ascii="Arial" w:hAnsi="Arial" w:cs="Arial"/>
          <w:sz w:val="17"/>
          <w:szCs w:val="17"/>
          <w:lang w:val="en-US"/>
        </w:rPr>
        <w:t>nM</w:t>
      </w:r>
      <w:proofErr w:type="spellEnd"/>
      <w:r w:rsidRPr="001C4CB9">
        <w:rPr>
          <w:rFonts w:ascii="Arial" w:hAnsi="Arial" w:cs="Arial"/>
          <w:sz w:val="17"/>
          <w:szCs w:val="17"/>
          <w:lang w:val="en-US"/>
        </w:rPr>
        <w:t>) toward rhMMP-12 spiked into model proteomes ranging from pure Human serum albumin to biological samples such as cells lysate (</w:t>
      </w:r>
      <w:proofErr w:type="spellStart"/>
      <w:r w:rsidRPr="001C4CB9">
        <w:rPr>
          <w:rFonts w:ascii="Arial" w:hAnsi="Arial" w:cs="Arial"/>
          <w:sz w:val="17"/>
          <w:szCs w:val="17"/>
          <w:lang w:val="en-US"/>
        </w:rPr>
        <w:t>Hek</w:t>
      </w:r>
      <w:proofErr w:type="spellEnd"/>
      <w:r w:rsidRPr="001C4CB9">
        <w:rPr>
          <w:rFonts w:ascii="Arial" w:hAnsi="Arial" w:cs="Arial"/>
          <w:sz w:val="17"/>
          <w:szCs w:val="17"/>
          <w:lang w:val="en-US"/>
        </w:rPr>
        <w:t xml:space="preserve">), 4T1-mouse tumor and mouse-liver extracts. As shown in Figure </w:t>
      </w:r>
      <w:r w:rsidR="003B56FF" w:rsidRPr="001C4CB9">
        <w:rPr>
          <w:rFonts w:ascii="Arial" w:hAnsi="Arial" w:cs="Arial"/>
          <w:sz w:val="17"/>
          <w:szCs w:val="17"/>
          <w:lang w:val="en-US"/>
        </w:rPr>
        <w:t>5</w:t>
      </w:r>
      <w:r w:rsidRPr="001C4CB9">
        <w:rPr>
          <w:rFonts w:ascii="Arial" w:hAnsi="Arial" w:cs="Arial"/>
          <w:sz w:val="17"/>
          <w:szCs w:val="17"/>
          <w:lang w:val="en-US"/>
        </w:rPr>
        <w:t xml:space="preserve">A, we clearly demonstrated from </w:t>
      </w:r>
      <w:r w:rsidR="006410AC" w:rsidRPr="001C4CB9">
        <w:rPr>
          <w:rFonts w:ascii="Arial" w:hAnsi="Arial" w:cs="Arial"/>
          <w:sz w:val="17"/>
          <w:szCs w:val="17"/>
          <w:lang w:val="en-US"/>
        </w:rPr>
        <w:t>a</w:t>
      </w:r>
      <w:r w:rsidRPr="001C4CB9">
        <w:rPr>
          <w:rFonts w:ascii="Arial" w:hAnsi="Arial" w:cs="Arial"/>
          <w:sz w:val="17"/>
          <w:szCs w:val="17"/>
          <w:lang w:val="en-US"/>
        </w:rPr>
        <w:t xml:space="preserve"> whole proteome</w:t>
      </w:r>
      <w:r w:rsidR="006410AC" w:rsidRPr="001C4CB9">
        <w:rPr>
          <w:rFonts w:ascii="Arial" w:hAnsi="Arial" w:cs="Arial"/>
          <w:sz w:val="17"/>
          <w:szCs w:val="17"/>
          <w:lang w:val="en-US"/>
        </w:rPr>
        <w:t xml:space="preserve"> (1mg/mL)</w:t>
      </w:r>
      <w:r w:rsidRPr="001C4CB9">
        <w:rPr>
          <w:rFonts w:ascii="Arial" w:hAnsi="Arial" w:cs="Arial"/>
          <w:sz w:val="17"/>
          <w:szCs w:val="17"/>
          <w:lang w:val="en-US"/>
        </w:rPr>
        <w:t xml:space="preserve"> containing 0.07% (w/w) of rhMMP-12 (40 </w:t>
      </w:r>
      <w:proofErr w:type="spellStart"/>
      <w:r w:rsidRPr="001C4CB9">
        <w:rPr>
          <w:rFonts w:ascii="Arial" w:hAnsi="Arial" w:cs="Arial"/>
          <w:sz w:val="17"/>
          <w:szCs w:val="17"/>
          <w:lang w:val="en-US"/>
        </w:rPr>
        <w:t>nM</w:t>
      </w:r>
      <w:proofErr w:type="spellEnd"/>
      <w:r w:rsidRPr="001C4CB9">
        <w:rPr>
          <w:rFonts w:ascii="Arial" w:hAnsi="Arial" w:cs="Arial"/>
          <w:sz w:val="17"/>
          <w:szCs w:val="17"/>
          <w:lang w:val="en-US"/>
        </w:rPr>
        <w:t xml:space="preserve">, 680 ng/mL) that both probes </w:t>
      </w:r>
      <w:r w:rsidR="00935751" w:rsidRPr="001C4CB9">
        <w:rPr>
          <w:rFonts w:ascii="Arial" w:hAnsi="Arial" w:cs="Arial"/>
          <w:sz w:val="17"/>
          <w:szCs w:val="17"/>
          <w:lang w:val="en-US"/>
        </w:rPr>
        <w:t xml:space="preserve">could </w:t>
      </w:r>
      <w:r w:rsidRPr="001C4CB9">
        <w:rPr>
          <w:rFonts w:ascii="Arial" w:hAnsi="Arial" w:cs="Arial"/>
          <w:sz w:val="17"/>
          <w:szCs w:val="17"/>
          <w:lang w:val="en-US"/>
        </w:rPr>
        <w:t>label</w:t>
      </w:r>
      <w:r w:rsidR="00935751" w:rsidRPr="001C4CB9">
        <w:rPr>
          <w:rFonts w:ascii="Arial" w:hAnsi="Arial" w:cs="Arial"/>
          <w:sz w:val="17"/>
          <w:szCs w:val="17"/>
          <w:lang w:val="en-US"/>
        </w:rPr>
        <w:t xml:space="preserve"> </w:t>
      </w:r>
      <w:r w:rsidRPr="001C4CB9">
        <w:rPr>
          <w:rFonts w:ascii="Arial" w:hAnsi="Arial" w:cs="Arial"/>
          <w:sz w:val="17"/>
          <w:szCs w:val="17"/>
          <w:lang w:val="en-US"/>
        </w:rPr>
        <w:t xml:space="preserve">efficiently rhMMP-12 (lanes A to J). </w:t>
      </w:r>
      <w:r w:rsidR="00F73BC5" w:rsidRPr="001C4CB9">
        <w:rPr>
          <w:rFonts w:ascii="Arial" w:hAnsi="Arial" w:cs="Arial"/>
          <w:sz w:val="17"/>
          <w:szCs w:val="17"/>
          <w:lang w:val="en-US"/>
        </w:rPr>
        <w:t xml:space="preserve">Such a range of </w:t>
      </w:r>
      <w:r w:rsidRPr="001C4CB9">
        <w:rPr>
          <w:rFonts w:ascii="Arial" w:hAnsi="Arial" w:cs="Arial"/>
          <w:sz w:val="17"/>
          <w:szCs w:val="17"/>
          <w:lang w:val="en-US"/>
        </w:rPr>
        <w:t xml:space="preserve">sensitivity </w:t>
      </w:r>
      <w:r w:rsidR="00F73BC5" w:rsidRPr="001C4CB9">
        <w:rPr>
          <w:rFonts w:ascii="Arial" w:hAnsi="Arial" w:cs="Arial"/>
          <w:sz w:val="17"/>
          <w:szCs w:val="17"/>
          <w:lang w:val="en-US"/>
        </w:rPr>
        <w:t xml:space="preserve">is fully </w:t>
      </w:r>
      <w:r w:rsidR="006410AC" w:rsidRPr="001C4CB9">
        <w:rPr>
          <w:rFonts w:ascii="Arial" w:hAnsi="Arial" w:cs="Arial"/>
          <w:sz w:val="17"/>
          <w:szCs w:val="17"/>
          <w:lang w:val="en-US"/>
        </w:rPr>
        <w:t xml:space="preserve">compatible with </w:t>
      </w:r>
      <w:r w:rsidRPr="001C4CB9">
        <w:rPr>
          <w:rFonts w:ascii="Arial" w:hAnsi="Arial" w:cs="Arial"/>
          <w:sz w:val="17"/>
          <w:szCs w:val="17"/>
          <w:lang w:val="en-US"/>
        </w:rPr>
        <w:t>the profiling of low-abundance proteins in biological samples of high complexity</w:t>
      </w:r>
      <w:r w:rsidR="006410AC" w:rsidRPr="001C4CB9">
        <w:rPr>
          <w:rFonts w:ascii="Arial" w:hAnsi="Arial" w:cs="Arial"/>
          <w:sz w:val="17"/>
          <w:szCs w:val="17"/>
          <w:lang w:val="en-US"/>
        </w:rPr>
        <w:fldChar w:fldCharType="begin"/>
      </w:r>
      <w:r w:rsidR="006410AC" w:rsidRPr="001C4CB9">
        <w:rPr>
          <w:rFonts w:ascii="Arial" w:hAnsi="Arial" w:cs="Arial"/>
          <w:sz w:val="17"/>
          <w:szCs w:val="17"/>
          <w:lang w:val="en-US"/>
        </w:rPr>
        <w:instrText xml:space="preserve"> ADDIN ZOTERO_ITEM CSL_CITATION {"citationID":"S2jXnMm9","properties":{"formattedCitation":"\\super [15]\\nosupersub{}","plainCitation":"[15]","noteIndex":0},"citationItems":[{"id":427,"uris":["http://zotero.org/users/local/t888UWzB/items/TZRQGUKV"],"uri":["http://zotero.org/users/local/t888UWzB/items/TZRQGUKV"],"itemData":{"id":427,"type":"article-journal","abstract":"Metalloproteases (MPs) are a large and diverse class of enzymes implicated in numerous physiological and pathological processes, including tissue remodeling, peptide hormone processing, and cancer. MPs are tightly regulated by multiple posttranslational mechanisms in vivo, hindering their functional analysis by conventional genomic and proteomic methods. Here we describe a general strategy for creating activity-based proteomic probes for MPs by coupling a zinc-chelating hydroxamate to a benzophenone photocrosslinker, which promote selective binding and modification of MP active sites, respectively. These probes labeled active MPs but not their zymogen or inhibitor-bound counterparts and were used to identify members of this enzyme class up-regulated in invasive cancer cells and to evaluate the selectivity of MP inhibitors in whole proteomes. Interestingly, the matrix metalloproteinase inhibitor GM6001 (ilomastat), which is currently in clinical development, was found to also target the neprilysin, aminopeptidase, and dipeptidylpeptidase clans of MPs. These results demonstrate that MPs can display overlapping inhibitor sensitivities despite lacking sequence homology and stress the need to evaluate MP inhibitors broadly across this enzyme class to develop agents with suitable target selectivities in vivo. Activity-based profiling offers a powerful means for conducting such screens, as this approach can be carried out directly in whole proteomes, thereby facilitating the discovery of disease-associated MPs concurrently with inhibitors that selectively target these proteins.","container-title":"Proceedings of the National Academy of Sciences of the United States of America","DOI":"10.1073/pnas.0402784101","ISSN":"0027-8424","issue":"27","journalAbbreviation":"Proc. Natl. Acad. Sci. U.S.A.","language":"eng","note":"PMID: 15220480\nPMCID: PMC454150","page":"10000-10005","source":"PubMed","title":"Activity-based probes for the proteomic profiling of metalloproteases","volume":"101","author":[{"family":"Saghatelian","given":"Alan"},{"family":"Jessani","given":"Nadim"},{"family":"Joseph","given":"Arul"},{"family":"Humphrey","given":"Mark"},{"family":"Cravatt","given":"Benjamin F."}],"issued":{"date-parts":[["2004",7,6]]}}}],"schema":"https://github.com/citation-style-language/schema/raw/master/csl-citation.json"} </w:instrText>
      </w:r>
      <w:r w:rsidR="006410AC" w:rsidRPr="001C4CB9">
        <w:rPr>
          <w:rFonts w:ascii="Arial" w:hAnsi="Arial" w:cs="Arial"/>
          <w:sz w:val="17"/>
          <w:szCs w:val="17"/>
          <w:lang w:val="en-US"/>
        </w:rPr>
        <w:fldChar w:fldCharType="separate"/>
      </w:r>
      <w:r w:rsidR="006410AC" w:rsidRPr="001C4CB9">
        <w:rPr>
          <w:rFonts w:ascii="Arial" w:hAnsi="Arial" w:cs="Arial"/>
          <w:sz w:val="17"/>
          <w:vertAlign w:val="superscript"/>
          <w:lang w:val="en-US"/>
        </w:rPr>
        <w:t>[15]</w:t>
      </w:r>
      <w:r w:rsidR="006410AC" w:rsidRPr="001C4CB9">
        <w:rPr>
          <w:rFonts w:ascii="Arial" w:hAnsi="Arial" w:cs="Arial"/>
          <w:sz w:val="17"/>
          <w:szCs w:val="17"/>
          <w:lang w:val="en-US"/>
        </w:rPr>
        <w:fldChar w:fldCharType="end"/>
      </w:r>
      <w:r w:rsidRPr="001C4CB9">
        <w:rPr>
          <w:rFonts w:ascii="Arial" w:hAnsi="Arial" w:cs="Arial"/>
          <w:sz w:val="17"/>
          <w:szCs w:val="17"/>
          <w:lang w:val="en-US"/>
        </w:rPr>
        <w:t>. These experiments also highlight</w:t>
      </w:r>
      <w:r w:rsidR="006410AC" w:rsidRPr="001C4CB9">
        <w:rPr>
          <w:rFonts w:ascii="Arial" w:hAnsi="Arial" w:cs="Arial"/>
          <w:sz w:val="17"/>
          <w:szCs w:val="17"/>
          <w:lang w:val="en-US"/>
        </w:rPr>
        <w:t xml:space="preserve">ed </w:t>
      </w:r>
      <w:r w:rsidRPr="001C4CB9">
        <w:rPr>
          <w:rFonts w:ascii="Arial" w:hAnsi="Arial" w:cs="Arial"/>
          <w:sz w:val="17"/>
          <w:szCs w:val="17"/>
          <w:lang w:val="en-US"/>
        </w:rPr>
        <w:t>that the two probes possessed strictly distinct off-target</w:t>
      </w:r>
      <w:r w:rsidR="006A3CEB" w:rsidRPr="001C4CB9">
        <w:rPr>
          <w:rFonts w:ascii="Arial" w:hAnsi="Arial" w:cs="Arial"/>
          <w:sz w:val="17"/>
          <w:szCs w:val="17"/>
          <w:lang w:val="en-US"/>
        </w:rPr>
        <w:t>s</w:t>
      </w:r>
      <w:r w:rsidRPr="001C4CB9">
        <w:rPr>
          <w:rFonts w:ascii="Arial" w:hAnsi="Arial" w:cs="Arial"/>
          <w:sz w:val="17"/>
          <w:szCs w:val="17"/>
          <w:lang w:val="en-US"/>
        </w:rPr>
        <w:t xml:space="preserve"> labeling</w:t>
      </w:r>
      <w:r w:rsidR="00F73BC5" w:rsidRPr="001C4CB9">
        <w:rPr>
          <w:rFonts w:ascii="Arial" w:hAnsi="Arial" w:cs="Arial"/>
          <w:sz w:val="17"/>
          <w:szCs w:val="17"/>
          <w:lang w:val="en-US"/>
        </w:rPr>
        <w:t xml:space="preserve"> profiles</w:t>
      </w:r>
      <w:r w:rsidRPr="001C4CB9">
        <w:rPr>
          <w:rFonts w:ascii="Arial" w:hAnsi="Arial" w:cs="Arial"/>
          <w:sz w:val="17"/>
          <w:szCs w:val="17"/>
          <w:lang w:val="en-US"/>
        </w:rPr>
        <w:t xml:space="preserve">. Remarkably, probe </w:t>
      </w:r>
      <w:r w:rsidRPr="001C4CB9">
        <w:rPr>
          <w:rFonts w:ascii="Arial" w:hAnsi="Arial" w:cs="Arial"/>
          <w:b/>
          <w:sz w:val="17"/>
          <w:szCs w:val="17"/>
          <w:lang w:val="en-US"/>
        </w:rPr>
        <w:t>1</w:t>
      </w:r>
      <w:r w:rsidRPr="001C4CB9">
        <w:rPr>
          <w:rFonts w:ascii="Arial" w:hAnsi="Arial" w:cs="Arial"/>
          <w:sz w:val="17"/>
          <w:szCs w:val="17"/>
          <w:lang w:val="en-US"/>
        </w:rPr>
        <w:t xml:space="preserve"> almost exclusively reacted with rhMMP-12 independently of the </w:t>
      </w:r>
      <w:r w:rsidRPr="001C4CB9">
        <w:rPr>
          <w:rFonts w:ascii="Arial" w:hAnsi="Arial" w:cs="Arial"/>
          <w:sz w:val="17"/>
          <w:szCs w:val="17"/>
          <w:lang w:val="en-US"/>
        </w:rPr>
        <w:lastRenderedPageBreak/>
        <w:t>proteome nature (</w:t>
      </w:r>
      <w:r w:rsidR="003B56FF" w:rsidRPr="001C4CB9">
        <w:rPr>
          <w:rFonts w:ascii="Arial" w:hAnsi="Arial" w:cs="Arial"/>
          <w:sz w:val="17"/>
          <w:szCs w:val="17"/>
          <w:lang w:val="en-US"/>
        </w:rPr>
        <w:t xml:space="preserve">Figure 5A </w:t>
      </w:r>
      <w:r w:rsidRPr="001C4CB9">
        <w:rPr>
          <w:rFonts w:ascii="Arial" w:hAnsi="Arial" w:cs="Arial"/>
          <w:sz w:val="17"/>
          <w:szCs w:val="17"/>
          <w:lang w:val="en-US"/>
        </w:rPr>
        <w:t xml:space="preserve">Lane F to J). In contrast, the highest reactivity rate of NASA probe </w:t>
      </w:r>
      <w:r w:rsidRPr="001C4CB9">
        <w:rPr>
          <w:rFonts w:ascii="Arial" w:hAnsi="Arial" w:cs="Arial"/>
          <w:b/>
          <w:sz w:val="17"/>
          <w:szCs w:val="17"/>
          <w:lang w:val="en-US"/>
        </w:rPr>
        <w:t>2</w:t>
      </w:r>
      <w:r w:rsidRPr="001C4CB9">
        <w:rPr>
          <w:rFonts w:ascii="Arial" w:hAnsi="Arial" w:cs="Arial"/>
          <w:sz w:val="17"/>
          <w:szCs w:val="17"/>
          <w:lang w:val="en-US"/>
        </w:rPr>
        <w:t xml:space="preserve"> led to a nonspecific labeling component in presence of serum albumin (Figure </w:t>
      </w:r>
      <w:r w:rsidR="00715852" w:rsidRPr="001C4CB9">
        <w:rPr>
          <w:rFonts w:ascii="Arial" w:hAnsi="Arial" w:cs="Arial"/>
          <w:sz w:val="17"/>
          <w:szCs w:val="17"/>
          <w:lang w:val="en-US"/>
        </w:rPr>
        <w:t>5</w:t>
      </w:r>
      <w:r w:rsidRPr="001C4CB9">
        <w:rPr>
          <w:rFonts w:ascii="Arial" w:hAnsi="Arial" w:cs="Arial"/>
          <w:sz w:val="17"/>
          <w:szCs w:val="17"/>
          <w:lang w:val="en-US"/>
        </w:rPr>
        <w:t xml:space="preserve">A, lane B) and to a minor extent in mouse liver and tumor extracts </w:t>
      </w:r>
      <w:r w:rsidRPr="001C4CB9">
        <w:rPr>
          <w:rFonts w:ascii="Arial" w:hAnsi="Arial" w:cs="Arial"/>
          <w:sz w:val="17"/>
          <w:szCs w:val="17"/>
          <w:lang w:val="en-US"/>
        </w:rPr>
        <w:t xml:space="preserve">(Lane C and D). Interestingly, the off-target labelling was </w:t>
      </w:r>
      <w:r w:rsidR="006410AC" w:rsidRPr="001C4CB9">
        <w:rPr>
          <w:rFonts w:ascii="Arial" w:hAnsi="Arial" w:cs="Arial"/>
          <w:sz w:val="17"/>
          <w:szCs w:val="17"/>
          <w:lang w:val="en-US"/>
        </w:rPr>
        <w:t xml:space="preserve">significantly </w:t>
      </w:r>
      <w:r w:rsidRPr="001C4CB9">
        <w:rPr>
          <w:rFonts w:ascii="Arial" w:hAnsi="Arial" w:cs="Arial"/>
          <w:sz w:val="17"/>
          <w:szCs w:val="17"/>
          <w:lang w:val="en-US"/>
        </w:rPr>
        <w:t xml:space="preserve">weaker in </w:t>
      </w:r>
      <w:proofErr w:type="spellStart"/>
      <w:r w:rsidR="00C2580A" w:rsidRPr="001C4CB9">
        <w:rPr>
          <w:rFonts w:ascii="Arial" w:hAnsi="Arial" w:cs="Arial"/>
          <w:sz w:val="17"/>
          <w:szCs w:val="17"/>
          <w:lang w:val="en-US"/>
        </w:rPr>
        <w:t>Hek</w:t>
      </w:r>
      <w:proofErr w:type="spellEnd"/>
      <w:r w:rsidRPr="001C4CB9">
        <w:rPr>
          <w:rFonts w:ascii="Arial" w:hAnsi="Arial" w:cs="Arial"/>
          <w:sz w:val="17"/>
          <w:szCs w:val="17"/>
          <w:lang w:val="en-US"/>
        </w:rPr>
        <w:t xml:space="preserve"> cells lysate</w:t>
      </w:r>
      <w:r w:rsidR="00C2580A" w:rsidRPr="001C4CB9">
        <w:rPr>
          <w:rFonts w:ascii="Arial" w:hAnsi="Arial" w:cs="Arial"/>
          <w:sz w:val="17"/>
          <w:szCs w:val="17"/>
          <w:lang w:val="en-US"/>
        </w:rPr>
        <w:t xml:space="preserve">, within </w:t>
      </w:r>
      <w:r w:rsidR="00B83477" w:rsidRPr="001C4CB9">
        <w:rPr>
          <w:rFonts w:ascii="Arial" w:hAnsi="Arial" w:cs="Arial"/>
          <w:sz w:val="17"/>
          <w:szCs w:val="17"/>
          <w:lang w:val="en-US"/>
        </w:rPr>
        <w:t>which a</w:t>
      </w:r>
      <w:r w:rsidR="006410AC" w:rsidRPr="001C4CB9">
        <w:rPr>
          <w:rFonts w:ascii="Arial" w:hAnsi="Arial" w:cs="Arial"/>
          <w:sz w:val="17"/>
          <w:szCs w:val="17"/>
          <w:lang w:val="en-US"/>
        </w:rPr>
        <w:t xml:space="preserve"> selective labelling of rhMMP-12</w:t>
      </w:r>
      <w:r w:rsidR="00973E9E" w:rsidRPr="001C4CB9">
        <w:rPr>
          <w:rFonts w:ascii="Arial" w:hAnsi="Arial" w:cs="Arial"/>
          <w:sz w:val="17"/>
          <w:szCs w:val="17"/>
          <w:lang w:val="en-US"/>
        </w:rPr>
        <w:t xml:space="preserve"> </w:t>
      </w:r>
      <w:r w:rsidR="00C2580A" w:rsidRPr="001C4CB9">
        <w:rPr>
          <w:rFonts w:ascii="Arial" w:hAnsi="Arial" w:cs="Arial"/>
          <w:sz w:val="17"/>
          <w:szCs w:val="17"/>
          <w:lang w:val="en-US"/>
        </w:rPr>
        <w:t xml:space="preserve">was restored </w:t>
      </w:r>
      <w:r w:rsidR="00973E9E" w:rsidRPr="001C4CB9">
        <w:rPr>
          <w:rFonts w:ascii="Arial" w:hAnsi="Arial" w:cs="Arial"/>
          <w:sz w:val="17"/>
          <w:szCs w:val="17"/>
          <w:lang w:val="en-US"/>
        </w:rPr>
        <w:t>(Figure 4A, Lane E)</w:t>
      </w:r>
      <w:r w:rsidR="006410AC" w:rsidRPr="001C4CB9">
        <w:rPr>
          <w:rFonts w:ascii="Arial" w:hAnsi="Arial" w:cs="Arial"/>
          <w:sz w:val="17"/>
          <w:szCs w:val="17"/>
          <w:lang w:val="en-US"/>
        </w:rPr>
        <w:t>.</w:t>
      </w:r>
    </w:p>
    <w:p w:rsidR="004A4ED1" w:rsidRPr="001C4CB9" w:rsidRDefault="000C5ED7" w:rsidP="004D3257">
      <w:pPr>
        <w:spacing w:before="230" w:after="460" w:line="180" w:lineRule="exact"/>
        <w:jc w:val="both"/>
        <w:rPr>
          <w:rFonts w:ascii="Arial" w:hAnsi="Arial" w:cs="Arial"/>
          <w:color w:val="000000" w:themeColor="text1"/>
          <w:sz w:val="17"/>
          <w:szCs w:val="17"/>
          <w:lang w:val="en-US"/>
        </w:rPr>
      </w:pPr>
      <w:r>
        <w:rPr>
          <w:rFonts w:ascii="Arial" w:hAnsi="Arial" w:cs="Arial"/>
          <w:b/>
          <w:noProof/>
          <w:sz w:val="14"/>
          <w:szCs w:val="14"/>
          <w:lang w:val="en-US"/>
        </w:rPr>
        <w:drawing>
          <wp:anchor distT="0" distB="0" distL="114300" distR="114300" simplePos="0" relativeHeight="251701248" behindDoc="0" locked="0" layoutInCell="1" allowOverlap="1">
            <wp:simplePos x="0" y="0"/>
            <wp:positionH relativeFrom="column">
              <wp:posOffset>3810</wp:posOffset>
            </wp:positionH>
            <wp:positionV relativeFrom="paragraph">
              <wp:posOffset>-3344545</wp:posOffset>
            </wp:positionV>
            <wp:extent cx="6372000" cy="3578400"/>
            <wp:effectExtent l="0" t="0" r="3810" b="3175"/>
            <wp:wrapTopAndBottom/>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5.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72000" cy="3578400"/>
                    </a:xfrm>
                    <a:prstGeom prst="rect">
                      <a:avLst/>
                    </a:prstGeom>
                  </pic:spPr>
                </pic:pic>
              </a:graphicData>
            </a:graphic>
            <wp14:sizeRelH relativeFrom="margin">
              <wp14:pctWidth>0</wp14:pctWidth>
            </wp14:sizeRelH>
            <wp14:sizeRelV relativeFrom="margin">
              <wp14:pctHeight>0</wp14:pctHeight>
            </wp14:sizeRelV>
          </wp:anchor>
        </w:drawing>
      </w:r>
      <w:r w:rsidR="004A4ED1" w:rsidRPr="001C4CB9">
        <w:rPr>
          <w:rFonts w:ascii="Arial" w:hAnsi="Arial" w:cs="Arial"/>
          <w:b/>
          <w:sz w:val="14"/>
          <w:szCs w:val="14"/>
          <w:lang w:val="en-US"/>
        </w:rPr>
        <w:t xml:space="preserve">Figure </w:t>
      </w:r>
      <w:r w:rsidR="00F146F8" w:rsidRPr="001C4CB9">
        <w:rPr>
          <w:rFonts w:ascii="Arial" w:hAnsi="Arial" w:cs="Arial"/>
          <w:b/>
          <w:sz w:val="14"/>
          <w:szCs w:val="14"/>
          <w:lang w:val="en-US"/>
        </w:rPr>
        <w:t>5</w:t>
      </w:r>
      <w:r w:rsidR="004A4ED1" w:rsidRPr="001C4CB9">
        <w:rPr>
          <w:rFonts w:ascii="Arial" w:hAnsi="Arial" w:cs="Arial"/>
          <w:b/>
          <w:sz w:val="14"/>
          <w:szCs w:val="14"/>
          <w:lang w:val="en-US"/>
        </w:rPr>
        <w:t>.</w:t>
      </w:r>
      <w:r w:rsidR="004A4ED1" w:rsidRPr="001C4CB9">
        <w:rPr>
          <w:rFonts w:ascii="Arial" w:hAnsi="Arial" w:cs="Arial"/>
          <w:sz w:val="14"/>
          <w:szCs w:val="14"/>
          <w:lang w:val="en-US"/>
        </w:rPr>
        <w:t xml:space="preserve"> labeling of rhMMP-12 and mMMP-12 in complex proteomes.  A) In-gel fluorescence analysis of rhMMP-12 (40 </w:t>
      </w:r>
      <w:proofErr w:type="spellStart"/>
      <w:r w:rsidR="004A4ED1" w:rsidRPr="001C4CB9">
        <w:rPr>
          <w:rFonts w:ascii="Arial" w:hAnsi="Arial" w:cs="Arial"/>
          <w:sz w:val="14"/>
          <w:szCs w:val="14"/>
          <w:lang w:val="en-US"/>
        </w:rPr>
        <w:t>nM</w:t>
      </w:r>
      <w:proofErr w:type="spellEnd"/>
      <w:r w:rsidR="004A4ED1" w:rsidRPr="001C4CB9">
        <w:rPr>
          <w:rFonts w:ascii="Arial" w:hAnsi="Arial" w:cs="Arial"/>
          <w:sz w:val="14"/>
          <w:szCs w:val="14"/>
          <w:lang w:val="en-US"/>
        </w:rPr>
        <w:t>, 0,07%</w:t>
      </w:r>
      <w:r w:rsidR="0023603C" w:rsidRPr="001C4CB9">
        <w:rPr>
          <w:rFonts w:ascii="Arial" w:hAnsi="Arial" w:cs="Arial"/>
          <w:sz w:val="14"/>
          <w:szCs w:val="14"/>
          <w:lang w:val="en-US"/>
        </w:rPr>
        <w:t xml:space="preserve"> (w/w) </w:t>
      </w:r>
      <w:r w:rsidR="004A4ED1" w:rsidRPr="001C4CB9">
        <w:rPr>
          <w:rFonts w:ascii="Arial" w:hAnsi="Arial" w:cs="Arial"/>
          <w:sz w:val="14"/>
          <w:szCs w:val="14"/>
          <w:lang w:val="en-US"/>
        </w:rPr>
        <w:t xml:space="preserve"> of the whole proteome) spiked into complex proteomes (1 g.L</w:t>
      </w:r>
      <w:r w:rsidR="004A4ED1" w:rsidRPr="001C4CB9">
        <w:rPr>
          <w:rFonts w:ascii="Arial" w:hAnsi="Arial" w:cs="Arial"/>
          <w:sz w:val="14"/>
          <w:szCs w:val="14"/>
          <w:vertAlign w:val="superscript"/>
          <w:lang w:val="en-US"/>
        </w:rPr>
        <w:t>-1</w:t>
      </w:r>
      <w:r w:rsidR="004A4ED1" w:rsidRPr="001C4CB9">
        <w:rPr>
          <w:rFonts w:ascii="Arial" w:hAnsi="Arial" w:cs="Arial"/>
          <w:sz w:val="14"/>
          <w:szCs w:val="14"/>
          <w:lang w:val="en-US"/>
        </w:rPr>
        <w:t xml:space="preserve">) and labeled by either probe </w:t>
      </w:r>
      <w:r w:rsidR="004A4ED1" w:rsidRPr="001C4CB9">
        <w:rPr>
          <w:rFonts w:ascii="Arial" w:hAnsi="Arial" w:cs="Arial"/>
          <w:b/>
          <w:sz w:val="14"/>
          <w:szCs w:val="14"/>
          <w:lang w:val="en-US"/>
        </w:rPr>
        <w:t xml:space="preserve">1 </w:t>
      </w:r>
      <w:r w:rsidR="004A4ED1" w:rsidRPr="001C4CB9">
        <w:rPr>
          <w:rFonts w:ascii="Arial" w:hAnsi="Arial" w:cs="Arial"/>
          <w:sz w:val="14"/>
          <w:szCs w:val="14"/>
          <w:lang w:val="en-US"/>
        </w:rPr>
        <w:t>(Lane F to J)</w:t>
      </w:r>
      <w:r w:rsidR="004A4ED1" w:rsidRPr="001C4CB9">
        <w:rPr>
          <w:rFonts w:ascii="Arial" w:hAnsi="Arial" w:cs="Arial"/>
          <w:b/>
          <w:sz w:val="14"/>
          <w:szCs w:val="14"/>
          <w:lang w:val="en-US"/>
        </w:rPr>
        <w:t xml:space="preserve"> </w:t>
      </w:r>
      <w:r w:rsidR="004A4ED1" w:rsidRPr="001C4CB9">
        <w:rPr>
          <w:rFonts w:ascii="Arial" w:hAnsi="Arial" w:cs="Arial"/>
          <w:sz w:val="14"/>
          <w:szCs w:val="14"/>
          <w:lang w:val="en-US"/>
        </w:rPr>
        <w:t xml:space="preserve">or </w:t>
      </w:r>
      <w:r w:rsidR="004A4ED1" w:rsidRPr="001C4CB9">
        <w:rPr>
          <w:rFonts w:ascii="Arial" w:hAnsi="Arial" w:cs="Arial"/>
          <w:b/>
          <w:sz w:val="14"/>
          <w:szCs w:val="14"/>
          <w:lang w:val="en-US"/>
        </w:rPr>
        <w:t xml:space="preserve">2 </w:t>
      </w:r>
      <w:r w:rsidR="004A4ED1" w:rsidRPr="001C4CB9">
        <w:rPr>
          <w:rFonts w:ascii="Arial" w:hAnsi="Arial" w:cs="Arial"/>
          <w:sz w:val="14"/>
          <w:szCs w:val="14"/>
          <w:lang w:val="en-US"/>
        </w:rPr>
        <w:t>(Lane A to E)</w:t>
      </w:r>
      <w:r w:rsidR="004A4ED1" w:rsidRPr="001C4CB9">
        <w:rPr>
          <w:rFonts w:ascii="Arial" w:hAnsi="Arial" w:cs="Arial"/>
          <w:b/>
          <w:sz w:val="14"/>
          <w:szCs w:val="14"/>
          <w:lang w:val="en-US"/>
        </w:rPr>
        <w:t xml:space="preserve"> </w:t>
      </w:r>
      <w:r w:rsidR="004A4ED1" w:rsidRPr="001C4CB9">
        <w:rPr>
          <w:rFonts w:ascii="Arial" w:hAnsi="Arial" w:cs="Arial"/>
          <w:sz w:val="14"/>
          <w:szCs w:val="14"/>
          <w:lang w:val="en-US"/>
        </w:rPr>
        <w:t xml:space="preserve">used at 100 </w:t>
      </w:r>
      <w:proofErr w:type="spellStart"/>
      <w:r w:rsidR="004A4ED1" w:rsidRPr="001C4CB9">
        <w:rPr>
          <w:rFonts w:ascii="Arial" w:hAnsi="Arial" w:cs="Arial"/>
          <w:sz w:val="14"/>
          <w:szCs w:val="14"/>
          <w:lang w:val="en-US"/>
        </w:rPr>
        <w:t>nM.</w:t>
      </w:r>
      <w:proofErr w:type="spellEnd"/>
      <w:r w:rsidR="004A4ED1" w:rsidRPr="001C4CB9">
        <w:rPr>
          <w:rFonts w:ascii="Arial" w:hAnsi="Arial" w:cs="Arial"/>
          <w:sz w:val="14"/>
          <w:szCs w:val="14"/>
          <w:lang w:val="en-US"/>
        </w:rPr>
        <w:t xml:space="preserve">  Lane A/F correspond to rhMMP-12 alone, Lane B/G, C/H, D/I and E/J correspond to rhMMP-12 in presence of </w:t>
      </w:r>
      <w:proofErr w:type="spellStart"/>
      <w:r w:rsidR="004A4ED1" w:rsidRPr="001C4CB9">
        <w:rPr>
          <w:rFonts w:ascii="Arial" w:hAnsi="Arial" w:cs="Arial"/>
          <w:sz w:val="14"/>
          <w:szCs w:val="14"/>
          <w:lang w:val="en-US"/>
        </w:rPr>
        <w:t>hSA</w:t>
      </w:r>
      <w:proofErr w:type="spellEnd"/>
      <w:r w:rsidR="004A4ED1" w:rsidRPr="001C4CB9">
        <w:rPr>
          <w:rFonts w:ascii="Arial" w:hAnsi="Arial" w:cs="Arial"/>
          <w:sz w:val="14"/>
          <w:szCs w:val="14"/>
          <w:lang w:val="en-US"/>
        </w:rPr>
        <w:t xml:space="preserve">, mouse tumor extract, mouse liver extract and </w:t>
      </w:r>
      <w:proofErr w:type="spellStart"/>
      <w:r w:rsidR="004A4ED1" w:rsidRPr="001C4CB9">
        <w:rPr>
          <w:rFonts w:ascii="Arial" w:hAnsi="Arial" w:cs="Arial"/>
          <w:sz w:val="14"/>
          <w:szCs w:val="14"/>
          <w:lang w:val="en-US"/>
        </w:rPr>
        <w:t>H</w:t>
      </w:r>
      <w:r w:rsidR="0023603C" w:rsidRPr="001C4CB9">
        <w:rPr>
          <w:rFonts w:ascii="Arial" w:hAnsi="Arial" w:cs="Arial"/>
          <w:sz w:val="14"/>
          <w:szCs w:val="14"/>
          <w:lang w:val="en-US"/>
        </w:rPr>
        <w:t>ek</w:t>
      </w:r>
      <w:proofErr w:type="spellEnd"/>
      <w:r w:rsidR="004A4ED1" w:rsidRPr="001C4CB9">
        <w:rPr>
          <w:rFonts w:ascii="Arial" w:hAnsi="Arial" w:cs="Arial"/>
          <w:sz w:val="14"/>
          <w:szCs w:val="14"/>
          <w:lang w:val="en-US"/>
        </w:rPr>
        <w:t xml:space="preserve"> cells lysate respectively. The labeling reaction was conducted over 4h at 26°C. All samples were subjected to 15% SDS-PAGE and analyzed by in-gel fluorescence imaging (FL) and Coomassie brilliant blue (CBB) staining. B) In-gel fluorescence analysis (FL) of HEK cells supernatant pretreated (Lane </w:t>
      </w:r>
      <w:r w:rsidR="0023603C" w:rsidRPr="001C4CB9">
        <w:rPr>
          <w:rFonts w:ascii="Arial" w:hAnsi="Arial" w:cs="Arial"/>
          <w:sz w:val="14"/>
          <w:szCs w:val="14"/>
          <w:lang w:val="en-US"/>
        </w:rPr>
        <w:t>K</w:t>
      </w:r>
      <w:r w:rsidR="004A4ED1" w:rsidRPr="001C4CB9">
        <w:rPr>
          <w:rFonts w:ascii="Arial" w:hAnsi="Arial" w:cs="Arial"/>
          <w:sz w:val="14"/>
          <w:szCs w:val="14"/>
          <w:lang w:val="en-US"/>
        </w:rPr>
        <w:t xml:space="preserve"> to </w:t>
      </w:r>
      <w:r w:rsidR="0023603C" w:rsidRPr="001C4CB9">
        <w:rPr>
          <w:rFonts w:ascii="Arial" w:hAnsi="Arial" w:cs="Arial"/>
          <w:sz w:val="14"/>
          <w:szCs w:val="14"/>
          <w:lang w:val="en-US"/>
        </w:rPr>
        <w:t>N</w:t>
      </w:r>
      <w:r w:rsidR="004A4ED1" w:rsidRPr="001C4CB9">
        <w:rPr>
          <w:rFonts w:ascii="Arial" w:hAnsi="Arial" w:cs="Arial"/>
          <w:sz w:val="14"/>
          <w:szCs w:val="14"/>
          <w:lang w:val="en-US"/>
        </w:rPr>
        <w:t xml:space="preserve"> and Lane </w:t>
      </w:r>
      <w:r w:rsidR="0023603C" w:rsidRPr="001C4CB9">
        <w:rPr>
          <w:rFonts w:ascii="Arial" w:hAnsi="Arial" w:cs="Arial"/>
          <w:sz w:val="14"/>
          <w:szCs w:val="14"/>
          <w:lang w:val="en-US"/>
        </w:rPr>
        <w:t>P</w:t>
      </w:r>
      <w:r w:rsidR="004A4ED1" w:rsidRPr="001C4CB9">
        <w:rPr>
          <w:rFonts w:ascii="Arial" w:hAnsi="Arial" w:cs="Arial"/>
          <w:sz w:val="14"/>
          <w:szCs w:val="14"/>
          <w:lang w:val="en-US"/>
        </w:rPr>
        <w:t>/</w:t>
      </w:r>
      <w:r w:rsidR="0023603C" w:rsidRPr="001C4CB9">
        <w:rPr>
          <w:rFonts w:ascii="Arial" w:hAnsi="Arial" w:cs="Arial"/>
          <w:sz w:val="14"/>
          <w:szCs w:val="14"/>
          <w:lang w:val="en-US"/>
        </w:rPr>
        <w:t>Q</w:t>
      </w:r>
      <w:r w:rsidR="004A4ED1" w:rsidRPr="001C4CB9">
        <w:rPr>
          <w:rFonts w:ascii="Arial" w:hAnsi="Arial" w:cs="Arial"/>
          <w:sz w:val="14"/>
          <w:szCs w:val="14"/>
          <w:lang w:val="en-US"/>
        </w:rPr>
        <w:t xml:space="preserve">) or not (Lane </w:t>
      </w:r>
      <w:r w:rsidR="0023603C" w:rsidRPr="001C4CB9">
        <w:rPr>
          <w:rFonts w:ascii="Arial" w:hAnsi="Arial" w:cs="Arial"/>
          <w:sz w:val="14"/>
          <w:szCs w:val="14"/>
          <w:lang w:val="en-US"/>
        </w:rPr>
        <w:t>O</w:t>
      </w:r>
      <w:r w:rsidR="004A4ED1" w:rsidRPr="001C4CB9">
        <w:rPr>
          <w:rFonts w:ascii="Arial" w:hAnsi="Arial" w:cs="Arial"/>
          <w:sz w:val="14"/>
          <w:szCs w:val="14"/>
          <w:lang w:val="en-US"/>
        </w:rPr>
        <w:t xml:space="preserve">) with trypsin (30 min, 37°C) and further exposed to increasing concentrations of probe </w:t>
      </w:r>
      <w:r w:rsidR="004A4ED1" w:rsidRPr="001C4CB9">
        <w:rPr>
          <w:rFonts w:ascii="Arial" w:hAnsi="Arial" w:cs="Arial"/>
          <w:b/>
          <w:sz w:val="14"/>
          <w:szCs w:val="14"/>
          <w:lang w:val="en-US"/>
        </w:rPr>
        <w:t>2</w:t>
      </w:r>
      <w:r w:rsidR="004A4ED1" w:rsidRPr="001C4CB9">
        <w:rPr>
          <w:rFonts w:ascii="Arial" w:hAnsi="Arial" w:cs="Arial"/>
          <w:sz w:val="14"/>
          <w:szCs w:val="14"/>
          <w:lang w:val="en-US"/>
        </w:rPr>
        <w:t xml:space="preserve"> (Lane </w:t>
      </w:r>
      <w:r w:rsidR="0023603C" w:rsidRPr="001C4CB9">
        <w:rPr>
          <w:rFonts w:ascii="Arial" w:hAnsi="Arial" w:cs="Arial"/>
          <w:sz w:val="14"/>
          <w:szCs w:val="14"/>
          <w:lang w:val="en-US"/>
        </w:rPr>
        <w:t>K</w:t>
      </w:r>
      <w:r w:rsidR="004A4ED1" w:rsidRPr="001C4CB9">
        <w:rPr>
          <w:rFonts w:ascii="Arial" w:hAnsi="Arial" w:cs="Arial"/>
          <w:sz w:val="14"/>
          <w:szCs w:val="14"/>
          <w:lang w:val="en-US"/>
        </w:rPr>
        <w:t xml:space="preserve"> to </w:t>
      </w:r>
      <w:r w:rsidR="0023603C" w:rsidRPr="001C4CB9">
        <w:rPr>
          <w:rFonts w:ascii="Arial" w:hAnsi="Arial" w:cs="Arial"/>
          <w:sz w:val="14"/>
          <w:szCs w:val="14"/>
          <w:lang w:val="en-US"/>
        </w:rPr>
        <w:t>N</w:t>
      </w:r>
      <w:r w:rsidR="004A4ED1" w:rsidRPr="001C4CB9">
        <w:rPr>
          <w:rFonts w:ascii="Arial" w:hAnsi="Arial" w:cs="Arial"/>
          <w:sz w:val="14"/>
          <w:szCs w:val="14"/>
          <w:lang w:val="en-US"/>
        </w:rPr>
        <w:t xml:space="preserve">) or to a fixed concentration of probe </w:t>
      </w:r>
      <w:r w:rsidR="004A4ED1" w:rsidRPr="001C4CB9">
        <w:rPr>
          <w:rFonts w:ascii="Arial" w:hAnsi="Arial" w:cs="Arial"/>
          <w:b/>
          <w:sz w:val="14"/>
          <w:szCs w:val="14"/>
          <w:lang w:val="en-US"/>
        </w:rPr>
        <w:t>2</w:t>
      </w:r>
      <w:r w:rsidR="004A4ED1" w:rsidRPr="001C4CB9">
        <w:rPr>
          <w:rFonts w:ascii="Arial" w:hAnsi="Arial" w:cs="Arial"/>
          <w:sz w:val="14"/>
          <w:szCs w:val="14"/>
          <w:lang w:val="en-US"/>
        </w:rPr>
        <w:t xml:space="preserve"> (100 </w:t>
      </w:r>
      <w:proofErr w:type="spellStart"/>
      <w:r w:rsidR="004A4ED1" w:rsidRPr="001C4CB9">
        <w:rPr>
          <w:rFonts w:ascii="Arial" w:hAnsi="Arial" w:cs="Arial"/>
          <w:sz w:val="14"/>
          <w:szCs w:val="14"/>
          <w:lang w:val="en-US"/>
        </w:rPr>
        <w:t>nM</w:t>
      </w:r>
      <w:proofErr w:type="spellEnd"/>
      <w:r w:rsidR="004A4ED1" w:rsidRPr="001C4CB9">
        <w:rPr>
          <w:rFonts w:ascii="Arial" w:hAnsi="Arial" w:cs="Arial"/>
          <w:sz w:val="14"/>
          <w:szCs w:val="14"/>
          <w:lang w:val="en-US"/>
        </w:rPr>
        <w:t xml:space="preserve">) after 30 min of preincubation with RXP470.1 or GM6001 at 1000 </w:t>
      </w:r>
      <w:proofErr w:type="spellStart"/>
      <w:r w:rsidR="004A4ED1" w:rsidRPr="001C4CB9">
        <w:rPr>
          <w:rFonts w:ascii="Arial" w:hAnsi="Arial" w:cs="Arial"/>
          <w:sz w:val="14"/>
          <w:szCs w:val="14"/>
          <w:lang w:val="en-US"/>
        </w:rPr>
        <w:t>nM</w:t>
      </w:r>
      <w:proofErr w:type="spellEnd"/>
      <w:r w:rsidR="004A4ED1" w:rsidRPr="001C4CB9">
        <w:rPr>
          <w:rFonts w:ascii="Arial" w:hAnsi="Arial" w:cs="Arial"/>
          <w:sz w:val="14"/>
          <w:szCs w:val="14"/>
          <w:lang w:val="en-US"/>
        </w:rPr>
        <w:t xml:space="preserve"> (Lane </w:t>
      </w:r>
      <w:r w:rsidR="0023603C" w:rsidRPr="001C4CB9">
        <w:rPr>
          <w:rFonts w:ascii="Arial" w:hAnsi="Arial" w:cs="Arial"/>
          <w:sz w:val="14"/>
          <w:szCs w:val="14"/>
          <w:lang w:val="en-US"/>
        </w:rPr>
        <w:t>P and Q respectively</w:t>
      </w:r>
      <w:r w:rsidR="004A4ED1" w:rsidRPr="001C4CB9">
        <w:rPr>
          <w:rFonts w:ascii="Arial" w:hAnsi="Arial" w:cs="Arial"/>
          <w:sz w:val="14"/>
          <w:szCs w:val="14"/>
          <w:lang w:val="en-US"/>
        </w:rPr>
        <w:t xml:space="preserve">). The supernatant containing proMMP-12 (marked with a red arrow) was also exposed to probe </w:t>
      </w:r>
      <w:r w:rsidR="004A4ED1" w:rsidRPr="001C4CB9">
        <w:rPr>
          <w:rFonts w:ascii="Arial" w:hAnsi="Arial" w:cs="Arial"/>
          <w:b/>
          <w:sz w:val="14"/>
          <w:szCs w:val="14"/>
          <w:lang w:val="en-US"/>
        </w:rPr>
        <w:t>2</w:t>
      </w:r>
      <w:r w:rsidR="004A4ED1" w:rsidRPr="001C4CB9">
        <w:rPr>
          <w:rFonts w:ascii="Arial" w:hAnsi="Arial" w:cs="Arial"/>
          <w:sz w:val="14"/>
          <w:szCs w:val="14"/>
          <w:lang w:val="en-US"/>
        </w:rPr>
        <w:t xml:space="preserve"> at 100 </w:t>
      </w:r>
      <w:proofErr w:type="spellStart"/>
      <w:r w:rsidR="004A4ED1" w:rsidRPr="001C4CB9">
        <w:rPr>
          <w:rFonts w:ascii="Arial" w:hAnsi="Arial" w:cs="Arial"/>
          <w:sz w:val="14"/>
          <w:szCs w:val="14"/>
          <w:lang w:val="en-US"/>
        </w:rPr>
        <w:t>nM</w:t>
      </w:r>
      <w:proofErr w:type="spellEnd"/>
      <w:r w:rsidR="004A4ED1" w:rsidRPr="001C4CB9">
        <w:rPr>
          <w:rFonts w:ascii="Arial" w:hAnsi="Arial" w:cs="Arial"/>
          <w:sz w:val="14"/>
          <w:szCs w:val="14"/>
          <w:lang w:val="en-US"/>
        </w:rPr>
        <w:t xml:space="preserve"> (Lane </w:t>
      </w:r>
      <w:r w:rsidR="0023603C" w:rsidRPr="001C4CB9">
        <w:rPr>
          <w:rFonts w:ascii="Arial" w:hAnsi="Arial" w:cs="Arial"/>
          <w:sz w:val="14"/>
          <w:szCs w:val="14"/>
          <w:lang w:val="en-US"/>
        </w:rPr>
        <w:t>O</w:t>
      </w:r>
      <w:r w:rsidR="004A4ED1" w:rsidRPr="001C4CB9">
        <w:rPr>
          <w:rFonts w:ascii="Arial" w:hAnsi="Arial" w:cs="Arial"/>
          <w:sz w:val="14"/>
          <w:szCs w:val="14"/>
          <w:lang w:val="en-US"/>
        </w:rPr>
        <w:t xml:space="preserve">). After 4h at 26°C, the samples were collected and resolved by 15% SDS-PAGE. The presence of proMMP-12 and activated form was confirmed by western blot (WB) using an anti-mouse MMP-12 Antibody (AF3467, R&amp;D </w:t>
      </w:r>
      <w:proofErr w:type="spellStart"/>
      <w:r w:rsidR="004A4ED1" w:rsidRPr="001C4CB9">
        <w:rPr>
          <w:rFonts w:ascii="Arial" w:hAnsi="Arial" w:cs="Arial"/>
          <w:sz w:val="14"/>
          <w:szCs w:val="14"/>
          <w:lang w:val="en-US"/>
        </w:rPr>
        <w:t>sytem</w:t>
      </w:r>
      <w:proofErr w:type="spellEnd"/>
      <w:r w:rsidR="004A4ED1" w:rsidRPr="001C4CB9">
        <w:rPr>
          <w:rFonts w:ascii="Arial" w:hAnsi="Arial" w:cs="Arial"/>
          <w:sz w:val="14"/>
          <w:szCs w:val="14"/>
          <w:lang w:val="en-US"/>
        </w:rPr>
        <w:t>).</w:t>
      </w:r>
    </w:p>
    <w:p w:rsidR="004D3257" w:rsidRPr="001C4CB9" w:rsidRDefault="004D3257" w:rsidP="000631BB">
      <w:pPr>
        <w:spacing w:line="225" w:lineRule="exact"/>
        <w:jc w:val="both"/>
        <w:rPr>
          <w:rFonts w:ascii="Arial" w:hAnsi="Arial" w:cs="Arial"/>
          <w:sz w:val="17"/>
          <w:szCs w:val="17"/>
          <w:lang w:val="en-US"/>
        </w:rPr>
        <w:sectPr w:rsidR="004D3257" w:rsidRPr="001C4CB9" w:rsidSect="006A3CEB">
          <w:type w:val="continuous"/>
          <w:pgSz w:w="11906" w:h="16838" w:code="9"/>
          <w:pgMar w:top="1673" w:right="936" w:bottom="1134" w:left="936" w:header="709" w:footer="709" w:gutter="0"/>
          <w:cols w:space="709"/>
          <w:docGrid w:linePitch="360"/>
        </w:sectPr>
      </w:pPr>
    </w:p>
    <w:p w:rsidR="0057742D" w:rsidRPr="001C4CB9" w:rsidRDefault="0057742D" w:rsidP="002B243D">
      <w:pPr>
        <w:spacing w:line="225" w:lineRule="exact"/>
        <w:jc w:val="both"/>
        <w:rPr>
          <w:rFonts w:ascii="Arial" w:hAnsi="Arial" w:cs="Arial"/>
          <w:sz w:val="17"/>
          <w:szCs w:val="17"/>
          <w:lang w:val="en-US"/>
        </w:rPr>
      </w:pPr>
      <w:r w:rsidRPr="001C4CB9">
        <w:rPr>
          <w:rFonts w:ascii="Arial" w:hAnsi="Arial" w:cs="Arial"/>
          <w:sz w:val="17"/>
          <w:szCs w:val="17"/>
          <w:lang w:val="en-US"/>
        </w:rPr>
        <w:t xml:space="preserve">These variations in off-target labeling </w:t>
      </w:r>
      <w:r w:rsidR="00274C91" w:rsidRPr="001C4CB9">
        <w:rPr>
          <w:rFonts w:ascii="Arial" w:hAnsi="Arial" w:cs="Arial"/>
          <w:sz w:val="17"/>
          <w:szCs w:val="17"/>
          <w:lang w:val="en-US"/>
        </w:rPr>
        <w:t xml:space="preserve">between the two probes underline </w:t>
      </w:r>
      <w:r w:rsidRPr="001C4CB9">
        <w:rPr>
          <w:rFonts w:ascii="Arial" w:hAnsi="Arial" w:cs="Arial"/>
          <w:sz w:val="17"/>
          <w:szCs w:val="17"/>
          <w:lang w:val="en-US"/>
        </w:rPr>
        <w:t xml:space="preserve">the </w:t>
      </w:r>
      <w:r w:rsidR="00274C91" w:rsidRPr="001C4CB9">
        <w:rPr>
          <w:rFonts w:ascii="Arial" w:hAnsi="Arial" w:cs="Arial"/>
          <w:sz w:val="17"/>
          <w:szCs w:val="17"/>
          <w:lang w:val="en-US"/>
        </w:rPr>
        <w:t xml:space="preserve">key </w:t>
      </w:r>
      <w:r w:rsidRPr="001C4CB9">
        <w:rPr>
          <w:rFonts w:ascii="Arial" w:hAnsi="Arial" w:cs="Arial"/>
          <w:sz w:val="17"/>
          <w:szCs w:val="17"/>
          <w:lang w:val="en-US"/>
        </w:rPr>
        <w:t xml:space="preserve">role of the cleavable linker. </w:t>
      </w:r>
      <w:r w:rsidR="00274C91" w:rsidRPr="001C4CB9">
        <w:rPr>
          <w:rFonts w:ascii="Arial" w:hAnsi="Arial" w:cs="Arial"/>
          <w:sz w:val="17"/>
          <w:szCs w:val="17"/>
          <w:lang w:val="en-US"/>
        </w:rPr>
        <w:t>In this respect, i</w:t>
      </w:r>
      <w:r w:rsidRPr="001C4CB9">
        <w:rPr>
          <w:rFonts w:ascii="Arial" w:hAnsi="Arial" w:cs="Arial"/>
          <w:sz w:val="17"/>
          <w:szCs w:val="17"/>
          <w:lang w:val="en-US"/>
        </w:rPr>
        <w:t xml:space="preserve">ts structure and intrinsic reactivity clearly impact the labeling </w:t>
      </w:r>
      <w:r w:rsidR="004D4391" w:rsidRPr="001C4CB9">
        <w:rPr>
          <w:rFonts w:ascii="Arial" w:hAnsi="Arial" w:cs="Arial"/>
          <w:sz w:val="17"/>
          <w:szCs w:val="17"/>
          <w:lang w:val="en-US"/>
        </w:rPr>
        <w:t>profile</w:t>
      </w:r>
      <w:r w:rsidRPr="001C4CB9">
        <w:rPr>
          <w:rFonts w:ascii="Arial" w:hAnsi="Arial" w:cs="Arial"/>
          <w:sz w:val="17"/>
          <w:szCs w:val="17"/>
          <w:lang w:val="en-US"/>
        </w:rPr>
        <w:t xml:space="preserve"> of these RPX470.1-derived affinity probes, with a </w:t>
      </w:r>
      <w:r w:rsidR="00274C91" w:rsidRPr="001C4CB9">
        <w:rPr>
          <w:rFonts w:ascii="Arial" w:hAnsi="Arial" w:cs="Arial"/>
          <w:sz w:val="17"/>
          <w:szCs w:val="17"/>
          <w:lang w:val="en-US"/>
        </w:rPr>
        <w:t>be</w:t>
      </w:r>
      <w:r w:rsidR="00B83477" w:rsidRPr="001C4CB9">
        <w:rPr>
          <w:rFonts w:ascii="Arial" w:hAnsi="Arial" w:cs="Arial"/>
          <w:sz w:val="17"/>
          <w:szCs w:val="17"/>
          <w:lang w:val="en-US"/>
        </w:rPr>
        <w:t>st</w:t>
      </w:r>
      <w:r w:rsidRPr="001C4CB9">
        <w:rPr>
          <w:rFonts w:ascii="Arial" w:hAnsi="Arial" w:cs="Arial"/>
          <w:sz w:val="17"/>
          <w:szCs w:val="17"/>
          <w:lang w:val="en-US"/>
        </w:rPr>
        <w:t xml:space="preserve"> selectivity achieved when a cleavable linker of moderate reactivity was used. </w:t>
      </w:r>
      <w:r w:rsidR="006D04D8" w:rsidRPr="001C4CB9">
        <w:rPr>
          <w:rFonts w:ascii="Arial" w:hAnsi="Arial" w:cs="Arial"/>
          <w:sz w:val="17"/>
          <w:szCs w:val="17"/>
          <w:lang w:val="en-US"/>
        </w:rPr>
        <w:t xml:space="preserve">Our results also suggest that probe </w:t>
      </w:r>
      <w:r w:rsidR="006D04D8" w:rsidRPr="001C4CB9">
        <w:rPr>
          <w:rFonts w:ascii="Arial" w:hAnsi="Arial" w:cs="Arial"/>
          <w:b/>
          <w:sz w:val="17"/>
          <w:szCs w:val="17"/>
          <w:lang w:val="en-US"/>
        </w:rPr>
        <w:t>2</w:t>
      </w:r>
      <w:r w:rsidR="006D04D8" w:rsidRPr="001C4CB9">
        <w:rPr>
          <w:rFonts w:ascii="Arial" w:hAnsi="Arial" w:cs="Arial"/>
          <w:sz w:val="17"/>
          <w:szCs w:val="17"/>
          <w:lang w:val="en-US"/>
        </w:rPr>
        <w:t xml:space="preserve"> structure </w:t>
      </w:r>
      <w:r w:rsidR="004D4391" w:rsidRPr="001C4CB9">
        <w:rPr>
          <w:rFonts w:ascii="Arial" w:hAnsi="Arial" w:cs="Arial"/>
          <w:sz w:val="17"/>
          <w:szCs w:val="17"/>
          <w:lang w:val="en-US"/>
        </w:rPr>
        <w:t>can</w:t>
      </w:r>
      <w:r w:rsidR="006D04D8" w:rsidRPr="001C4CB9">
        <w:rPr>
          <w:rFonts w:ascii="Arial" w:hAnsi="Arial" w:cs="Arial"/>
          <w:sz w:val="17"/>
          <w:szCs w:val="17"/>
          <w:lang w:val="en-US"/>
        </w:rPr>
        <w:t xml:space="preserve"> </w:t>
      </w:r>
      <w:r w:rsidR="00B83477" w:rsidRPr="001C4CB9">
        <w:rPr>
          <w:rFonts w:ascii="Arial" w:hAnsi="Arial" w:cs="Arial"/>
          <w:sz w:val="17"/>
          <w:szCs w:val="17"/>
          <w:lang w:val="en-US"/>
        </w:rPr>
        <w:t xml:space="preserve">be optimized </w:t>
      </w:r>
      <w:r w:rsidR="006D04D8" w:rsidRPr="001C4CB9">
        <w:rPr>
          <w:rFonts w:ascii="Arial" w:hAnsi="Arial" w:cs="Arial"/>
          <w:sz w:val="17"/>
          <w:szCs w:val="17"/>
          <w:lang w:val="en-US"/>
        </w:rPr>
        <w:t xml:space="preserve">to limit its off-target labelling. This may consist in modifying the N-alkyl group of NASA to decrease its intrinsic </w:t>
      </w:r>
      <w:r w:rsidR="0043558F" w:rsidRPr="001C4CB9">
        <w:rPr>
          <w:rFonts w:ascii="Arial" w:hAnsi="Arial" w:cs="Arial"/>
          <w:sz w:val="17"/>
          <w:szCs w:val="17"/>
          <w:lang w:val="en-US"/>
        </w:rPr>
        <w:t>electrophilicity</w:t>
      </w:r>
      <w:r w:rsidR="006D04D8" w:rsidRPr="001C4CB9">
        <w:rPr>
          <w:rFonts w:ascii="Arial" w:hAnsi="Arial" w:cs="Arial"/>
          <w:sz w:val="17"/>
          <w:szCs w:val="17"/>
          <w:lang w:val="en-US"/>
        </w:rPr>
        <w:fldChar w:fldCharType="begin"/>
      </w:r>
      <w:r w:rsidR="006D04D8" w:rsidRPr="001C4CB9">
        <w:rPr>
          <w:rFonts w:ascii="Arial" w:hAnsi="Arial" w:cs="Arial"/>
          <w:sz w:val="17"/>
          <w:szCs w:val="17"/>
          <w:lang w:val="en-US"/>
        </w:rPr>
        <w:instrText xml:space="preserve"> ADDIN ZOTERO_ITEM CSL_CITATION {"citationID":"ytlHSBBK","properties":{"formattedCitation":"\\super [38]\\nosupersub{}","plainCitation":"[38]","noteIndex":0},"citationItems":[{"id":878,"uris":["http://zotero.org/users/local/t888UWzB/items/LJTXET7V"],"uri":["http://zotero.org/users/local/t888UWzB/items/LJTXET7V"],"itemData":{"id":878,"type":"article-journal","abstract":"Selective modification of native proteins in live cells is one of the central challenges in recent chemical biology. As a unique bioorthogonal approach, ligand-directed chemistry recently emerged, but the slow kinetics limits its scope. Here we successfully overcome this obstacle using N-acyl-N-alkyl sulfonamide as a reactive group. Quantitative kinetic analyses reveal that ligand-directed N-acyl-N-alkyl sulfonamide chemistry allows for rapid modification of a lysine residue proximal to the ligand binding site of a target protein, with a rate constant of ~104 M-1 s-1, comparable to the fastest bioorthogonal chemistry. Despite some off-target reactions, this method can selectively label both intracellular and membrane-bound endogenous proteins. Moreover, the unique reactivity of N-acyl-N-alkyl sulfonamide enables the rational design of a lysine-targeted covalent inhibitor that shows durable suppression of the activity of Hsp90 in cancer cells. This work provides possibilities to extend the covalent inhibition approach that is currently being reassessed in drug discovery.","container-title":"Nature Communications","DOI":"10.1038/s41467-018-04343-0","ISSN":"2041-1723","issue":"1","journalAbbreviation":"Nat Commun","language":"eng","note":"PMID: 29760386\nPMCID: PMC5951806","page":"1870","source":"PubMed","title":"Rapid labelling and covalent inhibition of intracellular native proteins using ligand-directed N-acyl-N-alkyl sulfonamide","volume":"9","author":[{"family":"Tamura","given":"Tomonori"},{"family":"Ueda","given":"Tsuyoshi"},{"family":"Goto","given":"Taiki"},{"family":"Tsukidate","given":"Taku"},{"family":"Shapira","given":"Yonatan"},{"family":"Nishikawa","given":"Yuki"},{"family":"Fujisawa","given":"Alma"},{"family":"Hamachi","given":"Itaru"}],"issued":{"date-parts":[["2018"]],"season":"14"}}}],"schema":"https://github.com/citation-style-language/schema/raw/master/csl-citation.json"} </w:instrText>
      </w:r>
      <w:r w:rsidR="006D04D8" w:rsidRPr="001C4CB9">
        <w:rPr>
          <w:rFonts w:ascii="Arial" w:hAnsi="Arial" w:cs="Arial"/>
          <w:sz w:val="17"/>
          <w:szCs w:val="17"/>
          <w:lang w:val="en-US"/>
        </w:rPr>
        <w:fldChar w:fldCharType="separate"/>
      </w:r>
      <w:r w:rsidR="006D04D8" w:rsidRPr="001C4CB9">
        <w:rPr>
          <w:rFonts w:ascii="Arial" w:hAnsi="Arial" w:cs="Arial"/>
          <w:sz w:val="17"/>
          <w:vertAlign w:val="superscript"/>
          <w:lang w:val="en-US"/>
        </w:rPr>
        <w:t>[38]</w:t>
      </w:r>
      <w:r w:rsidR="006D04D8" w:rsidRPr="001C4CB9">
        <w:rPr>
          <w:rFonts w:ascii="Arial" w:hAnsi="Arial" w:cs="Arial"/>
          <w:sz w:val="17"/>
          <w:szCs w:val="17"/>
          <w:lang w:val="en-US"/>
        </w:rPr>
        <w:fldChar w:fldCharType="end"/>
      </w:r>
      <w:r w:rsidR="006D04D8" w:rsidRPr="001C4CB9">
        <w:rPr>
          <w:rFonts w:ascii="Arial" w:hAnsi="Arial" w:cs="Arial"/>
          <w:sz w:val="17"/>
          <w:szCs w:val="17"/>
          <w:lang w:val="en-US"/>
        </w:rPr>
        <w:t xml:space="preserve">. Alternatively, the NASA linker </w:t>
      </w:r>
      <w:r w:rsidR="00F146F8" w:rsidRPr="001C4CB9">
        <w:rPr>
          <w:rFonts w:ascii="Arial" w:hAnsi="Arial" w:cs="Arial"/>
          <w:sz w:val="17"/>
          <w:szCs w:val="17"/>
          <w:lang w:val="en-US"/>
        </w:rPr>
        <w:t>may</w:t>
      </w:r>
      <w:r w:rsidR="006D04D8" w:rsidRPr="001C4CB9">
        <w:rPr>
          <w:rFonts w:ascii="Arial" w:hAnsi="Arial" w:cs="Arial"/>
          <w:sz w:val="17"/>
          <w:szCs w:val="17"/>
          <w:lang w:val="en-US"/>
        </w:rPr>
        <w:t xml:space="preserve"> be repositioned along the pseudo-peptide </w:t>
      </w:r>
      <w:r w:rsidR="002D5B7D" w:rsidRPr="001C4CB9">
        <w:rPr>
          <w:rFonts w:ascii="Arial" w:hAnsi="Arial" w:cs="Arial"/>
          <w:sz w:val="17"/>
          <w:szCs w:val="17"/>
          <w:lang w:val="en-US"/>
        </w:rPr>
        <w:t>backbone to target other lysine residues present in the hMMP12 catalytic cleft</w:t>
      </w:r>
      <w:r w:rsidR="006D04D8" w:rsidRPr="001C4CB9">
        <w:rPr>
          <w:rFonts w:ascii="Arial" w:hAnsi="Arial" w:cs="Arial"/>
          <w:sz w:val="17"/>
          <w:szCs w:val="17"/>
          <w:lang w:val="en-US"/>
        </w:rPr>
        <w:t xml:space="preserve">. </w:t>
      </w:r>
      <w:r w:rsidRPr="001C4CB9">
        <w:rPr>
          <w:rFonts w:ascii="Arial" w:hAnsi="Arial" w:cs="Arial"/>
          <w:sz w:val="17"/>
          <w:szCs w:val="17"/>
          <w:lang w:val="en-US"/>
        </w:rPr>
        <w:t xml:space="preserve">Overall, the labeling performances of RXP470.1-derived </w:t>
      </w:r>
      <w:r w:rsidR="00414462" w:rsidRPr="001C4CB9">
        <w:rPr>
          <w:rFonts w:ascii="Arial" w:hAnsi="Arial" w:cs="Arial"/>
          <w:sz w:val="17"/>
          <w:szCs w:val="17"/>
          <w:lang w:val="en-US"/>
        </w:rPr>
        <w:t xml:space="preserve">probes </w:t>
      </w:r>
      <w:r w:rsidR="00414462" w:rsidRPr="001C4CB9">
        <w:rPr>
          <w:rFonts w:ascii="Arial" w:hAnsi="Arial" w:cs="Arial"/>
          <w:b/>
          <w:sz w:val="17"/>
          <w:szCs w:val="17"/>
          <w:lang w:val="en-US"/>
        </w:rPr>
        <w:t>1</w:t>
      </w:r>
      <w:r w:rsidR="00414462" w:rsidRPr="001C4CB9">
        <w:rPr>
          <w:rFonts w:ascii="Arial" w:hAnsi="Arial" w:cs="Arial"/>
          <w:sz w:val="17"/>
          <w:szCs w:val="17"/>
          <w:lang w:val="en-US"/>
        </w:rPr>
        <w:t xml:space="preserve"> and </w:t>
      </w:r>
      <w:r w:rsidR="00414462" w:rsidRPr="001C4CB9">
        <w:rPr>
          <w:rFonts w:ascii="Arial" w:hAnsi="Arial" w:cs="Arial"/>
          <w:b/>
          <w:sz w:val="17"/>
          <w:szCs w:val="17"/>
          <w:lang w:val="en-US"/>
        </w:rPr>
        <w:t>2</w:t>
      </w:r>
      <w:r w:rsidRPr="001C4CB9">
        <w:rPr>
          <w:rFonts w:ascii="Arial" w:hAnsi="Arial" w:cs="Arial"/>
          <w:sz w:val="17"/>
          <w:szCs w:val="17"/>
          <w:lang w:val="en-US"/>
        </w:rPr>
        <w:t xml:space="preserve"> in complex proteomes remain</w:t>
      </w:r>
      <w:r w:rsidR="00CA43DA" w:rsidRPr="001C4CB9">
        <w:rPr>
          <w:rFonts w:ascii="Arial" w:hAnsi="Arial" w:cs="Arial"/>
          <w:sz w:val="17"/>
          <w:szCs w:val="17"/>
          <w:lang w:val="en-US"/>
        </w:rPr>
        <w:t xml:space="preserve"> </w:t>
      </w:r>
      <w:r w:rsidRPr="001C4CB9">
        <w:rPr>
          <w:rFonts w:ascii="Arial" w:hAnsi="Arial" w:cs="Arial"/>
          <w:sz w:val="17"/>
          <w:szCs w:val="17"/>
          <w:lang w:val="en-US"/>
        </w:rPr>
        <w:t xml:space="preserve">comparable to those previously reported in the literature for photolabile activity-based probes targeting MMPs. </w:t>
      </w:r>
      <w:r w:rsidRPr="001C4CB9">
        <w:rPr>
          <w:rFonts w:ascii="Arial" w:hAnsi="Arial" w:cs="Arial"/>
          <w:sz w:val="17"/>
          <w:szCs w:val="17"/>
          <w:lang w:val="en-US"/>
        </w:rPr>
        <w:fldChar w:fldCharType="begin"/>
      </w:r>
      <w:r w:rsidRPr="001C4CB9">
        <w:rPr>
          <w:rFonts w:ascii="Arial" w:hAnsi="Arial" w:cs="Arial"/>
          <w:sz w:val="17"/>
          <w:szCs w:val="17"/>
          <w:lang w:val="en-US"/>
        </w:rPr>
        <w:instrText xml:space="preserve"> ADDIN ZOTERO_ITEM CSL_CITATION {"citationID":"mImRtWBB","properties":{"formattedCitation":"\\super [16,17,25,43]\\nosupersub{}","plainCitation":"[16,17,25,43]","noteIndex":0},"citationItems":[{"id":9,"uris":["http://zotero.org/users/local/t888UWzB/items/WGF75NDZ"],"uri":["http://zotero.org/users/local/t888UWzB/items/WGF75NDZ"],"itemData":{"id":9,"type":"article-journal","abstract":"The denaturing aspect of current activity-based protein profiling strategies limits the classes of chemical probes to those which irreversibly and covalently modify their targeting enzymes. Herein, we present a complimentary, affinity-based labeling approach to profile enzymes which do not possess covalently bound substrate intermediates. Using a variety of enzymes belonging to the class of metalloproteases, the feasibility of the approach was successfully demonstrated in several proof-of-concept experiments. The design template of affinity-based probes targeting metalloproteases consists of a peptidyl hydroxamate zinc-binding group (ZBG), a fluorescent reporter tag, and a photolabile diazirine group. Photolysis of the photolabile unit in the probe effectively generates a covalent, irreversible linkage between the probe and the target enzyme, rendering the enzyme distinguishable from unlabeled proteins upon separation on a SDS-PAGE gel. A variety of labeling studies were carried out to confirm that the affinity-based approach selectively labeled metalloproteases in the presence of a large excess of other proteins and that the success of the labeling reaction depends intimately upon the catalytic activity of the enzyme. Addition of competitive inhibitors proportionally diminished the extent of enzyme labeling, making the approach useful for potential in situ screening of metalloprotease inhibitors. Using different probes with varying P1 amino acids, we were able to generate unique “fingerprint” profiles of enzymes which may be used to determine their substrate specificities. Finally, by testing against a panel of yeast metalloproteases, we demonstrated that the affinity-based approach may be used for the large-scale profiling of metalloproteases in future proteomic experiments.","container-title":"Journal of the American Chemical Society","DOI":"10.1021/ja047044i","ISSN":"0002-7863","issue":"44","journalAbbreviation":"J. Am. Chem. Soc.","page":"14435-14446","source":"ACS Publications","title":"Developing Photoactive Affinity Probes for Proteomic Profiling:  Hydroxamate-based Probes for Metalloproteases","title-short":"Developing Photoactive Affinity Probes for Proteomic Profiling","volume":"126","author":[{"family":"Chan","given":"Elaine W. S."},{"family":"Chattopadhaya","given":"Souvik"},{"family":"Panicker","given":"Resmi C."},{"family":"Huang","given":"Xuan"},{"family":"Yao","given":"Shao Q."}],"issued":{"date-parts":[["2004",11,1]]}}},{"id":459,"uris":["http://zotero.org/users/local/t888UWzB/items/XQKBA5A4"],"uri":["http://zotero.org/users/local/t888UWzB/items/XQKBA5A4"],"itemData":{"id":459,"type":"article-journal","abstract":"Metalloproteases are a large, diverse class of enzymes involved in many physiological and disease processes. Metalloproteases are regulated by post-translational mechanisms that diminish the effectiveness of conventional genomic and proteomic methods for their functional characterization. Chemical probes directed at active sites offer a potential way to measure metalloprotease activities in biological systems; however, large variations in structure limit the scope of any single small-molecule probe aimed at profiling this enzyme class. Here, we address this problem by creating a library of metalloprotease-directed probes that show complementary target selectivity. These probes were applied as a 'cocktail' to proteomes and their labeling profiles were analyzed collectively using an advanced liquid chromatography-mass spectrometry platform. More than 20 metalloproteases were identified, including members from nearly all of the major branches of this enzyme class. These findings suggest that chemical proteomic methods can serve as a universal strategy to profile the activity of the metalloprotease superfamily in complex biological systems.","container-title":"Nature Chemical Biology","DOI":"10.1038/nchembio781","ISSN":"1552-4450","issue":"5","journalAbbreviation":"Nat. Chem. Biol.","language":"eng","note":"PMID: 16565715\nPMCID: PMC1538544","page":"274-281","source":"PubMed","title":"Proteomic profiling of metalloprotease activities with cocktails of active-site probes","volume":"2","author":[{"family":"Sieber","given":"Stephan A."},{"family":"Niessen","given":"Sherry"},{"family":"Hoover","given":"Heather S."},{"family":"Cravatt","given":"Benjamin F."}],"issued":{"date-parts":[["2006",5]]}}},{"id":1024,"uris":["http://zotero.org/users/local/t888UWzB/items/8NLRDQTX"],"uri":["http://zotero.org/users/local/t888UWzB/items/8NLRDQTX"],"itemData":{"id":1024,"type":"article-journal","abstract":"Active matrix metalloproteases (MMPs) play a significant role in the pathogenesis of many diseases including osteoarthritis (OA), which involves progressive proteolytic degradation of cartilage. Clinical success of OA interventions that target MMPs has been limited by a lack of information about the presence and activity of specific disease-related proteases. We therefore developed a chemoproteomics approach based on MS to characterize the release and activity of MMPs in an in vitro model of the early inflammatory phase of posttraumatic OA (PTOA). We designed and synthesized chemical activity-based probes (ABPs) to identify active MMPs in bovine cartilage explants cultured for 30 days with the proinflammatory cytokine, interleukin-1α. Using these probes in an activity-based protein profiling-multidimensional identification technology (ABPP-MudPIT) approach, we identified active MMP-1, -2, -3, -7, -9, -12, and -13 in the medium after 10 days of culture, the time at which irreversible proteolysis of the collagen network in the explant was detected using proteolytic activation of FRET-quenched MMP substrates. Total MMP levels were quantified by shotgun proteomics, which, taken with ABPP-MudPIT data, indicated the presence of predominantly inactive MMPs in the culture medium. The selectivity of the ABPP-MudPIT approach was further validated by detection of specific endogenous MMPs activated de novo with 4-aminophenylmurcuric acetate. The utility of the new ABPP-MudPIT approach for detecting molecular biomarkers of PTOA disease initiation and potential targets for therapeutics motivates possible application in other diseases involving MMP activity.","container-title":"The Journal of Biological Chemistry","DOI":"10.1074/jbc.M117.818542","ISSN":"1083-351X","issue":"29","journalAbbreviation":"J Biol Chem","language":"eng","note":"PMID: 29794029\nPMCID: PMC6065175","page":"11459-11469","source":"PubMed","title":"Chemoproteomics of matrix metalloproteases in a model of cartilage degeneration suggests functional biomarkers associated with posttraumatic osteoarthritis","volume":"293","author":[{"family":"Ravindra","given":"Kodihalli C."},{"family":"Ahrens","given":"Caroline C."},{"family":"Wang","given":"Yang"},{"family":"Ramseier","given":"Julie Y."},{"family":"Wishnok","given":"John S."},{"family":"Griffith","given":"Linda G."},{"family":"Grodzinsky","given":"Alan J."},{"family":"Tannenbaum","given":"Steven R."}],"issued":{"date-parts":[["2018"]],"season":"20"}}},{"id":395,"uris":["http://zotero.org/users/local/t888UWzB/items/7B6UQRSD"],"uri":["http://zotero.org/users/local/t888UWzB/items/7B6UQRSD"],"itemData":{"id":395,"type":"article-journal","abstract":"Matrix metalloproteases (MMPs) have attracted considerable attention as critical mediators of pathological tissue remodeling processes. However it remains an unresolved challenge to detect their active forms in biological samples. To prove the efficacy of a recently developed MMP activity-based probe, we examined the content in MMP active forms of bronchoalveolar lavage fluids (BALf) from male C57BL/6 mice exposed to ultrafine carbon black nanoparticles, a model of chronic obstructive pulmonary disease. This probe was shown to label proteins, mostly expressed in BALf of mice exposed to nanoparticles. Using competition assays with a selective MMP-12 inhibitor as well as MMP-12 knock-out mice, one of these proteins was identified as the active form of the catalytic domain of MMP-12. This new probe can detect the active form of MMP-12 down to a threshold of 1 fmol. Radioactive counting showed the concentration of the active form of MMP-12 to be around 1 fmol/μl in BALf from nanoparticle-treated mice. A less sensitive probe would therefore not have detected MMP-12. As the probe can detect other MMPs in the femtomolar range, it is a potentially powerful tool for monitoring the levels of MMP active forms in various diseases.","container-title":"The Journal of Biological Chemistry","DOI":"10.1074/jbc.M112.419499","ISSN":"1083-351X","issue":"8","journalAbbreviation":"J. Biol. Chem.","language":"ENG","note":"PMID: 23271741\nPMCID: PMC3581385","page":"5636-5644","source":"PubMed","title":"Detection of endogenous matrix metalloprotease-12 active form with a novel broad spectrum activity-based probe","volume":"288","author":[{"family":"Nury","given":"Catherine"},{"family":"Bregant","given":"Sarah"},{"family":"Czarny","given":"Bertrand"},{"family":"Berthon","given":"Fannely"},{"family":"Cassar-Lajeunesse","given":"Evelyne"},{"family":"Dive","given":"Vincent"}],"issued":{"date-parts":[["2013",2,22]]}}}],"schema":"https://github.com/citation-style-language/schema/raw/master/csl-citation.json"} </w:instrText>
      </w:r>
      <w:r w:rsidRPr="001C4CB9">
        <w:rPr>
          <w:rFonts w:ascii="Arial" w:hAnsi="Arial" w:cs="Arial"/>
          <w:sz w:val="17"/>
          <w:szCs w:val="17"/>
          <w:lang w:val="en-US"/>
        </w:rPr>
        <w:fldChar w:fldCharType="separate"/>
      </w:r>
      <w:r w:rsidRPr="001C4CB9">
        <w:rPr>
          <w:rFonts w:ascii="Arial" w:hAnsi="Arial" w:cs="Arial"/>
          <w:sz w:val="17"/>
          <w:szCs w:val="17"/>
          <w:vertAlign w:val="superscript"/>
          <w:lang w:val="en-US"/>
        </w:rPr>
        <w:t>[16,17,25,43]</w:t>
      </w:r>
      <w:r w:rsidRPr="001C4CB9">
        <w:rPr>
          <w:rFonts w:ascii="Arial" w:hAnsi="Arial" w:cs="Arial"/>
          <w:sz w:val="17"/>
          <w:szCs w:val="17"/>
          <w:lang w:val="en-US"/>
        </w:rPr>
        <w:fldChar w:fldCharType="end"/>
      </w:r>
      <w:r w:rsidRPr="001C4CB9">
        <w:rPr>
          <w:rFonts w:ascii="Arial" w:hAnsi="Arial" w:cs="Arial"/>
          <w:sz w:val="17"/>
          <w:szCs w:val="17"/>
          <w:lang w:val="en-US"/>
        </w:rPr>
        <w:t xml:space="preserve"> </w:t>
      </w:r>
    </w:p>
    <w:p w:rsidR="000570A4" w:rsidRPr="001C4CB9" w:rsidRDefault="00783798" w:rsidP="002B243D">
      <w:pPr>
        <w:pStyle w:val="P1"/>
        <w:rPr>
          <w:rFonts w:cs="Arial"/>
          <w:szCs w:val="17"/>
        </w:rPr>
      </w:pPr>
      <w:r w:rsidRPr="001C4CB9">
        <w:rPr>
          <w:rFonts w:cs="Arial"/>
          <w:szCs w:val="17"/>
        </w:rPr>
        <w:t xml:space="preserve">In the perspective </w:t>
      </w:r>
      <w:r w:rsidR="000570A4" w:rsidRPr="001C4CB9">
        <w:rPr>
          <w:rFonts w:cs="Arial"/>
          <w:szCs w:val="17"/>
        </w:rPr>
        <w:t>of using</w:t>
      </w:r>
      <w:r w:rsidRPr="001C4CB9">
        <w:rPr>
          <w:rFonts w:cs="Arial"/>
          <w:szCs w:val="17"/>
        </w:rPr>
        <w:t xml:space="preserve"> RXP470.1-derived probes </w:t>
      </w:r>
      <w:r w:rsidR="000570A4" w:rsidRPr="001C4CB9">
        <w:rPr>
          <w:rFonts w:cs="Arial"/>
          <w:szCs w:val="17"/>
        </w:rPr>
        <w:t xml:space="preserve">in </w:t>
      </w:r>
      <w:r w:rsidRPr="001C4CB9">
        <w:rPr>
          <w:rFonts w:cs="Arial"/>
          <w:szCs w:val="17"/>
        </w:rPr>
        <w:t xml:space="preserve">biological samples collected </w:t>
      </w:r>
      <w:r w:rsidR="00541E23" w:rsidRPr="001C4CB9">
        <w:rPr>
          <w:rFonts w:cs="Arial"/>
          <w:szCs w:val="17"/>
        </w:rPr>
        <w:t xml:space="preserve">from </w:t>
      </w:r>
      <w:r w:rsidRPr="001C4CB9">
        <w:rPr>
          <w:rFonts w:cs="Arial"/>
          <w:szCs w:val="17"/>
        </w:rPr>
        <w:t>preclinical mice models or</w:t>
      </w:r>
      <w:r w:rsidR="00DA1786" w:rsidRPr="001C4CB9">
        <w:rPr>
          <w:rFonts w:cs="Arial"/>
          <w:szCs w:val="17"/>
        </w:rPr>
        <w:t xml:space="preserve"> </w:t>
      </w:r>
      <w:r w:rsidR="000570A4" w:rsidRPr="001C4CB9">
        <w:rPr>
          <w:rFonts w:cs="Arial"/>
          <w:szCs w:val="17"/>
        </w:rPr>
        <w:t xml:space="preserve">in vivo, </w:t>
      </w:r>
      <w:r w:rsidRPr="001C4CB9">
        <w:rPr>
          <w:rFonts w:cs="Arial"/>
          <w:szCs w:val="17"/>
        </w:rPr>
        <w:t xml:space="preserve">the reactivity of probe </w:t>
      </w:r>
      <w:r w:rsidRPr="001C4CB9">
        <w:rPr>
          <w:rFonts w:cs="Arial"/>
          <w:b/>
          <w:szCs w:val="17"/>
        </w:rPr>
        <w:t>2</w:t>
      </w:r>
      <w:r w:rsidRPr="001C4CB9">
        <w:rPr>
          <w:rFonts w:cs="Arial"/>
          <w:szCs w:val="17"/>
        </w:rPr>
        <w:t xml:space="preserve"> towards recombinant mouse MMP-12 (rmMMP-12) was investigated. At pH 7.5, the labelling of rmMMP-12 (40nM) </w:t>
      </w:r>
      <w:r w:rsidR="000570A4" w:rsidRPr="001C4CB9">
        <w:rPr>
          <w:rFonts w:cs="Arial"/>
          <w:szCs w:val="17"/>
        </w:rPr>
        <w:t xml:space="preserve">was validated but </w:t>
      </w:r>
      <w:r w:rsidRPr="001C4CB9">
        <w:rPr>
          <w:rFonts w:cs="Arial"/>
          <w:szCs w:val="17"/>
        </w:rPr>
        <w:t xml:space="preserve">required 300 </w:t>
      </w:r>
      <w:proofErr w:type="spellStart"/>
      <w:r w:rsidRPr="001C4CB9">
        <w:rPr>
          <w:rFonts w:cs="Arial"/>
          <w:szCs w:val="17"/>
        </w:rPr>
        <w:t>nM</w:t>
      </w:r>
      <w:proofErr w:type="spellEnd"/>
      <w:r w:rsidRPr="001C4CB9">
        <w:rPr>
          <w:rFonts w:cs="Arial"/>
          <w:szCs w:val="17"/>
        </w:rPr>
        <w:t xml:space="preserve"> of probe </w:t>
      </w:r>
      <w:r w:rsidRPr="001C4CB9">
        <w:rPr>
          <w:rFonts w:cs="Arial"/>
          <w:b/>
          <w:szCs w:val="17"/>
        </w:rPr>
        <w:t>2</w:t>
      </w:r>
      <w:r w:rsidRPr="001C4CB9">
        <w:rPr>
          <w:rFonts w:cs="Arial"/>
          <w:szCs w:val="17"/>
        </w:rPr>
        <w:t xml:space="preserve"> to be as efficient </w:t>
      </w:r>
      <w:r w:rsidR="000570A4" w:rsidRPr="001C4CB9">
        <w:rPr>
          <w:rFonts w:cs="Arial"/>
          <w:szCs w:val="17"/>
        </w:rPr>
        <w:t xml:space="preserve">as </w:t>
      </w:r>
      <w:r w:rsidR="00DA1786" w:rsidRPr="001C4CB9">
        <w:rPr>
          <w:rFonts w:cs="Arial"/>
          <w:szCs w:val="17"/>
        </w:rPr>
        <w:t>that</w:t>
      </w:r>
      <w:r w:rsidRPr="001C4CB9">
        <w:rPr>
          <w:rFonts w:cs="Arial"/>
          <w:szCs w:val="17"/>
        </w:rPr>
        <w:t xml:space="preserve"> of rhMMP-12 by </w:t>
      </w:r>
      <w:r w:rsidR="000570A4" w:rsidRPr="001C4CB9">
        <w:rPr>
          <w:rFonts w:cs="Arial"/>
          <w:szCs w:val="17"/>
        </w:rPr>
        <w:t xml:space="preserve">the same probe used at 100 </w:t>
      </w:r>
      <w:proofErr w:type="spellStart"/>
      <w:r w:rsidR="000570A4" w:rsidRPr="001C4CB9">
        <w:rPr>
          <w:rFonts w:cs="Arial"/>
          <w:szCs w:val="17"/>
        </w:rPr>
        <w:t>nM</w:t>
      </w:r>
      <w:proofErr w:type="spellEnd"/>
      <w:r w:rsidRPr="001C4CB9">
        <w:rPr>
          <w:rFonts w:cs="Arial"/>
          <w:szCs w:val="17"/>
        </w:rPr>
        <w:t xml:space="preserve"> (Figure S6B). This is mainly due to </w:t>
      </w:r>
      <w:r w:rsidR="00715852" w:rsidRPr="001C4CB9">
        <w:rPr>
          <w:rFonts w:cs="Arial"/>
          <w:szCs w:val="17"/>
        </w:rPr>
        <w:t xml:space="preserve">a </w:t>
      </w:r>
      <w:r w:rsidRPr="001C4CB9">
        <w:rPr>
          <w:rFonts w:cs="Arial"/>
          <w:szCs w:val="17"/>
        </w:rPr>
        <w:t xml:space="preserve">lower binding affinity of probe </w:t>
      </w:r>
      <w:r w:rsidRPr="001C4CB9">
        <w:rPr>
          <w:rFonts w:cs="Arial"/>
          <w:b/>
          <w:szCs w:val="17"/>
        </w:rPr>
        <w:t>2</w:t>
      </w:r>
      <w:r w:rsidRPr="001C4CB9">
        <w:rPr>
          <w:rFonts w:cs="Arial"/>
          <w:szCs w:val="17"/>
        </w:rPr>
        <w:t xml:space="preserve"> towards rmMMP-12, seven times less potent by comparison to rhMMP-12 (Table S1). As previously shown and consistent with a pH dependence upon </w:t>
      </w:r>
      <w:proofErr w:type="spellStart"/>
      <w:r w:rsidRPr="001C4CB9">
        <w:rPr>
          <w:rFonts w:cs="Arial"/>
          <w:szCs w:val="17"/>
        </w:rPr>
        <w:t>phosphinic</w:t>
      </w:r>
      <w:proofErr w:type="spellEnd"/>
      <w:r w:rsidRPr="001C4CB9">
        <w:rPr>
          <w:rFonts w:cs="Arial"/>
          <w:szCs w:val="17"/>
        </w:rPr>
        <w:t xml:space="preserve"> pseudo peptides binding to MMPs</w:t>
      </w:r>
      <w:r w:rsidRPr="001C4CB9">
        <w:rPr>
          <w:rFonts w:cs="Arial"/>
          <w:szCs w:val="17"/>
        </w:rPr>
        <w:fldChar w:fldCharType="begin"/>
      </w:r>
      <w:r w:rsidRPr="001C4CB9">
        <w:rPr>
          <w:rFonts w:cs="Arial"/>
          <w:szCs w:val="17"/>
        </w:rPr>
        <w:instrText xml:space="preserve"> ADDIN ZOTERO_ITEM CSL_CITATION {"citationID":"rmsyuSOM","properties":{"formattedCitation":"\\super [44]\\nosupersub{}","plainCitation":"[44]","noteIndex":0},"citationItems":[{"id":482,"uris":["http://zotero.org/users/local/t888UWzB/items/GK4M42E2"],"uri":["http://zotero.org/users/local/t888UWzB/items/GK4M42E2"],"itemData":{"id":482,"type":"article-journal","abstract":"The most exploited strategy to develop potent zinc-metalloprotease inhibitors relies on a core zinc chelator and a peptidic or nonpeptidic scaffold that provides supplementary interactions for optimized potency and selectivity. Applied to matrix metalloproteases (MMPs) with highly conserved catalytic domains, this strategy failed to identify inhibitors with the desired selectivity profiles. To question the precise role of the zinc-binding group (ZBG), we have carried out a study on MMP-12 inhibitors with a common peptidic core but different ZBGs. We find that exchanging the ZBG modifies inhibitor positioning and affects its dynamics and selectivity. The binding properties of these compounds were compared through biochemical, structural, and calorimetric studies, showing a complex interplay between cooperative interactions and dynamics dictated by the ZBG. Improving selectivity will require expanding the ZBG repertoire within inhibitor libraries, since relying on a single ZBG significantly decreases our chance to identify effective inhibitors.","container-title":"Journal of Medicinal Chemistry","DOI":"10.1021/acs.jmedchem.6b01420","ISSN":"1520-4804","issue":"1","journalAbbreviation":"J. Med. Chem.","language":"eng","note":"PMID: 27996256","page":"403-414","source":"PubMed","title":"Zinc-Metalloproteinase Inhibitors: Evaluation of the Complex Role Played by the Zinc-Binding Group on Potency and Selectivity","title-short":"Zinc-Metalloproteinase Inhibitors","volume":"60","author":[{"family":"Rouanet-Mehouas","given":"Cecile"},{"family":"Czarny","given":"Bertrand"},{"family":"Beau","given":"Fabrice"},{"family":"Cassar-Lajeunesse","given":"Evelyne"},{"family":"Stura","given":"Enrico A."},{"family":"Dive","given":"Vincent"},{"family":"Devel","given":"Laurent"}],"issued":{"date-parts":[["2017",1,12]]}}}],"schema":"https://github.com/citation-style-language/schema/raw/master/csl-citation.json"} </w:instrText>
      </w:r>
      <w:r w:rsidRPr="001C4CB9">
        <w:rPr>
          <w:rFonts w:cs="Arial"/>
          <w:szCs w:val="17"/>
        </w:rPr>
        <w:fldChar w:fldCharType="separate"/>
      </w:r>
      <w:r w:rsidRPr="001C4CB9">
        <w:rPr>
          <w:rFonts w:cs="Arial"/>
          <w:vertAlign w:val="superscript"/>
        </w:rPr>
        <w:t>[44]</w:t>
      </w:r>
      <w:r w:rsidRPr="001C4CB9">
        <w:rPr>
          <w:rFonts w:cs="Arial"/>
          <w:szCs w:val="17"/>
        </w:rPr>
        <w:fldChar w:fldCharType="end"/>
      </w:r>
      <w:r w:rsidRPr="001C4CB9">
        <w:rPr>
          <w:rFonts w:cs="Arial"/>
          <w:szCs w:val="17"/>
        </w:rPr>
        <w:t xml:space="preserve">, a gain in potency of probe </w:t>
      </w:r>
      <w:r w:rsidRPr="001C4CB9">
        <w:rPr>
          <w:rFonts w:cs="Arial"/>
          <w:b/>
          <w:szCs w:val="17"/>
        </w:rPr>
        <w:t>2</w:t>
      </w:r>
      <w:r w:rsidRPr="001C4CB9">
        <w:rPr>
          <w:rFonts w:cs="Arial"/>
          <w:szCs w:val="17"/>
        </w:rPr>
        <w:t xml:space="preserve"> towards rmMMP-12 could be achieved at pH=6.8 (Table S1). However, </w:t>
      </w:r>
      <w:r w:rsidR="000570A4" w:rsidRPr="001C4CB9">
        <w:rPr>
          <w:rFonts w:cs="Arial"/>
          <w:szCs w:val="17"/>
        </w:rPr>
        <w:t xml:space="preserve">this gain in potency did not </w:t>
      </w:r>
      <w:r w:rsidR="009F29E8" w:rsidRPr="001C4CB9">
        <w:rPr>
          <w:rFonts w:cs="Arial"/>
          <w:szCs w:val="17"/>
        </w:rPr>
        <w:t>correspond</w:t>
      </w:r>
      <w:r w:rsidR="000570A4" w:rsidRPr="001C4CB9">
        <w:rPr>
          <w:rFonts w:cs="Arial"/>
          <w:szCs w:val="17"/>
        </w:rPr>
        <w:t xml:space="preserve"> with a more efficient labeling. In this case</w:t>
      </w:r>
      <w:r w:rsidR="009F29E8" w:rsidRPr="001C4CB9">
        <w:rPr>
          <w:rFonts w:cs="Arial"/>
          <w:szCs w:val="17"/>
        </w:rPr>
        <w:t xml:space="preserve">, mMMP12 </w:t>
      </w:r>
      <w:r w:rsidRPr="001C4CB9">
        <w:rPr>
          <w:rFonts w:cs="Arial"/>
          <w:szCs w:val="17"/>
        </w:rPr>
        <w:t>Lys</w:t>
      </w:r>
      <w:r w:rsidRPr="001C4CB9">
        <w:rPr>
          <w:rFonts w:cs="Arial"/>
          <w:szCs w:val="17"/>
          <w:vertAlign w:val="superscript"/>
        </w:rPr>
        <w:t>181</w:t>
      </w:r>
      <w:r w:rsidRPr="001C4CB9">
        <w:rPr>
          <w:rFonts w:cs="Arial"/>
          <w:szCs w:val="17"/>
        </w:rPr>
        <w:t xml:space="preserve"> located in comparable position to that of hMMP-12 Lys</w:t>
      </w:r>
      <w:r w:rsidRPr="001C4CB9">
        <w:rPr>
          <w:rFonts w:cs="Arial"/>
          <w:szCs w:val="17"/>
          <w:vertAlign w:val="superscript"/>
        </w:rPr>
        <w:t>177</w:t>
      </w:r>
      <w:r w:rsidRPr="001C4CB9">
        <w:rPr>
          <w:rFonts w:cs="Arial"/>
          <w:szCs w:val="17"/>
        </w:rPr>
        <w:t xml:space="preserve"> </w:t>
      </w:r>
      <w:r w:rsidR="009F29E8" w:rsidRPr="001C4CB9">
        <w:rPr>
          <w:rFonts w:cs="Arial"/>
          <w:szCs w:val="17"/>
        </w:rPr>
        <w:t>(</w:t>
      </w:r>
      <w:r w:rsidRPr="001C4CB9">
        <w:rPr>
          <w:rFonts w:cs="Arial"/>
          <w:szCs w:val="17"/>
        </w:rPr>
        <w:t xml:space="preserve">Figure S6C) </w:t>
      </w:r>
      <w:r w:rsidR="00F83E8B" w:rsidRPr="001C4CB9">
        <w:rPr>
          <w:rFonts w:cs="Arial"/>
          <w:szCs w:val="17"/>
        </w:rPr>
        <w:t>might</w:t>
      </w:r>
      <w:r w:rsidR="009F29E8" w:rsidRPr="001C4CB9">
        <w:rPr>
          <w:rFonts w:cs="Arial"/>
          <w:szCs w:val="17"/>
        </w:rPr>
        <w:t xml:space="preserve"> be the privileged labeling site</w:t>
      </w:r>
      <w:r w:rsidR="008C0914" w:rsidRPr="001C4CB9">
        <w:rPr>
          <w:rFonts w:cs="Arial"/>
          <w:szCs w:val="17"/>
        </w:rPr>
        <w:t xml:space="preserve"> and </w:t>
      </w:r>
      <w:r w:rsidR="00642982" w:rsidRPr="001C4CB9">
        <w:rPr>
          <w:rFonts w:cs="Arial"/>
          <w:szCs w:val="17"/>
        </w:rPr>
        <w:t>decreasing the</w:t>
      </w:r>
      <w:r w:rsidR="009F29E8" w:rsidRPr="001C4CB9">
        <w:rPr>
          <w:rFonts w:cs="Arial"/>
          <w:szCs w:val="17"/>
        </w:rPr>
        <w:t xml:space="preserve"> pH </w:t>
      </w:r>
      <w:r w:rsidR="00F83E8B" w:rsidRPr="001C4CB9">
        <w:rPr>
          <w:rFonts w:cs="Arial"/>
          <w:szCs w:val="17"/>
        </w:rPr>
        <w:t>might</w:t>
      </w:r>
      <w:r w:rsidR="00642982" w:rsidRPr="001C4CB9">
        <w:rPr>
          <w:rFonts w:cs="Arial"/>
          <w:szCs w:val="17"/>
        </w:rPr>
        <w:t xml:space="preserve"> significantly impact</w:t>
      </w:r>
      <w:r w:rsidR="00715852" w:rsidRPr="001C4CB9">
        <w:rPr>
          <w:rFonts w:cs="Arial"/>
          <w:szCs w:val="17"/>
        </w:rPr>
        <w:t xml:space="preserve"> </w:t>
      </w:r>
      <w:r w:rsidR="009F29E8" w:rsidRPr="001C4CB9">
        <w:rPr>
          <w:rFonts w:cs="Arial"/>
          <w:szCs w:val="17"/>
        </w:rPr>
        <w:t>its nucleophilic</w:t>
      </w:r>
      <w:r w:rsidR="00642982" w:rsidRPr="001C4CB9">
        <w:rPr>
          <w:rFonts w:cs="Arial"/>
          <w:szCs w:val="17"/>
        </w:rPr>
        <w:t xml:space="preserve"> character</w:t>
      </w:r>
      <w:r w:rsidRPr="001C4CB9">
        <w:rPr>
          <w:rFonts w:cs="Arial"/>
          <w:szCs w:val="17"/>
        </w:rPr>
        <w:t>.</w:t>
      </w:r>
      <w:r w:rsidR="002B243D" w:rsidRPr="001C4CB9">
        <w:rPr>
          <w:rFonts w:cs="Arial"/>
          <w:szCs w:val="17"/>
        </w:rPr>
        <w:t xml:space="preserve"> </w:t>
      </w:r>
    </w:p>
    <w:p w:rsidR="002B243D" w:rsidRPr="001C4CB9" w:rsidRDefault="002B243D" w:rsidP="002B243D">
      <w:pPr>
        <w:pStyle w:val="P1"/>
        <w:rPr>
          <w:rFonts w:cs="Arial"/>
          <w:szCs w:val="17"/>
        </w:rPr>
      </w:pPr>
      <w:r w:rsidRPr="001C4CB9">
        <w:rPr>
          <w:rFonts w:cs="Arial"/>
          <w:szCs w:val="17"/>
        </w:rPr>
        <w:t xml:space="preserve">Finally, the labelling capacity of probe </w:t>
      </w:r>
      <w:r w:rsidRPr="001C4CB9">
        <w:rPr>
          <w:rFonts w:cs="Arial"/>
          <w:b/>
          <w:szCs w:val="17"/>
        </w:rPr>
        <w:t>2</w:t>
      </w:r>
      <w:r w:rsidRPr="001C4CB9">
        <w:rPr>
          <w:rFonts w:cs="Arial"/>
          <w:szCs w:val="17"/>
        </w:rPr>
        <w:t xml:space="preserve"> was examined on murine MMP-12 produced by eukaryot</w:t>
      </w:r>
      <w:r w:rsidR="00BF0A09" w:rsidRPr="001C4CB9">
        <w:rPr>
          <w:rFonts w:cs="Arial"/>
          <w:szCs w:val="17"/>
        </w:rPr>
        <w:t>e</w:t>
      </w:r>
      <w:r w:rsidRPr="001C4CB9">
        <w:rPr>
          <w:rFonts w:cs="Arial"/>
          <w:szCs w:val="17"/>
        </w:rPr>
        <w:t xml:space="preserve"> cells. </w:t>
      </w:r>
      <w:proofErr w:type="spellStart"/>
      <w:r w:rsidRPr="001C4CB9">
        <w:rPr>
          <w:rFonts w:cs="Arial"/>
          <w:szCs w:val="17"/>
        </w:rPr>
        <w:t>H</w:t>
      </w:r>
      <w:r w:rsidR="003B56FF" w:rsidRPr="001C4CB9">
        <w:rPr>
          <w:rFonts w:cs="Arial"/>
          <w:szCs w:val="17"/>
        </w:rPr>
        <w:t>ek</w:t>
      </w:r>
      <w:proofErr w:type="spellEnd"/>
      <w:r w:rsidRPr="001C4CB9">
        <w:rPr>
          <w:rFonts w:cs="Arial"/>
          <w:szCs w:val="17"/>
        </w:rPr>
        <w:t xml:space="preserve"> 293T cells were first transfected for the expression and secretion of an mMMP-12 </w:t>
      </w:r>
      <w:r w:rsidR="00B0380E" w:rsidRPr="001C4CB9">
        <w:rPr>
          <w:rFonts w:cs="Arial"/>
          <w:szCs w:val="17"/>
        </w:rPr>
        <w:t>under its inactive form</w:t>
      </w:r>
      <w:r w:rsidRPr="001C4CB9">
        <w:rPr>
          <w:rFonts w:cs="Arial"/>
          <w:szCs w:val="17"/>
        </w:rPr>
        <w:t xml:space="preserve"> (proMMP-12)</w:t>
      </w:r>
      <w:r w:rsidR="00B0380E" w:rsidRPr="001C4CB9">
        <w:rPr>
          <w:rFonts w:cs="Arial"/>
          <w:szCs w:val="17"/>
        </w:rPr>
        <w:t xml:space="preserve">. This construct </w:t>
      </w:r>
      <w:r w:rsidRPr="001C4CB9">
        <w:rPr>
          <w:rFonts w:cs="Arial"/>
          <w:szCs w:val="17"/>
        </w:rPr>
        <w:t>compris</w:t>
      </w:r>
      <w:r w:rsidR="00B0380E" w:rsidRPr="001C4CB9">
        <w:rPr>
          <w:rFonts w:cs="Arial"/>
          <w:szCs w:val="17"/>
        </w:rPr>
        <w:t>e</w:t>
      </w:r>
      <w:r w:rsidR="00E16D6B" w:rsidRPr="001C4CB9">
        <w:rPr>
          <w:rFonts w:cs="Arial"/>
          <w:szCs w:val="17"/>
        </w:rPr>
        <w:t>s</w:t>
      </w:r>
      <w:r w:rsidR="00B0380E" w:rsidRPr="001C4CB9">
        <w:rPr>
          <w:rFonts w:cs="Arial"/>
          <w:szCs w:val="17"/>
        </w:rPr>
        <w:t xml:space="preserve"> a </w:t>
      </w:r>
      <w:r w:rsidRPr="001C4CB9">
        <w:rPr>
          <w:rFonts w:cs="Arial"/>
          <w:szCs w:val="17"/>
        </w:rPr>
        <w:t xml:space="preserve">catalytic domain linked to </w:t>
      </w:r>
      <w:r w:rsidR="00B0380E" w:rsidRPr="001C4CB9">
        <w:rPr>
          <w:rFonts w:cs="Arial"/>
          <w:szCs w:val="17"/>
        </w:rPr>
        <w:t xml:space="preserve">a </w:t>
      </w:r>
      <w:proofErr w:type="spellStart"/>
      <w:r w:rsidRPr="001C4CB9">
        <w:rPr>
          <w:rFonts w:cs="Arial"/>
          <w:szCs w:val="17"/>
        </w:rPr>
        <w:t>propeptide</w:t>
      </w:r>
      <w:proofErr w:type="spellEnd"/>
      <w:r w:rsidRPr="001C4CB9">
        <w:rPr>
          <w:rFonts w:cs="Arial"/>
          <w:szCs w:val="17"/>
        </w:rPr>
        <w:t xml:space="preserve"> that prevents the access to </w:t>
      </w:r>
      <w:r w:rsidR="00BF0A09" w:rsidRPr="001C4CB9">
        <w:rPr>
          <w:rFonts w:cs="Arial"/>
          <w:szCs w:val="17"/>
        </w:rPr>
        <w:t xml:space="preserve">its </w:t>
      </w:r>
      <w:r w:rsidRPr="001C4CB9">
        <w:rPr>
          <w:rFonts w:cs="Arial"/>
          <w:szCs w:val="17"/>
        </w:rPr>
        <w:t xml:space="preserve">active site (see </w:t>
      </w:r>
      <w:r w:rsidRPr="001C4CB9">
        <w:rPr>
          <w:rFonts w:cs="Arial"/>
          <w:color w:val="000000" w:themeColor="text1"/>
          <w:szCs w:val="17"/>
        </w:rPr>
        <w:t>Figure S7</w:t>
      </w:r>
      <w:r w:rsidRPr="001C4CB9">
        <w:rPr>
          <w:rFonts w:cs="Arial"/>
          <w:color w:val="FF0000"/>
          <w:szCs w:val="17"/>
        </w:rPr>
        <w:t xml:space="preserve"> </w:t>
      </w:r>
      <w:r w:rsidRPr="001C4CB9">
        <w:rPr>
          <w:rFonts w:cs="Arial"/>
          <w:szCs w:val="17"/>
        </w:rPr>
        <w:t xml:space="preserve">and supplementary methods for </w:t>
      </w:r>
      <w:r w:rsidR="00E16D6B" w:rsidRPr="001C4CB9">
        <w:rPr>
          <w:rFonts w:cs="Arial"/>
          <w:szCs w:val="17"/>
        </w:rPr>
        <w:t xml:space="preserve">a </w:t>
      </w:r>
      <w:r w:rsidRPr="001C4CB9">
        <w:rPr>
          <w:rFonts w:cs="Arial"/>
          <w:szCs w:val="17"/>
        </w:rPr>
        <w:t xml:space="preserve">complete </w:t>
      </w:r>
      <w:r w:rsidR="00E16D6B" w:rsidRPr="001C4CB9">
        <w:rPr>
          <w:rFonts w:cs="Arial"/>
          <w:szCs w:val="17"/>
        </w:rPr>
        <w:t>characterization</w:t>
      </w:r>
      <w:r w:rsidRPr="001C4CB9">
        <w:rPr>
          <w:rFonts w:cs="Arial"/>
          <w:szCs w:val="17"/>
        </w:rPr>
        <w:t xml:space="preserve">). </w:t>
      </w:r>
      <w:r w:rsidR="00E16D6B" w:rsidRPr="001C4CB9">
        <w:rPr>
          <w:rFonts w:cs="Arial"/>
          <w:szCs w:val="17"/>
        </w:rPr>
        <w:t>The l</w:t>
      </w:r>
      <w:r w:rsidRPr="001C4CB9">
        <w:rPr>
          <w:rFonts w:cs="Arial"/>
          <w:szCs w:val="17"/>
        </w:rPr>
        <w:t xml:space="preserve">abelling experiments with probe </w:t>
      </w:r>
      <w:r w:rsidRPr="001C4CB9">
        <w:rPr>
          <w:rFonts w:cs="Arial"/>
          <w:b/>
          <w:szCs w:val="17"/>
        </w:rPr>
        <w:t>2</w:t>
      </w:r>
      <w:r w:rsidRPr="001C4CB9">
        <w:rPr>
          <w:rFonts w:cs="Arial"/>
          <w:szCs w:val="17"/>
        </w:rPr>
        <w:t xml:space="preserve"> were </w:t>
      </w:r>
      <w:r w:rsidR="003B56FF" w:rsidRPr="001C4CB9">
        <w:rPr>
          <w:rFonts w:cs="Arial"/>
          <w:szCs w:val="17"/>
        </w:rPr>
        <w:t>carried out</w:t>
      </w:r>
      <w:r w:rsidRPr="001C4CB9">
        <w:rPr>
          <w:rFonts w:cs="Arial"/>
          <w:szCs w:val="17"/>
        </w:rPr>
        <w:t xml:space="preserve"> in </w:t>
      </w:r>
      <w:proofErr w:type="spellStart"/>
      <w:r w:rsidR="003B56FF" w:rsidRPr="001C4CB9">
        <w:rPr>
          <w:rFonts w:cs="Arial"/>
          <w:szCs w:val="17"/>
        </w:rPr>
        <w:t>Hek</w:t>
      </w:r>
      <w:proofErr w:type="spellEnd"/>
      <w:r w:rsidR="003B56FF" w:rsidRPr="001C4CB9">
        <w:rPr>
          <w:rFonts w:cs="Arial"/>
          <w:szCs w:val="17"/>
        </w:rPr>
        <w:t xml:space="preserve"> cells </w:t>
      </w:r>
      <w:r w:rsidR="0091755C" w:rsidRPr="001C4CB9">
        <w:rPr>
          <w:rFonts w:cs="Arial"/>
          <w:szCs w:val="17"/>
        </w:rPr>
        <w:t>supernatant</w:t>
      </w:r>
      <w:r w:rsidR="00C504B7" w:rsidRPr="001C4CB9">
        <w:rPr>
          <w:rFonts w:cs="Arial"/>
          <w:szCs w:val="17"/>
        </w:rPr>
        <w:t>s</w:t>
      </w:r>
      <w:r w:rsidRPr="001C4CB9">
        <w:rPr>
          <w:rFonts w:cs="Arial"/>
          <w:szCs w:val="17"/>
        </w:rPr>
        <w:t xml:space="preserve"> after </w:t>
      </w:r>
      <w:r w:rsidR="00C504B7" w:rsidRPr="001C4CB9">
        <w:rPr>
          <w:rFonts w:cs="Arial"/>
          <w:szCs w:val="17"/>
        </w:rPr>
        <w:t>their</w:t>
      </w:r>
      <w:r w:rsidR="003B56FF" w:rsidRPr="001C4CB9">
        <w:rPr>
          <w:rFonts w:cs="Arial"/>
          <w:szCs w:val="17"/>
        </w:rPr>
        <w:t xml:space="preserve"> pretreatment by </w:t>
      </w:r>
      <w:r w:rsidRPr="001C4CB9">
        <w:rPr>
          <w:rFonts w:cs="Arial"/>
          <w:szCs w:val="17"/>
        </w:rPr>
        <w:t>trypsin (30 min., 37°C</w:t>
      </w:r>
      <w:r w:rsidR="003B56FF" w:rsidRPr="001C4CB9">
        <w:rPr>
          <w:rFonts w:cs="Arial"/>
          <w:szCs w:val="17"/>
        </w:rPr>
        <w:t xml:space="preserve">). This treatment </w:t>
      </w:r>
      <w:r w:rsidR="008C0914" w:rsidRPr="001C4CB9">
        <w:rPr>
          <w:rFonts w:cs="Arial"/>
          <w:szCs w:val="17"/>
        </w:rPr>
        <w:t>aimed at removing the</w:t>
      </w:r>
      <w:r w:rsidRPr="001C4CB9">
        <w:rPr>
          <w:rFonts w:cs="Arial"/>
          <w:szCs w:val="17"/>
        </w:rPr>
        <w:t xml:space="preserve"> </w:t>
      </w:r>
      <w:r w:rsidR="0091755C" w:rsidRPr="001C4CB9">
        <w:rPr>
          <w:rFonts w:cs="Arial"/>
          <w:szCs w:val="17"/>
        </w:rPr>
        <w:t xml:space="preserve">mMMP-12 </w:t>
      </w:r>
      <w:proofErr w:type="spellStart"/>
      <w:r w:rsidRPr="001C4CB9">
        <w:rPr>
          <w:rFonts w:cs="Arial"/>
          <w:szCs w:val="17"/>
        </w:rPr>
        <w:t>propeptide</w:t>
      </w:r>
      <w:proofErr w:type="spellEnd"/>
      <w:r w:rsidRPr="001C4CB9">
        <w:rPr>
          <w:rFonts w:cs="Arial"/>
          <w:szCs w:val="17"/>
        </w:rPr>
        <w:t xml:space="preserve"> domai</w:t>
      </w:r>
      <w:r w:rsidR="0091755C" w:rsidRPr="001C4CB9">
        <w:rPr>
          <w:rFonts w:cs="Arial"/>
          <w:szCs w:val="17"/>
        </w:rPr>
        <w:t>n, resulting in</w:t>
      </w:r>
      <w:r w:rsidR="003B56FF" w:rsidRPr="001C4CB9">
        <w:rPr>
          <w:rFonts w:cs="Arial"/>
          <w:szCs w:val="17"/>
        </w:rPr>
        <w:t xml:space="preserve"> </w:t>
      </w:r>
      <w:r w:rsidR="00AD3861" w:rsidRPr="001C4CB9">
        <w:rPr>
          <w:rFonts w:cs="Arial"/>
          <w:szCs w:val="17"/>
        </w:rPr>
        <w:t xml:space="preserve">a full </w:t>
      </w:r>
      <w:r w:rsidR="003B56FF" w:rsidRPr="001C4CB9">
        <w:rPr>
          <w:rFonts w:cs="Arial"/>
          <w:szCs w:val="17"/>
        </w:rPr>
        <w:t>activation</w:t>
      </w:r>
      <w:r w:rsidR="0091755C" w:rsidRPr="001C4CB9">
        <w:rPr>
          <w:rFonts w:cs="Arial"/>
          <w:szCs w:val="17"/>
        </w:rPr>
        <w:t xml:space="preserve"> of </w:t>
      </w:r>
      <w:r w:rsidR="00AD3861" w:rsidRPr="001C4CB9">
        <w:rPr>
          <w:rFonts w:cs="Arial"/>
          <w:szCs w:val="17"/>
        </w:rPr>
        <w:t>the protease</w:t>
      </w:r>
      <w:r w:rsidR="0091755C" w:rsidRPr="001C4CB9">
        <w:rPr>
          <w:rFonts w:cs="Arial"/>
          <w:szCs w:val="17"/>
        </w:rPr>
        <w:t>.</w:t>
      </w:r>
      <w:r w:rsidR="003B56FF" w:rsidRPr="001C4CB9">
        <w:rPr>
          <w:rFonts w:cs="Arial"/>
          <w:szCs w:val="17"/>
        </w:rPr>
        <w:t xml:space="preserve"> As sown </w:t>
      </w:r>
      <w:r w:rsidR="003B56FF" w:rsidRPr="001C4CB9">
        <w:rPr>
          <w:rFonts w:cs="Arial"/>
          <w:szCs w:val="17"/>
        </w:rPr>
        <w:lastRenderedPageBreak/>
        <w:t xml:space="preserve">by figure 5B, </w:t>
      </w:r>
      <w:r w:rsidRPr="001C4CB9">
        <w:rPr>
          <w:rFonts w:cs="Arial"/>
          <w:szCs w:val="17"/>
        </w:rPr>
        <w:t xml:space="preserve">probe </w:t>
      </w:r>
      <w:r w:rsidRPr="001C4CB9">
        <w:rPr>
          <w:rFonts w:cs="Arial"/>
          <w:b/>
          <w:szCs w:val="17"/>
        </w:rPr>
        <w:t>2</w:t>
      </w:r>
      <w:r w:rsidR="00FF0EE9" w:rsidRPr="001C4CB9">
        <w:rPr>
          <w:rFonts w:cs="Arial"/>
          <w:b/>
          <w:szCs w:val="17"/>
        </w:rPr>
        <w:t xml:space="preserve"> </w:t>
      </w:r>
      <w:r w:rsidR="00715852" w:rsidRPr="001C4CB9">
        <w:rPr>
          <w:rFonts w:cs="Arial"/>
          <w:szCs w:val="17"/>
        </w:rPr>
        <w:t>used at different concentrations</w:t>
      </w:r>
      <w:r w:rsidR="00FF0EE9" w:rsidRPr="001C4CB9">
        <w:rPr>
          <w:rFonts w:cs="Arial"/>
          <w:szCs w:val="17"/>
        </w:rPr>
        <w:t>,</w:t>
      </w:r>
      <w:r w:rsidR="00715852" w:rsidRPr="001C4CB9">
        <w:rPr>
          <w:rFonts w:cs="Arial"/>
          <w:szCs w:val="17"/>
        </w:rPr>
        <w:t xml:space="preserve"> </w:t>
      </w:r>
      <w:r w:rsidR="00C504B7" w:rsidRPr="001C4CB9">
        <w:rPr>
          <w:rFonts w:cs="Arial"/>
          <w:szCs w:val="17"/>
        </w:rPr>
        <w:t>labeled</w:t>
      </w:r>
      <w:r w:rsidR="00715852" w:rsidRPr="001C4CB9">
        <w:rPr>
          <w:rFonts w:cs="Arial"/>
          <w:szCs w:val="17"/>
        </w:rPr>
        <w:t xml:space="preserve"> </w:t>
      </w:r>
      <w:r w:rsidRPr="001C4CB9">
        <w:rPr>
          <w:rFonts w:cs="Arial"/>
          <w:szCs w:val="17"/>
        </w:rPr>
        <w:t>efficiently active mMMP12 (</w:t>
      </w:r>
      <w:r w:rsidR="00715852" w:rsidRPr="001C4CB9">
        <w:rPr>
          <w:rFonts w:cs="Arial"/>
          <w:szCs w:val="17"/>
        </w:rPr>
        <w:t xml:space="preserve">Figure 5B, </w:t>
      </w:r>
      <w:r w:rsidRPr="001C4CB9">
        <w:rPr>
          <w:rFonts w:cs="Arial"/>
          <w:szCs w:val="17"/>
        </w:rPr>
        <w:t xml:space="preserve">Lanes </w:t>
      </w:r>
      <w:r w:rsidR="00DB707F" w:rsidRPr="001C4CB9">
        <w:rPr>
          <w:rFonts w:cs="Arial"/>
          <w:szCs w:val="17"/>
        </w:rPr>
        <w:t>K</w:t>
      </w:r>
      <w:r w:rsidRPr="001C4CB9">
        <w:rPr>
          <w:rFonts w:cs="Arial"/>
          <w:szCs w:val="17"/>
        </w:rPr>
        <w:t xml:space="preserve"> to </w:t>
      </w:r>
      <w:r w:rsidR="00DB707F" w:rsidRPr="001C4CB9">
        <w:rPr>
          <w:rFonts w:cs="Arial"/>
          <w:szCs w:val="17"/>
        </w:rPr>
        <w:t>N</w:t>
      </w:r>
      <w:r w:rsidRPr="001C4CB9">
        <w:rPr>
          <w:rFonts w:cs="Arial"/>
          <w:szCs w:val="17"/>
        </w:rPr>
        <w:t xml:space="preserve">) </w:t>
      </w:r>
      <w:r w:rsidR="008C0914" w:rsidRPr="001C4CB9">
        <w:rPr>
          <w:rFonts w:cs="Arial"/>
          <w:szCs w:val="17"/>
        </w:rPr>
        <w:t xml:space="preserve">both </w:t>
      </w:r>
      <w:r w:rsidRPr="001C4CB9">
        <w:rPr>
          <w:rFonts w:cs="Arial"/>
          <w:szCs w:val="17"/>
        </w:rPr>
        <w:t xml:space="preserve">detected by </w:t>
      </w:r>
      <w:r w:rsidR="005029D8" w:rsidRPr="001C4CB9">
        <w:rPr>
          <w:rFonts w:cs="Arial"/>
          <w:szCs w:val="17"/>
        </w:rPr>
        <w:t>i</w:t>
      </w:r>
      <w:r w:rsidR="00FF0EE9" w:rsidRPr="001C4CB9">
        <w:rPr>
          <w:rFonts w:cs="Arial"/>
          <w:szCs w:val="17"/>
        </w:rPr>
        <w:t xml:space="preserve">n-gel </w:t>
      </w:r>
      <w:r w:rsidRPr="001C4CB9">
        <w:rPr>
          <w:rFonts w:cs="Arial"/>
          <w:szCs w:val="17"/>
        </w:rPr>
        <w:t>fluorescence</w:t>
      </w:r>
      <w:r w:rsidR="00FF0EE9" w:rsidRPr="001C4CB9">
        <w:rPr>
          <w:rFonts w:cs="Arial"/>
          <w:szCs w:val="17"/>
        </w:rPr>
        <w:t xml:space="preserve"> imaging (left panel) </w:t>
      </w:r>
      <w:r w:rsidRPr="001C4CB9">
        <w:rPr>
          <w:rFonts w:cs="Arial"/>
          <w:szCs w:val="17"/>
        </w:rPr>
        <w:t xml:space="preserve">and </w:t>
      </w:r>
      <w:r w:rsidR="00FF0EE9" w:rsidRPr="001C4CB9">
        <w:rPr>
          <w:rFonts w:cs="Arial"/>
          <w:szCs w:val="17"/>
        </w:rPr>
        <w:t>western blot (right panel)</w:t>
      </w:r>
      <w:r w:rsidRPr="001C4CB9">
        <w:rPr>
          <w:rFonts w:cs="Arial"/>
          <w:szCs w:val="17"/>
        </w:rPr>
        <w:t xml:space="preserve">. In contrast, in absence of trypsin treatment (Figure </w:t>
      </w:r>
      <w:r w:rsidR="00DB707F" w:rsidRPr="001C4CB9">
        <w:rPr>
          <w:rFonts w:cs="Arial"/>
          <w:szCs w:val="17"/>
        </w:rPr>
        <w:t>5B</w:t>
      </w:r>
      <w:r w:rsidRPr="001C4CB9">
        <w:rPr>
          <w:rFonts w:cs="Arial"/>
          <w:szCs w:val="17"/>
        </w:rPr>
        <w:t xml:space="preserve">, lane </w:t>
      </w:r>
      <w:r w:rsidR="0023603C" w:rsidRPr="001C4CB9">
        <w:rPr>
          <w:rFonts w:cs="Arial"/>
          <w:szCs w:val="17"/>
        </w:rPr>
        <w:t>O</w:t>
      </w:r>
      <w:r w:rsidRPr="001C4CB9">
        <w:rPr>
          <w:rFonts w:cs="Arial"/>
          <w:szCs w:val="17"/>
        </w:rPr>
        <w:t xml:space="preserve">), </w:t>
      </w:r>
      <w:r w:rsidR="00715852" w:rsidRPr="001C4CB9">
        <w:rPr>
          <w:rFonts w:cs="Arial"/>
          <w:szCs w:val="17"/>
        </w:rPr>
        <w:t>no labeling was observed</w:t>
      </w:r>
      <w:r w:rsidRPr="001C4CB9">
        <w:rPr>
          <w:rFonts w:cs="Arial"/>
          <w:szCs w:val="17"/>
        </w:rPr>
        <w:t xml:space="preserve"> while proenzyme integrity was </w:t>
      </w:r>
      <w:r w:rsidR="003D3EA1" w:rsidRPr="001C4CB9">
        <w:rPr>
          <w:rFonts w:cs="Arial"/>
          <w:szCs w:val="17"/>
        </w:rPr>
        <w:t>maintained</w:t>
      </w:r>
      <w:r w:rsidRPr="001C4CB9">
        <w:rPr>
          <w:rFonts w:cs="Arial"/>
          <w:szCs w:val="17"/>
        </w:rPr>
        <w:t xml:space="preserve"> during </w:t>
      </w:r>
      <w:r w:rsidR="00715852" w:rsidRPr="001C4CB9">
        <w:rPr>
          <w:rFonts w:cs="Arial"/>
          <w:szCs w:val="17"/>
        </w:rPr>
        <w:t>the labeling reaction</w:t>
      </w:r>
      <w:r w:rsidRPr="001C4CB9">
        <w:rPr>
          <w:rFonts w:cs="Arial"/>
          <w:szCs w:val="17"/>
        </w:rPr>
        <w:t xml:space="preserve"> as assessed by immunostaining. </w:t>
      </w:r>
      <w:r w:rsidR="003E561F" w:rsidRPr="001C4CB9">
        <w:rPr>
          <w:rFonts w:cs="Arial"/>
          <w:szCs w:val="17"/>
        </w:rPr>
        <w:t>I</w:t>
      </w:r>
      <w:r w:rsidRPr="001C4CB9">
        <w:rPr>
          <w:rFonts w:cs="Arial"/>
          <w:szCs w:val="17"/>
        </w:rPr>
        <w:t xml:space="preserve">nactivation of mMMP12 by </w:t>
      </w:r>
      <w:r w:rsidR="00715852" w:rsidRPr="001C4CB9">
        <w:rPr>
          <w:rFonts w:cs="Arial"/>
          <w:szCs w:val="17"/>
        </w:rPr>
        <w:t xml:space="preserve">RXP470.1 or GM6001 </w:t>
      </w:r>
      <w:r w:rsidR="0023603C" w:rsidRPr="001C4CB9">
        <w:rPr>
          <w:rFonts w:cs="Arial"/>
          <w:szCs w:val="17"/>
        </w:rPr>
        <w:t xml:space="preserve">preincubation </w:t>
      </w:r>
      <w:r w:rsidRPr="001C4CB9">
        <w:rPr>
          <w:rFonts w:cs="Arial"/>
          <w:szCs w:val="17"/>
        </w:rPr>
        <w:t>also prevent</w:t>
      </w:r>
      <w:r w:rsidR="003E561F" w:rsidRPr="001C4CB9">
        <w:rPr>
          <w:rFonts w:cs="Arial"/>
          <w:szCs w:val="17"/>
        </w:rPr>
        <w:t xml:space="preserve">ed </w:t>
      </w:r>
      <w:r w:rsidR="00715852" w:rsidRPr="001C4CB9">
        <w:rPr>
          <w:rFonts w:cs="Arial"/>
          <w:szCs w:val="17"/>
        </w:rPr>
        <w:t xml:space="preserve">its labeling </w:t>
      </w:r>
      <w:r w:rsidRPr="001C4CB9">
        <w:rPr>
          <w:rFonts w:cs="Arial"/>
          <w:szCs w:val="17"/>
        </w:rPr>
        <w:t xml:space="preserve">by probe </w:t>
      </w:r>
      <w:r w:rsidRPr="001C4CB9">
        <w:rPr>
          <w:rFonts w:cs="Arial"/>
          <w:b/>
          <w:szCs w:val="17"/>
        </w:rPr>
        <w:t xml:space="preserve">2 </w:t>
      </w:r>
      <w:r w:rsidRPr="001C4CB9">
        <w:rPr>
          <w:rFonts w:cs="Arial"/>
          <w:szCs w:val="17"/>
        </w:rPr>
        <w:t xml:space="preserve">(Figure </w:t>
      </w:r>
      <w:r w:rsidR="00715852" w:rsidRPr="001C4CB9">
        <w:rPr>
          <w:rFonts w:cs="Arial"/>
          <w:szCs w:val="17"/>
        </w:rPr>
        <w:t>5</w:t>
      </w:r>
      <w:r w:rsidRPr="001C4CB9">
        <w:rPr>
          <w:rFonts w:cs="Arial"/>
          <w:szCs w:val="17"/>
        </w:rPr>
        <w:t xml:space="preserve">B, lanes </w:t>
      </w:r>
      <w:r w:rsidR="00AA71A9" w:rsidRPr="001C4CB9">
        <w:rPr>
          <w:rFonts w:cs="Arial"/>
          <w:szCs w:val="17"/>
        </w:rPr>
        <w:t>P</w:t>
      </w:r>
      <w:r w:rsidRPr="001C4CB9">
        <w:rPr>
          <w:rFonts w:cs="Arial"/>
          <w:szCs w:val="17"/>
        </w:rPr>
        <w:t xml:space="preserve"> and </w:t>
      </w:r>
      <w:r w:rsidR="00AA71A9" w:rsidRPr="001C4CB9">
        <w:rPr>
          <w:rFonts w:cs="Arial"/>
          <w:szCs w:val="17"/>
        </w:rPr>
        <w:t xml:space="preserve">Q </w:t>
      </w:r>
      <w:r w:rsidR="00715852" w:rsidRPr="001C4CB9">
        <w:rPr>
          <w:rFonts w:cs="Arial"/>
          <w:szCs w:val="17"/>
        </w:rPr>
        <w:t>respectively</w:t>
      </w:r>
      <w:r w:rsidRPr="001C4CB9">
        <w:rPr>
          <w:rFonts w:cs="Arial"/>
          <w:szCs w:val="17"/>
        </w:rPr>
        <w:t xml:space="preserve">). </w:t>
      </w:r>
      <w:r w:rsidR="00AA71A9" w:rsidRPr="001C4CB9">
        <w:rPr>
          <w:rFonts w:cs="Arial"/>
          <w:szCs w:val="17"/>
        </w:rPr>
        <w:t xml:space="preserve">Altogether, the </w:t>
      </w:r>
      <w:r w:rsidR="008D08F7" w:rsidRPr="001C4CB9">
        <w:rPr>
          <w:rFonts w:cs="Arial"/>
          <w:szCs w:val="17"/>
        </w:rPr>
        <w:t xml:space="preserve">present </w:t>
      </w:r>
      <w:r w:rsidR="00AA71A9" w:rsidRPr="001C4CB9">
        <w:rPr>
          <w:rFonts w:cs="Arial"/>
          <w:szCs w:val="17"/>
        </w:rPr>
        <w:t>results</w:t>
      </w:r>
      <w:r w:rsidR="003D3EA1" w:rsidRPr="001C4CB9">
        <w:rPr>
          <w:rFonts w:cs="Arial"/>
          <w:szCs w:val="17"/>
        </w:rPr>
        <w:t xml:space="preserve"> </w:t>
      </w:r>
      <w:r w:rsidR="006E1A8B" w:rsidRPr="001C4CB9">
        <w:rPr>
          <w:rFonts w:cs="Arial"/>
          <w:szCs w:val="17"/>
        </w:rPr>
        <w:t>validate</w:t>
      </w:r>
      <w:r w:rsidRPr="001C4CB9">
        <w:rPr>
          <w:rFonts w:cs="Arial"/>
          <w:szCs w:val="17"/>
        </w:rPr>
        <w:t xml:space="preserve"> the use of RXP470-derived probes to report accurately </w:t>
      </w:r>
      <w:r w:rsidR="006E1A8B" w:rsidRPr="001C4CB9">
        <w:rPr>
          <w:rFonts w:cs="Arial"/>
          <w:szCs w:val="17"/>
        </w:rPr>
        <w:t xml:space="preserve">and unambiguously </w:t>
      </w:r>
      <w:r w:rsidRPr="001C4CB9">
        <w:rPr>
          <w:rFonts w:cs="Arial"/>
          <w:szCs w:val="17"/>
        </w:rPr>
        <w:t xml:space="preserve">the MMP-12 functional status in complex proteome. </w:t>
      </w:r>
    </w:p>
    <w:p w:rsidR="002B243D" w:rsidRPr="001C4CB9" w:rsidRDefault="002B243D" w:rsidP="002B243D">
      <w:pPr>
        <w:pStyle w:val="H1"/>
        <w:jc w:val="both"/>
        <w:rPr>
          <w:lang w:val="en-US"/>
        </w:rPr>
      </w:pPr>
      <w:r w:rsidRPr="001C4CB9">
        <w:rPr>
          <w:lang w:val="en-US"/>
        </w:rPr>
        <w:t>Conclusion</w:t>
      </w:r>
    </w:p>
    <w:p w:rsidR="009E51DA" w:rsidRPr="001C4CB9" w:rsidRDefault="002B243D" w:rsidP="002B243D">
      <w:pPr>
        <w:pStyle w:val="P1"/>
        <w:rPr>
          <w:szCs w:val="17"/>
        </w:rPr>
      </w:pPr>
      <w:r w:rsidRPr="001C4CB9">
        <w:rPr>
          <w:szCs w:val="17"/>
        </w:rPr>
        <w:t>By developing the first “photo activation-free” strategy to covalently modify MMPs under their active form, the unresolved proteomic profiling of these proteases should be now accessible both in complex proteomes and in vivo.</w:t>
      </w:r>
      <w:r w:rsidRPr="001C4CB9">
        <w:t xml:space="preserve"> </w:t>
      </w:r>
      <w:r w:rsidRPr="001C4CB9">
        <w:rPr>
          <w:szCs w:val="17"/>
        </w:rPr>
        <w:t xml:space="preserve">The present RXP470.1-derived </w:t>
      </w:r>
      <w:r w:rsidR="00C93D98" w:rsidRPr="001C4CB9">
        <w:rPr>
          <w:szCs w:val="17"/>
        </w:rPr>
        <w:t xml:space="preserve">probes </w:t>
      </w:r>
      <w:r w:rsidRPr="001C4CB9">
        <w:rPr>
          <w:szCs w:val="17"/>
        </w:rPr>
        <w:t xml:space="preserve">without </w:t>
      </w:r>
      <w:r w:rsidR="008D08F7" w:rsidRPr="001C4CB9">
        <w:rPr>
          <w:szCs w:val="17"/>
        </w:rPr>
        <w:t xml:space="preserve">any </w:t>
      </w:r>
      <w:r w:rsidRPr="001C4CB9">
        <w:rPr>
          <w:szCs w:val="17"/>
        </w:rPr>
        <w:t xml:space="preserve">photolabile moiety are able to covalently </w:t>
      </w:r>
      <w:r w:rsidR="00660AD6" w:rsidRPr="001C4CB9">
        <w:rPr>
          <w:szCs w:val="17"/>
        </w:rPr>
        <w:t>label</w:t>
      </w:r>
      <w:r w:rsidRPr="001C4CB9">
        <w:rPr>
          <w:szCs w:val="17"/>
        </w:rPr>
        <w:t xml:space="preserve"> MMP</w:t>
      </w:r>
      <w:r w:rsidR="00660AD6" w:rsidRPr="001C4CB9">
        <w:rPr>
          <w:szCs w:val="17"/>
        </w:rPr>
        <w:t>s</w:t>
      </w:r>
      <w:r w:rsidRPr="001C4CB9">
        <w:rPr>
          <w:szCs w:val="17"/>
        </w:rPr>
        <w:t xml:space="preserve"> active site </w:t>
      </w:r>
      <w:r w:rsidR="009E034A" w:rsidRPr="001C4CB9">
        <w:rPr>
          <w:szCs w:val="17"/>
        </w:rPr>
        <w:t xml:space="preserve">at </w:t>
      </w:r>
      <w:r w:rsidR="0064168B" w:rsidRPr="001C4CB9">
        <w:rPr>
          <w:szCs w:val="17"/>
        </w:rPr>
        <w:t>nanogram</w:t>
      </w:r>
      <w:r w:rsidR="009E034A" w:rsidRPr="001C4CB9">
        <w:rPr>
          <w:szCs w:val="17"/>
        </w:rPr>
        <w:t xml:space="preserve"> scale in complex proteomes with a </w:t>
      </w:r>
      <w:r w:rsidR="00A16E75" w:rsidRPr="001C4CB9">
        <w:rPr>
          <w:szCs w:val="17"/>
        </w:rPr>
        <w:t xml:space="preserve">limited </w:t>
      </w:r>
      <w:r w:rsidR="009E034A" w:rsidRPr="001C4CB9">
        <w:rPr>
          <w:szCs w:val="17"/>
        </w:rPr>
        <w:t xml:space="preserve">background labeling. </w:t>
      </w:r>
      <w:r w:rsidRPr="001C4CB9">
        <w:rPr>
          <w:szCs w:val="17"/>
        </w:rPr>
        <w:t xml:space="preserve"> These performances </w:t>
      </w:r>
      <w:r w:rsidR="00760281" w:rsidRPr="001C4CB9">
        <w:rPr>
          <w:szCs w:val="17"/>
        </w:rPr>
        <w:t xml:space="preserve">combined </w:t>
      </w:r>
      <w:r w:rsidR="00C93D98" w:rsidRPr="001C4CB9">
        <w:rPr>
          <w:szCs w:val="17"/>
        </w:rPr>
        <w:t xml:space="preserve">with </w:t>
      </w:r>
      <w:r w:rsidR="00500AEB" w:rsidRPr="001C4CB9">
        <w:rPr>
          <w:szCs w:val="17"/>
        </w:rPr>
        <w:t xml:space="preserve">the capacity of the probes to spare </w:t>
      </w:r>
      <w:r w:rsidR="00C93D98" w:rsidRPr="001C4CB9">
        <w:rPr>
          <w:szCs w:val="17"/>
        </w:rPr>
        <w:t xml:space="preserve">both </w:t>
      </w:r>
      <w:r w:rsidR="00500AEB" w:rsidRPr="001C4CB9">
        <w:rPr>
          <w:szCs w:val="17"/>
        </w:rPr>
        <w:t>inactive and inactivated MMP</w:t>
      </w:r>
      <w:r w:rsidR="00160BCF" w:rsidRPr="001C4CB9">
        <w:rPr>
          <w:szCs w:val="17"/>
        </w:rPr>
        <w:t>s</w:t>
      </w:r>
      <w:r w:rsidR="00500AEB" w:rsidRPr="001C4CB9">
        <w:rPr>
          <w:szCs w:val="17"/>
        </w:rPr>
        <w:t xml:space="preserve"> </w:t>
      </w:r>
      <w:r w:rsidRPr="001C4CB9">
        <w:rPr>
          <w:szCs w:val="17"/>
        </w:rPr>
        <w:t xml:space="preserve">pave the way for the development of </w:t>
      </w:r>
      <w:r w:rsidR="003E561F" w:rsidRPr="001C4CB9">
        <w:rPr>
          <w:szCs w:val="17"/>
        </w:rPr>
        <w:t>MMPs activity-based probes</w:t>
      </w:r>
      <w:r w:rsidRPr="001C4CB9">
        <w:rPr>
          <w:szCs w:val="17"/>
        </w:rPr>
        <w:t xml:space="preserve"> potentially effective in many different biological systems.</w:t>
      </w:r>
      <w:r w:rsidR="004A1C31" w:rsidRPr="001C4CB9">
        <w:rPr>
          <w:szCs w:val="17"/>
        </w:rPr>
        <w:t xml:space="preserve"> </w:t>
      </w:r>
      <w:r w:rsidR="004A1C31" w:rsidRPr="001C4CB9">
        <w:rPr>
          <w:color w:val="000000" w:themeColor="text1"/>
          <w:szCs w:val="17"/>
        </w:rPr>
        <w:t xml:space="preserve">In addition, </w:t>
      </w:r>
      <w:r w:rsidR="004A1C31" w:rsidRPr="001C4CB9">
        <w:rPr>
          <w:color w:val="000000" w:themeColor="text1"/>
        </w:rPr>
        <w:t xml:space="preserve">the labelling of </w:t>
      </w:r>
      <w:r w:rsidR="0064168B" w:rsidRPr="001C4CB9">
        <w:rPr>
          <w:color w:val="000000" w:themeColor="text1"/>
        </w:rPr>
        <w:t xml:space="preserve">MMP-12 </w:t>
      </w:r>
      <w:r w:rsidR="004A1C31" w:rsidRPr="001C4CB9">
        <w:rPr>
          <w:color w:val="000000" w:themeColor="text1"/>
        </w:rPr>
        <w:t>S</w:t>
      </w:r>
      <w:r w:rsidR="004A1C31" w:rsidRPr="001C4CB9">
        <w:rPr>
          <w:color w:val="000000" w:themeColor="text1"/>
          <w:vertAlign w:val="subscript"/>
        </w:rPr>
        <w:t>3</w:t>
      </w:r>
      <w:r w:rsidR="004A1C31" w:rsidRPr="001C4CB9">
        <w:rPr>
          <w:color w:val="000000" w:themeColor="text1"/>
        </w:rPr>
        <w:t>’ region only slightly impair</w:t>
      </w:r>
      <w:r w:rsidR="00C93D98" w:rsidRPr="001C4CB9">
        <w:rPr>
          <w:color w:val="000000" w:themeColor="text1"/>
        </w:rPr>
        <w:t>s</w:t>
      </w:r>
      <w:r w:rsidR="004A1C31" w:rsidRPr="001C4CB9">
        <w:rPr>
          <w:color w:val="000000" w:themeColor="text1"/>
        </w:rPr>
        <w:t xml:space="preserve"> the proteolytic activity of this enzyme. </w:t>
      </w:r>
      <w:r w:rsidR="0064168B" w:rsidRPr="001C4CB9">
        <w:rPr>
          <w:color w:val="000000" w:themeColor="text1"/>
        </w:rPr>
        <w:t>In this respect</w:t>
      </w:r>
      <w:r w:rsidR="003E561F" w:rsidRPr="001C4CB9">
        <w:rPr>
          <w:color w:val="000000" w:themeColor="text1"/>
        </w:rPr>
        <w:t>, t</w:t>
      </w:r>
      <w:r w:rsidR="004A1C31" w:rsidRPr="001C4CB9">
        <w:rPr>
          <w:color w:val="000000" w:themeColor="text1"/>
        </w:rPr>
        <w:t xml:space="preserve">his </w:t>
      </w:r>
      <w:r w:rsidR="00943050" w:rsidRPr="001C4CB9">
        <w:rPr>
          <w:color w:val="000000" w:themeColor="text1"/>
        </w:rPr>
        <w:t>“</w:t>
      </w:r>
      <w:r w:rsidR="008D101F" w:rsidRPr="001C4CB9">
        <w:rPr>
          <w:color w:val="000000" w:themeColor="text1"/>
        </w:rPr>
        <w:t>traceless</w:t>
      </w:r>
      <w:r w:rsidR="00943050" w:rsidRPr="001C4CB9">
        <w:rPr>
          <w:color w:val="000000" w:themeColor="text1"/>
        </w:rPr>
        <w:t>”</w:t>
      </w:r>
      <w:r w:rsidR="008D101F" w:rsidRPr="001C4CB9">
        <w:rPr>
          <w:color w:val="000000" w:themeColor="text1"/>
        </w:rPr>
        <w:t xml:space="preserve"> labeling approach </w:t>
      </w:r>
      <w:r w:rsidR="004A1C31" w:rsidRPr="001C4CB9">
        <w:rPr>
          <w:color w:val="000000" w:themeColor="text1"/>
        </w:rPr>
        <w:t xml:space="preserve">may turn out useful for </w:t>
      </w:r>
      <w:r w:rsidR="00996D6A" w:rsidRPr="001C4CB9">
        <w:rPr>
          <w:color w:val="000000" w:themeColor="text1"/>
        </w:rPr>
        <w:t>monitorin</w:t>
      </w:r>
      <w:r w:rsidR="00E7718B" w:rsidRPr="001C4CB9">
        <w:rPr>
          <w:color w:val="000000" w:themeColor="text1"/>
        </w:rPr>
        <w:t xml:space="preserve">g </w:t>
      </w:r>
      <w:r w:rsidR="00E1047A" w:rsidRPr="001C4CB9">
        <w:rPr>
          <w:color w:val="000000" w:themeColor="text1"/>
        </w:rPr>
        <w:t xml:space="preserve">active </w:t>
      </w:r>
      <w:r w:rsidR="00E7718B" w:rsidRPr="001C4CB9">
        <w:rPr>
          <w:color w:val="000000" w:themeColor="text1"/>
        </w:rPr>
        <w:t xml:space="preserve">MMP-12 that can adopt both an extra and intracellular location </w:t>
      </w:r>
      <w:r w:rsidR="004A1C31" w:rsidRPr="001C4CB9">
        <w:rPr>
          <w:color w:val="000000" w:themeColor="text1"/>
        </w:rPr>
        <w:t xml:space="preserve">as reported in </w:t>
      </w:r>
      <w:r w:rsidR="00E7718B" w:rsidRPr="001C4CB9">
        <w:rPr>
          <w:color w:val="000000" w:themeColor="text1"/>
        </w:rPr>
        <w:t xml:space="preserve">the case of </w:t>
      </w:r>
      <w:r w:rsidR="004A1C31" w:rsidRPr="001C4CB9">
        <w:rPr>
          <w:color w:val="000000" w:themeColor="text1"/>
        </w:rPr>
        <w:t>virus-infected cells</w:t>
      </w:r>
      <w:r w:rsidR="008D101F" w:rsidRPr="001C4CB9">
        <w:rPr>
          <w:color w:val="000000" w:themeColor="text1"/>
        </w:rPr>
        <w:fldChar w:fldCharType="begin"/>
      </w:r>
      <w:r w:rsidR="008D101F" w:rsidRPr="001C4CB9">
        <w:rPr>
          <w:color w:val="000000" w:themeColor="text1"/>
        </w:rPr>
        <w:instrText xml:space="preserve"> ADDIN ZOTERO_ITEM CSL_CITATION {"citationID":"3oiOwu49","properties":{"formattedCitation":"\\super [4]\\nosupersub{}","plainCitation":"[4]","noteIndex":0},"citationItems":[{"id":48,"uris":["http://zotero.org/users/local/t888UWzB/items/685RCVR8"],"uri":["http://zotero.org/users/local/t888UWzB/items/685RCVR8"],"itemData":{"id":48,"type":"article-journal","abstract":"Interferon-α (IFN-α) is essential for antiviral immunity, but in the absence of matrix metalloproteinase-12 (MMP-12) or IκBα (encoded by NFKBIA) we show that IFN-α is retained in the cytosol of virus-infected cells and is not secreted. Our findings suggest that activated IκBα mediates the export of IFN-α from virus-infected cells and that the inability of cells in Mmp12−/− but not wild-type mice to express IκBα and thus export IFN-α makes coxsackievirus type B3 infection lethal and renders respiratory syncytial virus more pathogenic. We show here that after macrophage secretion, MMP-12 is transported into virus-infected cells. In HeLa cells MMP-12 is also translocated to the nucleus, where it binds to the NFKBIA promoter, driving transcription. We also identified dual-regulated substrates that are repressed both by MMP-12 binding to the substrate's gene exons and by MMP-12–mediated cleavage of the substrate protein itself. Whereas intracellular MMP-12 mediates NFKBIA transcription, leading to IFN-α secretion and host protection, extracellular MMP-12 cleaves off the IFN-α receptor 2 binding site of systemic IFN-α, preventing an unchecked immune response. Consistent with an unexpected role for MMP-12 in clearing systemic IFN-α, treatment of coxsackievirus type B3–infected wild-type mice with a membrane-impermeable MMP-12 inhibitor elevates systemic IFN-α levels and reduces viral replication in pancreas while sparing intracellular MMP-12. These findings suggest that inhibiting extracellular MMP-12 could be a new avenue for the development of antiviral treatments.","container-title":"Nature Medicine","DOI":"10.1038/nm.3508","ISSN":"1078-8956","issue":"5","journalAbbreviation":"Nat Med","language":"en","page":"493-502","source":"www.nature.com","title":"A new transcriptional role for matrix metalloproteinase-12 in antiviral immunity","volume":"20","author":[{"family":"Marchant","given":"David J."},{"family":"Bellac","given":"Caroline L."},{"family":"Moraes","given":"Theo J."},{"family":"Wadsworth","given":"Samuel J."},{"family":"Dufour","given":"Antoine"},{"family":"Butler","given":"Georgina S."},{"family":"Bilawchuk","given":"Leanne M."},{"family":"Hendry","given":"Reid G."},{"family":"Robertson","given":"A. Gordon"},{"family":"Cheung","given":"Caroline T."},{"family":"Ng","given":"Julie"},{"family":"Ang","given":"Lisa"},{"family":"Luo","given":"Zongshu"},{"family":"Heilbron","given":"Karl"},{"family":"Norris","given":"Michael J."},{"family":"Duan","given":"Wenming"},{"family":"Bucyk","given":"Taylor"},{"family":"Karpov","given":"Andrei"},{"family":"Devel","given":"Laurent"},{"family":"Georgiadis","given":"Dimitris"},{"family":"Hegele","given":"Richard G."},{"family":"Luo","given":"Honglin"},{"family":"Granville","given":"David J."},{"family":"Dive","given":"Vincent"},{"family":"McManus","given":"Bruce M."},{"family":"Overall","given":"Christopher M."}],"issued":{"date-parts":[["2014",5]]}}}],"schema":"https://github.com/citation-style-language/schema/raw/master/csl-citation.json"} </w:instrText>
      </w:r>
      <w:r w:rsidR="008D101F" w:rsidRPr="001C4CB9">
        <w:rPr>
          <w:color w:val="000000" w:themeColor="text1"/>
        </w:rPr>
        <w:fldChar w:fldCharType="separate"/>
      </w:r>
      <w:r w:rsidR="008D101F" w:rsidRPr="001C4CB9">
        <w:rPr>
          <w:rFonts w:cs="Arial"/>
          <w:color w:val="000000"/>
          <w:vertAlign w:val="superscript"/>
        </w:rPr>
        <w:t>[4]</w:t>
      </w:r>
      <w:r w:rsidR="008D101F" w:rsidRPr="001C4CB9">
        <w:rPr>
          <w:color w:val="000000" w:themeColor="text1"/>
        </w:rPr>
        <w:fldChar w:fldCharType="end"/>
      </w:r>
      <w:r w:rsidR="009E51DA" w:rsidRPr="001C4CB9">
        <w:rPr>
          <w:color w:val="000000" w:themeColor="text1"/>
          <w:szCs w:val="17"/>
        </w:rPr>
        <w:t>.</w:t>
      </w:r>
      <w:r w:rsidR="009E51DA" w:rsidRPr="001C4CB9">
        <w:rPr>
          <w:szCs w:val="17"/>
        </w:rPr>
        <w:t xml:space="preserve"> </w:t>
      </w:r>
    </w:p>
    <w:p w:rsidR="008D101F" w:rsidRPr="001C4CB9" w:rsidRDefault="009E51DA" w:rsidP="002B243D">
      <w:pPr>
        <w:pStyle w:val="P1"/>
        <w:rPr>
          <w:szCs w:val="17"/>
        </w:rPr>
      </w:pPr>
      <w:r w:rsidRPr="001C4CB9">
        <w:rPr>
          <w:szCs w:val="17"/>
        </w:rPr>
        <w:t>O</w:t>
      </w:r>
      <w:r w:rsidR="002B243D" w:rsidRPr="001C4CB9">
        <w:rPr>
          <w:szCs w:val="17"/>
        </w:rPr>
        <w:t xml:space="preserve">ur study </w:t>
      </w:r>
      <w:r w:rsidR="008D101F" w:rsidRPr="001C4CB9">
        <w:rPr>
          <w:szCs w:val="17"/>
        </w:rPr>
        <w:t xml:space="preserve">also </w:t>
      </w:r>
      <w:r w:rsidR="002B243D" w:rsidRPr="001C4CB9">
        <w:rPr>
          <w:szCs w:val="17"/>
        </w:rPr>
        <w:t xml:space="preserve">strongly suggests the possibility to target efficiently a large set of MMPs. This should be achieved either by using </w:t>
      </w:r>
      <w:r w:rsidR="00E1047A" w:rsidRPr="001C4CB9">
        <w:rPr>
          <w:szCs w:val="17"/>
        </w:rPr>
        <w:t>other</w:t>
      </w:r>
      <w:r w:rsidR="002B243D" w:rsidRPr="001C4CB9">
        <w:rPr>
          <w:szCs w:val="17"/>
        </w:rPr>
        <w:t xml:space="preserve"> binding motifs with variable P</w:t>
      </w:r>
      <w:r w:rsidR="002B243D" w:rsidRPr="001C4CB9">
        <w:rPr>
          <w:szCs w:val="17"/>
          <w:vertAlign w:val="subscript"/>
        </w:rPr>
        <w:t>3</w:t>
      </w:r>
      <w:r w:rsidR="002B243D" w:rsidRPr="001C4CB9">
        <w:rPr>
          <w:szCs w:val="17"/>
        </w:rPr>
        <w:t xml:space="preserve">’ chains conjugated to cleavable electrophiles differing in reactivity or by targeting other regions within the MMPs catalytic domain. To this purpose, </w:t>
      </w:r>
      <w:proofErr w:type="spellStart"/>
      <w:r w:rsidR="002B243D" w:rsidRPr="001C4CB9">
        <w:rPr>
          <w:szCs w:val="17"/>
        </w:rPr>
        <w:t>phosphinic</w:t>
      </w:r>
      <w:proofErr w:type="spellEnd"/>
      <w:r w:rsidR="002B243D" w:rsidRPr="001C4CB9">
        <w:rPr>
          <w:szCs w:val="17"/>
        </w:rPr>
        <w:t xml:space="preserve"> pseudo peptide scaffold appears as the most suitable one allowing to span the whole catalytic cleft from primed to unprimed sub-sites. </w:t>
      </w:r>
    </w:p>
    <w:p w:rsidR="002B243D" w:rsidRPr="001C4CB9" w:rsidRDefault="002B243D" w:rsidP="002B243D">
      <w:pPr>
        <w:pStyle w:val="P1"/>
        <w:rPr>
          <w:szCs w:val="17"/>
        </w:rPr>
      </w:pPr>
      <w:r w:rsidRPr="001C4CB9">
        <w:rPr>
          <w:szCs w:val="17"/>
        </w:rPr>
        <w:t>More broadly, we believe that the scope of this affinity-labelling strategy might be extended to a wide variety of metalloproteases but also to proteases from other families by targeting active site potential nucleophile not directly engaged in the catalytic act.</w:t>
      </w:r>
    </w:p>
    <w:p w:rsidR="002B243D" w:rsidRPr="001C4CB9" w:rsidRDefault="002B243D" w:rsidP="002B243D">
      <w:pPr>
        <w:pStyle w:val="H1"/>
        <w:jc w:val="both"/>
        <w:rPr>
          <w:lang w:val="en-US"/>
        </w:rPr>
      </w:pPr>
      <w:r w:rsidRPr="001C4CB9">
        <w:rPr>
          <w:lang w:val="en-US"/>
        </w:rPr>
        <w:t xml:space="preserve">Acknowledgements </w:t>
      </w:r>
    </w:p>
    <w:p w:rsidR="002B243D" w:rsidRPr="001C4CB9" w:rsidRDefault="002B243D" w:rsidP="00760281">
      <w:pPr>
        <w:pStyle w:val="Keywords"/>
        <w:jc w:val="both"/>
        <w:rPr>
          <w:b/>
          <w:lang w:val="en-US"/>
        </w:rPr>
      </w:pPr>
      <w:r w:rsidRPr="001C4CB9">
        <w:rPr>
          <w:szCs w:val="24"/>
          <w:lang w:val="en-US"/>
        </w:rPr>
        <w:t xml:space="preserve">This work was supported by the </w:t>
      </w:r>
      <w:proofErr w:type="spellStart"/>
      <w:r w:rsidRPr="001C4CB9">
        <w:rPr>
          <w:szCs w:val="24"/>
          <w:lang w:val="en-US"/>
        </w:rPr>
        <w:t>Labex</w:t>
      </w:r>
      <w:proofErr w:type="spellEnd"/>
      <w:r w:rsidRPr="001C4CB9">
        <w:rPr>
          <w:szCs w:val="24"/>
          <w:lang w:val="en-US"/>
        </w:rPr>
        <w:t xml:space="preserve"> </w:t>
      </w:r>
      <w:proofErr w:type="spellStart"/>
      <w:r w:rsidRPr="001C4CB9">
        <w:rPr>
          <w:szCs w:val="24"/>
          <w:lang w:val="en-US"/>
        </w:rPr>
        <w:t>Lermit</w:t>
      </w:r>
      <w:proofErr w:type="spellEnd"/>
      <w:r w:rsidRPr="001C4CB9">
        <w:rPr>
          <w:szCs w:val="24"/>
          <w:lang w:val="en-US"/>
        </w:rPr>
        <w:t xml:space="preserve"> (M. K.  </w:t>
      </w:r>
      <w:r w:rsidRPr="001C4CB9">
        <w:rPr>
          <w:color w:val="000000" w:themeColor="text1"/>
          <w:szCs w:val="24"/>
          <w:lang w:val="en-US"/>
        </w:rPr>
        <w:t>ANR10XLERMIT</w:t>
      </w:r>
      <w:r w:rsidRPr="001C4CB9">
        <w:rPr>
          <w:szCs w:val="24"/>
          <w:lang w:val="en-US"/>
        </w:rPr>
        <w:t>) and the French National Research Agency (P. B. ANR-18-CE44-0012).</w:t>
      </w:r>
      <w:r w:rsidRPr="001C4CB9">
        <w:rPr>
          <w:b/>
          <w:lang w:val="en-US"/>
        </w:rPr>
        <w:t xml:space="preserve"> </w:t>
      </w:r>
    </w:p>
    <w:p w:rsidR="00760281" w:rsidRPr="001C4CB9" w:rsidRDefault="002B243D" w:rsidP="00760281">
      <w:pPr>
        <w:widowControl w:val="0"/>
        <w:autoSpaceDE w:val="0"/>
        <w:autoSpaceDN w:val="0"/>
        <w:adjustRightInd w:val="0"/>
        <w:jc w:val="both"/>
        <w:rPr>
          <w:rFonts w:ascii="Arial" w:hAnsi="Arial" w:cs="Arial"/>
          <w:sz w:val="17"/>
          <w:szCs w:val="17"/>
          <w:lang w:val="en-US"/>
        </w:rPr>
      </w:pPr>
      <w:r w:rsidRPr="001C4CB9">
        <w:rPr>
          <w:rFonts w:ascii="Arial" w:hAnsi="Arial" w:cs="Arial"/>
          <w:b/>
          <w:sz w:val="17"/>
          <w:szCs w:val="17"/>
          <w:lang w:val="en-US"/>
        </w:rPr>
        <w:t>Keywords:</w:t>
      </w:r>
      <w:r w:rsidRPr="001C4CB9">
        <w:rPr>
          <w:rFonts w:ascii="Arial" w:hAnsi="Arial" w:cs="Arial"/>
          <w:sz w:val="17"/>
          <w:szCs w:val="17"/>
          <w:lang w:val="en-US"/>
        </w:rPr>
        <w:t xml:space="preserve"> Metalloproteases • Activity-based probes • affinity-labelling • ligand-directed chemistry • macrophage elastase.</w:t>
      </w:r>
      <w:r w:rsidR="00760281" w:rsidRPr="001C4CB9">
        <w:rPr>
          <w:rFonts w:ascii="Arial" w:hAnsi="Arial" w:cs="Arial"/>
          <w:sz w:val="17"/>
          <w:szCs w:val="17"/>
          <w:lang w:val="en-US"/>
        </w:rPr>
        <w:t xml:space="preserve"> </w:t>
      </w:r>
    </w:p>
    <w:p w:rsidR="00760281" w:rsidRPr="001C4CB9" w:rsidRDefault="00760281" w:rsidP="00760281">
      <w:pPr>
        <w:widowControl w:val="0"/>
        <w:autoSpaceDE w:val="0"/>
        <w:autoSpaceDN w:val="0"/>
        <w:adjustRightInd w:val="0"/>
        <w:rPr>
          <w:lang w:val="en-US"/>
        </w:rPr>
      </w:pPr>
    </w:p>
    <w:p w:rsidR="008D101F" w:rsidRPr="001C4CB9" w:rsidRDefault="00760281">
      <w:pPr>
        <w:widowControl w:val="0"/>
        <w:autoSpaceDE w:val="0"/>
        <w:autoSpaceDN w:val="0"/>
        <w:adjustRightInd w:val="0"/>
        <w:rPr>
          <w:rFonts w:ascii="Arial" w:hAnsi="Arial" w:cs="Arial"/>
          <w:sz w:val="14"/>
        </w:rPr>
      </w:pPr>
      <w:r w:rsidRPr="001C4CB9">
        <w:rPr>
          <w:lang w:val="en-US"/>
        </w:rPr>
        <w:fldChar w:fldCharType="begin"/>
      </w:r>
      <w:r w:rsidRPr="001C4CB9">
        <w:rPr>
          <w:lang w:val="en-US"/>
        </w:rPr>
        <w:instrText xml:space="preserve"> ADDIN ZOTERO_BIBL {"uncited":[],"omitted":[],"custom":[]} CSL_BIBLIOGRAPHY </w:instrText>
      </w:r>
      <w:r w:rsidRPr="001C4CB9">
        <w:rPr>
          <w:lang w:val="en-US"/>
        </w:rPr>
        <w:fldChar w:fldCharType="separate"/>
      </w:r>
      <w:r w:rsidR="008D101F" w:rsidRPr="001C4CB9">
        <w:rPr>
          <w:rFonts w:ascii="Arial" w:hAnsi="Arial" w:cs="Arial"/>
          <w:sz w:val="14"/>
        </w:rPr>
        <w:t>[1]</w:t>
      </w:r>
      <w:r w:rsidR="008D101F" w:rsidRPr="001C4CB9">
        <w:rPr>
          <w:rFonts w:ascii="Arial" w:hAnsi="Arial" w:cs="Arial"/>
          <w:sz w:val="14"/>
        </w:rPr>
        <w:tab/>
        <w:t xml:space="preserve">T. Klein, U. Eckhard, A. Dufour, N. Solis, C. M. Overall, </w:t>
      </w:r>
      <w:r w:rsidR="008D101F" w:rsidRPr="001C4CB9">
        <w:rPr>
          <w:rFonts w:ascii="Arial" w:hAnsi="Arial" w:cs="Arial"/>
          <w:i/>
          <w:iCs/>
          <w:sz w:val="14"/>
        </w:rPr>
        <w:t>Chem. Rev.</w:t>
      </w:r>
      <w:r w:rsidR="008D101F" w:rsidRPr="001C4CB9">
        <w:rPr>
          <w:rFonts w:ascii="Arial" w:hAnsi="Arial" w:cs="Arial"/>
          <w:sz w:val="14"/>
        </w:rPr>
        <w:t xml:space="preserve"> </w:t>
      </w:r>
      <w:r w:rsidR="008D101F" w:rsidRPr="001C4CB9">
        <w:rPr>
          <w:rFonts w:ascii="Arial" w:hAnsi="Arial" w:cs="Arial"/>
          <w:b/>
          <w:bCs/>
          <w:sz w:val="14"/>
        </w:rPr>
        <w:t>2018</w:t>
      </w:r>
      <w:r w:rsidR="008D101F" w:rsidRPr="001C4CB9">
        <w:rPr>
          <w:rFonts w:ascii="Arial" w:hAnsi="Arial" w:cs="Arial"/>
          <w:sz w:val="14"/>
        </w:rPr>
        <w:t xml:space="preserve">, </w:t>
      </w:r>
      <w:r w:rsidR="008D101F" w:rsidRPr="001C4CB9">
        <w:rPr>
          <w:rFonts w:ascii="Arial" w:hAnsi="Arial" w:cs="Arial"/>
          <w:i/>
          <w:iCs/>
          <w:sz w:val="14"/>
        </w:rPr>
        <w:t>118</w:t>
      </w:r>
      <w:r w:rsidR="008D101F" w:rsidRPr="001C4CB9">
        <w:rPr>
          <w:rFonts w:ascii="Arial" w:hAnsi="Arial" w:cs="Arial"/>
          <w:sz w:val="14"/>
        </w:rPr>
        <w:t>, 1137–1168.</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w:t>
      </w:r>
      <w:r w:rsidRPr="001C4CB9">
        <w:rPr>
          <w:rFonts w:ascii="Arial" w:hAnsi="Arial" w:cs="Arial"/>
          <w:sz w:val="14"/>
        </w:rPr>
        <w:tab/>
        <w:t xml:space="preserve">R. E. Vandenbroucke, C. Libert, </w:t>
      </w:r>
      <w:r w:rsidRPr="001C4CB9">
        <w:rPr>
          <w:rFonts w:ascii="Arial" w:hAnsi="Arial" w:cs="Arial"/>
          <w:i/>
          <w:iCs/>
          <w:sz w:val="14"/>
        </w:rPr>
        <w:t>Nat Rev Drug Discov</w:t>
      </w:r>
      <w:r w:rsidRPr="001C4CB9">
        <w:rPr>
          <w:rFonts w:ascii="Arial" w:hAnsi="Arial" w:cs="Arial"/>
          <w:sz w:val="14"/>
        </w:rPr>
        <w:t xml:space="preserve"> </w:t>
      </w:r>
      <w:r w:rsidRPr="001C4CB9">
        <w:rPr>
          <w:rFonts w:ascii="Arial" w:hAnsi="Arial" w:cs="Arial"/>
          <w:b/>
          <w:bCs/>
          <w:sz w:val="14"/>
        </w:rPr>
        <w:t>2014</w:t>
      </w:r>
      <w:r w:rsidRPr="001C4CB9">
        <w:rPr>
          <w:rFonts w:ascii="Arial" w:hAnsi="Arial" w:cs="Arial"/>
          <w:sz w:val="14"/>
        </w:rPr>
        <w:t xml:space="preserve">, </w:t>
      </w:r>
      <w:r w:rsidRPr="001C4CB9">
        <w:rPr>
          <w:rFonts w:ascii="Arial" w:hAnsi="Arial" w:cs="Arial"/>
          <w:i/>
          <w:iCs/>
          <w:sz w:val="14"/>
        </w:rPr>
        <w:t>13</w:t>
      </w:r>
      <w:r w:rsidRPr="001C4CB9">
        <w:rPr>
          <w:rFonts w:ascii="Arial" w:hAnsi="Arial" w:cs="Arial"/>
          <w:sz w:val="14"/>
        </w:rPr>
        <w:t>, 904–927.</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w:t>
      </w:r>
      <w:r w:rsidRPr="001C4CB9">
        <w:rPr>
          <w:rFonts w:ascii="Arial" w:hAnsi="Arial" w:cs="Arial"/>
          <w:sz w:val="14"/>
        </w:rPr>
        <w:tab/>
        <w:t xml:space="preserve">P. G. Jobin, G. S. Butler, C. M. Overall, </w:t>
      </w:r>
      <w:r w:rsidRPr="001C4CB9">
        <w:rPr>
          <w:rFonts w:ascii="Arial" w:hAnsi="Arial" w:cs="Arial"/>
          <w:i/>
          <w:iCs/>
          <w:sz w:val="14"/>
        </w:rPr>
        <w:t>Biochim. Biophys. Acta</w:t>
      </w:r>
      <w:r w:rsidRPr="001C4CB9">
        <w:rPr>
          <w:rFonts w:ascii="Arial" w:hAnsi="Arial" w:cs="Arial"/>
          <w:sz w:val="14"/>
        </w:rPr>
        <w:t xml:space="preserve"> </w:t>
      </w:r>
      <w:r w:rsidRPr="001C4CB9">
        <w:rPr>
          <w:rFonts w:ascii="Arial" w:hAnsi="Arial" w:cs="Arial"/>
          <w:b/>
          <w:bCs/>
          <w:sz w:val="14"/>
        </w:rPr>
        <w:t>2017</w:t>
      </w:r>
      <w:r w:rsidRPr="001C4CB9">
        <w:rPr>
          <w:rFonts w:ascii="Arial" w:hAnsi="Arial" w:cs="Arial"/>
          <w:sz w:val="14"/>
        </w:rPr>
        <w:t xml:space="preserve">, </w:t>
      </w:r>
      <w:r w:rsidRPr="001C4CB9">
        <w:rPr>
          <w:rFonts w:ascii="Arial" w:hAnsi="Arial" w:cs="Arial"/>
          <w:i/>
          <w:iCs/>
          <w:sz w:val="14"/>
        </w:rPr>
        <w:t>1864</w:t>
      </w:r>
      <w:r w:rsidRPr="001C4CB9">
        <w:rPr>
          <w:rFonts w:ascii="Arial" w:hAnsi="Arial" w:cs="Arial"/>
          <w:sz w:val="14"/>
        </w:rPr>
        <w:t>, 2043–2055.</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w:t>
      </w:r>
      <w:r w:rsidRPr="001C4CB9">
        <w:rPr>
          <w:rFonts w:ascii="Arial" w:hAnsi="Arial" w:cs="Arial"/>
          <w:sz w:val="14"/>
        </w:rPr>
        <w:tab/>
        <w:t xml:space="preserve">D. J. Marchant, C. L. Bellac, T. J. Moraes, S. J. Wadsworth, A. Dufour, G. S. Butler, L. M. Bilawchuk, R. G. Hendry, A. G. Robertson, C. T. Cheung, J. Ng, L. Ang, Z. Luo, K. Heilbron, M. J. Norris, W. Duan, T. Bucyk, A. Karpov, L. Devel, D. Georgiadis, R. G. Hegele, H. Luo, D. J. Granville, V. Dive, B. M. McManus, C. M. Overall, </w:t>
      </w:r>
      <w:r w:rsidRPr="001C4CB9">
        <w:rPr>
          <w:rFonts w:ascii="Arial" w:hAnsi="Arial" w:cs="Arial"/>
          <w:i/>
          <w:iCs/>
          <w:sz w:val="14"/>
        </w:rPr>
        <w:t>Nat Med</w:t>
      </w:r>
      <w:r w:rsidRPr="001C4CB9">
        <w:rPr>
          <w:rFonts w:ascii="Arial" w:hAnsi="Arial" w:cs="Arial"/>
          <w:sz w:val="14"/>
        </w:rPr>
        <w:t xml:space="preserve"> </w:t>
      </w:r>
      <w:r w:rsidRPr="001C4CB9">
        <w:rPr>
          <w:rFonts w:ascii="Arial" w:hAnsi="Arial" w:cs="Arial"/>
          <w:b/>
          <w:bCs/>
          <w:sz w:val="14"/>
        </w:rPr>
        <w:t>2014</w:t>
      </w:r>
      <w:r w:rsidRPr="001C4CB9">
        <w:rPr>
          <w:rFonts w:ascii="Arial" w:hAnsi="Arial" w:cs="Arial"/>
          <w:sz w:val="14"/>
        </w:rPr>
        <w:t xml:space="preserve">, </w:t>
      </w:r>
      <w:r w:rsidRPr="001C4CB9">
        <w:rPr>
          <w:rFonts w:ascii="Arial" w:hAnsi="Arial" w:cs="Arial"/>
          <w:i/>
          <w:iCs/>
          <w:sz w:val="14"/>
        </w:rPr>
        <w:t>20</w:t>
      </w:r>
      <w:r w:rsidRPr="001C4CB9">
        <w:rPr>
          <w:rFonts w:ascii="Arial" w:hAnsi="Arial" w:cs="Arial"/>
          <w:sz w:val="14"/>
        </w:rPr>
        <w:t>, 493–502.</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[5]</w:t>
      </w:r>
      <w:r w:rsidRPr="001C4CB9">
        <w:rPr>
          <w:rFonts w:ascii="Arial" w:hAnsi="Arial" w:cs="Arial"/>
          <w:sz w:val="14"/>
        </w:rPr>
        <w:tab/>
        <w:t xml:space="preserve">C. M. Overall, O. Kleifeld, </w:t>
      </w:r>
      <w:r w:rsidRPr="001C4CB9">
        <w:rPr>
          <w:rFonts w:ascii="Arial" w:hAnsi="Arial" w:cs="Arial"/>
          <w:i/>
          <w:iCs/>
          <w:sz w:val="14"/>
        </w:rPr>
        <w:t>Nat Rev Cancer</w:t>
      </w:r>
      <w:r w:rsidRPr="001C4CB9">
        <w:rPr>
          <w:rFonts w:ascii="Arial" w:hAnsi="Arial" w:cs="Arial"/>
          <w:sz w:val="14"/>
        </w:rPr>
        <w:t xml:space="preserve"> </w:t>
      </w:r>
      <w:r w:rsidRPr="001C4CB9">
        <w:rPr>
          <w:rFonts w:ascii="Arial" w:hAnsi="Arial" w:cs="Arial"/>
          <w:b/>
          <w:bCs/>
          <w:sz w:val="14"/>
        </w:rPr>
        <w:t>2006</w:t>
      </w:r>
      <w:r w:rsidRPr="001C4CB9">
        <w:rPr>
          <w:rFonts w:ascii="Arial" w:hAnsi="Arial" w:cs="Arial"/>
          <w:sz w:val="14"/>
        </w:rPr>
        <w:t xml:space="preserve">, </w:t>
      </w:r>
      <w:r w:rsidRPr="001C4CB9">
        <w:rPr>
          <w:rFonts w:ascii="Arial" w:hAnsi="Arial" w:cs="Arial"/>
          <w:i/>
          <w:iCs/>
          <w:sz w:val="14"/>
        </w:rPr>
        <w:t>6</w:t>
      </w:r>
      <w:r w:rsidRPr="001C4CB9">
        <w:rPr>
          <w:rFonts w:ascii="Arial" w:hAnsi="Arial" w:cs="Arial"/>
          <w:sz w:val="14"/>
        </w:rPr>
        <w:t>, 227–239.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[6]</w:t>
      </w:r>
      <w:r w:rsidRPr="001C4CB9">
        <w:rPr>
          <w:rFonts w:ascii="Arial" w:hAnsi="Arial" w:cs="Arial"/>
          <w:sz w:val="14"/>
        </w:rPr>
        <w:tab/>
        <w:t xml:space="preserve">L. M. Coussens, B. Fingleton, L. M. Matrisian, </w:t>
      </w:r>
      <w:r w:rsidRPr="001C4CB9">
        <w:rPr>
          <w:rFonts w:ascii="Arial" w:hAnsi="Arial" w:cs="Arial"/>
          <w:i/>
          <w:iCs/>
          <w:sz w:val="14"/>
        </w:rPr>
        <w:t>Science</w:t>
      </w:r>
      <w:r w:rsidRPr="001C4CB9">
        <w:rPr>
          <w:rFonts w:ascii="Arial" w:hAnsi="Arial" w:cs="Arial"/>
          <w:sz w:val="14"/>
        </w:rPr>
        <w:t xml:space="preserve"> </w:t>
      </w:r>
      <w:r w:rsidRPr="001C4CB9">
        <w:rPr>
          <w:rFonts w:ascii="Arial" w:hAnsi="Arial" w:cs="Arial"/>
          <w:b/>
          <w:bCs/>
          <w:sz w:val="14"/>
        </w:rPr>
        <w:t>2002</w:t>
      </w:r>
      <w:r w:rsidRPr="001C4CB9">
        <w:rPr>
          <w:rFonts w:ascii="Arial" w:hAnsi="Arial" w:cs="Arial"/>
          <w:sz w:val="14"/>
        </w:rPr>
        <w:t xml:space="preserve">, </w:t>
      </w:r>
      <w:r w:rsidRPr="001C4CB9">
        <w:rPr>
          <w:rFonts w:ascii="Arial" w:hAnsi="Arial" w:cs="Arial"/>
          <w:i/>
          <w:iCs/>
          <w:sz w:val="14"/>
        </w:rPr>
        <w:t>295</w:t>
      </w:r>
      <w:r w:rsidRPr="001C4CB9">
        <w:rPr>
          <w:rFonts w:ascii="Arial" w:hAnsi="Arial" w:cs="Arial"/>
          <w:sz w:val="14"/>
        </w:rPr>
        <w:t>, 2387–2392.</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[7]</w:t>
      </w:r>
      <w:r w:rsidRPr="001C4CB9">
        <w:rPr>
          <w:rFonts w:ascii="Arial" w:hAnsi="Arial" w:cs="Arial"/>
          <w:sz w:val="14"/>
        </w:rPr>
        <w:tab/>
        <w:t xml:space="preserve">M. Vizovišek, R. Vidmar, M. Drag, M. Fonović, G. S. Salvesen, B. Turk, </w:t>
      </w:r>
      <w:r w:rsidRPr="001C4CB9">
        <w:rPr>
          <w:rFonts w:ascii="Arial" w:hAnsi="Arial" w:cs="Arial"/>
          <w:i/>
          <w:iCs/>
          <w:sz w:val="14"/>
        </w:rPr>
        <w:t>Trends Biochem. Sci.</w:t>
      </w:r>
      <w:r w:rsidRPr="001C4CB9">
        <w:rPr>
          <w:rFonts w:ascii="Arial" w:hAnsi="Arial" w:cs="Arial"/>
          <w:sz w:val="14"/>
        </w:rPr>
        <w:t xml:space="preserve"> </w:t>
      </w:r>
      <w:r w:rsidRPr="001C4CB9">
        <w:rPr>
          <w:rFonts w:ascii="Arial" w:hAnsi="Arial" w:cs="Arial"/>
          <w:b/>
          <w:bCs/>
          <w:sz w:val="14"/>
        </w:rPr>
        <w:t>2018</w:t>
      </w:r>
      <w:r w:rsidRPr="001C4CB9">
        <w:rPr>
          <w:rFonts w:ascii="Arial" w:hAnsi="Arial" w:cs="Arial"/>
          <w:sz w:val="14"/>
        </w:rPr>
        <w:t xml:space="preserve">, </w:t>
      </w:r>
      <w:r w:rsidRPr="001C4CB9">
        <w:rPr>
          <w:rFonts w:ascii="Arial" w:hAnsi="Arial" w:cs="Arial"/>
          <w:i/>
          <w:iCs/>
          <w:sz w:val="14"/>
        </w:rPr>
        <w:t>43</w:t>
      </w:r>
      <w:r w:rsidRPr="001C4CB9">
        <w:rPr>
          <w:rFonts w:ascii="Arial" w:hAnsi="Arial" w:cs="Arial"/>
          <w:sz w:val="14"/>
        </w:rPr>
        <w:t>, 829–844.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[8]</w:t>
      </w:r>
      <w:r w:rsidRPr="001C4CB9">
        <w:rPr>
          <w:rFonts w:ascii="Arial" w:hAnsi="Arial" w:cs="Arial"/>
          <w:sz w:val="14"/>
        </w:rPr>
        <w:tab/>
        <w:t xml:space="preserve">M. Verdoes, S. H. L. Verhelst, </w:t>
      </w:r>
      <w:r w:rsidRPr="001C4CB9">
        <w:rPr>
          <w:rFonts w:ascii="Arial" w:hAnsi="Arial" w:cs="Arial"/>
          <w:i/>
          <w:iCs/>
          <w:sz w:val="14"/>
        </w:rPr>
        <w:t>Biochim. Biophys. Acta</w:t>
      </w:r>
      <w:r w:rsidRPr="001C4CB9">
        <w:rPr>
          <w:rFonts w:ascii="Arial" w:hAnsi="Arial" w:cs="Arial"/>
          <w:sz w:val="14"/>
        </w:rPr>
        <w:t xml:space="preserve"> </w:t>
      </w:r>
      <w:r w:rsidRPr="001C4CB9">
        <w:rPr>
          <w:rFonts w:ascii="Arial" w:hAnsi="Arial" w:cs="Arial"/>
          <w:b/>
          <w:bCs/>
          <w:sz w:val="14"/>
        </w:rPr>
        <w:t>2016</w:t>
      </w:r>
      <w:r w:rsidRPr="001C4CB9">
        <w:rPr>
          <w:rFonts w:ascii="Arial" w:hAnsi="Arial" w:cs="Arial"/>
          <w:sz w:val="14"/>
        </w:rPr>
        <w:t xml:space="preserve">, </w:t>
      </w:r>
      <w:r w:rsidRPr="001C4CB9">
        <w:rPr>
          <w:rFonts w:ascii="Arial" w:hAnsi="Arial" w:cs="Arial"/>
          <w:i/>
          <w:iCs/>
          <w:sz w:val="14"/>
        </w:rPr>
        <w:t>1864</w:t>
      </w:r>
      <w:r w:rsidRPr="001C4CB9">
        <w:rPr>
          <w:rFonts w:ascii="Arial" w:hAnsi="Arial" w:cs="Arial"/>
          <w:sz w:val="14"/>
        </w:rPr>
        <w:t>, 130–142.</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[9]</w:t>
      </w:r>
      <w:r w:rsidRPr="001C4CB9">
        <w:rPr>
          <w:rFonts w:ascii="Arial" w:hAnsi="Arial" w:cs="Arial"/>
          <w:sz w:val="14"/>
        </w:rPr>
        <w:tab/>
        <w:t xml:space="preserve">R. L. Scherer, J. O. McIntyre, L. M. Matrisian, </w:t>
      </w:r>
      <w:r w:rsidRPr="001C4CB9">
        <w:rPr>
          <w:rFonts w:ascii="Arial" w:hAnsi="Arial" w:cs="Arial"/>
          <w:i/>
          <w:iCs/>
          <w:sz w:val="14"/>
        </w:rPr>
        <w:t>Cancer Metastasis Rev</w:t>
      </w:r>
      <w:r w:rsidRPr="001C4CB9">
        <w:rPr>
          <w:rFonts w:ascii="Arial" w:hAnsi="Arial" w:cs="Arial"/>
          <w:sz w:val="14"/>
        </w:rPr>
        <w:t xml:space="preserve"> </w:t>
      </w:r>
      <w:r w:rsidRPr="001C4CB9">
        <w:rPr>
          <w:rFonts w:ascii="Arial" w:hAnsi="Arial" w:cs="Arial"/>
          <w:b/>
          <w:bCs/>
          <w:sz w:val="14"/>
        </w:rPr>
        <w:t>2008</w:t>
      </w:r>
      <w:r w:rsidRPr="001C4CB9">
        <w:rPr>
          <w:rFonts w:ascii="Arial" w:hAnsi="Arial" w:cs="Arial"/>
          <w:sz w:val="14"/>
        </w:rPr>
        <w:t xml:space="preserve">, </w:t>
      </w:r>
      <w:r w:rsidRPr="001C4CB9">
        <w:rPr>
          <w:rFonts w:ascii="Arial" w:hAnsi="Arial" w:cs="Arial"/>
          <w:i/>
          <w:iCs/>
          <w:sz w:val="14"/>
        </w:rPr>
        <w:t>27</w:t>
      </w:r>
      <w:r w:rsidRPr="001C4CB9">
        <w:rPr>
          <w:rFonts w:ascii="Arial" w:hAnsi="Arial" w:cs="Arial"/>
          <w:sz w:val="14"/>
        </w:rPr>
        <w:t>, 679–690.</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[10]</w:t>
      </w:r>
      <w:r w:rsidRPr="001C4CB9">
        <w:rPr>
          <w:rFonts w:ascii="Arial" w:hAnsi="Arial" w:cs="Arial"/>
          <w:sz w:val="14"/>
        </w:rPr>
        <w:tab/>
        <w:t xml:space="preserve">L. Zhu, J. Xie, M. Swierczewska, F. Zhang, Q. Quan, Y. Ma, X. Fang, K. Kim, S. Lee, X. Chen, </w:t>
      </w:r>
      <w:r w:rsidRPr="001C4CB9">
        <w:rPr>
          <w:rFonts w:ascii="Arial" w:hAnsi="Arial" w:cs="Arial"/>
          <w:i/>
          <w:iCs/>
          <w:sz w:val="14"/>
        </w:rPr>
        <w:t>Theranostics</w:t>
      </w:r>
      <w:r w:rsidRPr="001C4CB9">
        <w:rPr>
          <w:rFonts w:ascii="Arial" w:hAnsi="Arial" w:cs="Arial"/>
          <w:sz w:val="14"/>
        </w:rPr>
        <w:t xml:space="preserve"> </w:t>
      </w:r>
      <w:r w:rsidRPr="001C4CB9">
        <w:rPr>
          <w:rFonts w:ascii="Arial" w:hAnsi="Arial" w:cs="Arial"/>
          <w:b/>
          <w:bCs/>
          <w:sz w:val="14"/>
        </w:rPr>
        <w:t>2011</w:t>
      </w:r>
      <w:r w:rsidRPr="001C4CB9">
        <w:rPr>
          <w:rFonts w:ascii="Arial" w:hAnsi="Arial" w:cs="Arial"/>
          <w:sz w:val="14"/>
        </w:rPr>
        <w:t xml:space="preserve">, </w:t>
      </w:r>
      <w:r w:rsidRPr="001C4CB9">
        <w:rPr>
          <w:rFonts w:ascii="Arial" w:hAnsi="Arial" w:cs="Arial"/>
          <w:i/>
          <w:iCs/>
          <w:sz w:val="14"/>
        </w:rPr>
        <w:t>1</w:t>
      </w:r>
      <w:r w:rsidRPr="001C4CB9">
        <w:rPr>
          <w:rFonts w:ascii="Arial" w:hAnsi="Arial" w:cs="Arial"/>
          <w:sz w:val="14"/>
        </w:rPr>
        <w:t>, 18–27.</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[11]</w:t>
      </w:r>
      <w:r w:rsidRPr="001C4CB9">
        <w:rPr>
          <w:rFonts w:ascii="Arial" w:hAnsi="Arial" w:cs="Arial"/>
          <w:sz w:val="14"/>
        </w:rPr>
        <w:tab/>
        <w:t xml:space="preserve">S. Chakrabarty, J. P. Kahler, M. A. T. van de Plassche, R. Vanhoutte, S. H. L. Verhelst, </w:t>
      </w:r>
      <w:r w:rsidRPr="001C4CB9">
        <w:rPr>
          <w:rFonts w:ascii="Arial" w:hAnsi="Arial" w:cs="Arial"/>
          <w:i/>
          <w:iCs/>
          <w:sz w:val="14"/>
        </w:rPr>
        <w:t>Curr. Top. Microbiol. Immunol.</w:t>
      </w:r>
      <w:r w:rsidRPr="001C4CB9">
        <w:rPr>
          <w:rFonts w:ascii="Arial" w:hAnsi="Arial" w:cs="Arial"/>
          <w:sz w:val="14"/>
        </w:rPr>
        <w:t xml:space="preserve"> </w:t>
      </w:r>
      <w:r w:rsidRPr="001C4CB9">
        <w:rPr>
          <w:rFonts w:ascii="Arial" w:hAnsi="Arial" w:cs="Arial"/>
          <w:b/>
          <w:bCs/>
          <w:sz w:val="14"/>
        </w:rPr>
        <w:t>2019</w:t>
      </w:r>
      <w:r w:rsidRPr="001C4CB9">
        <w:rPr>
          <w:rFonts w:ascii="Arial" w:hAnsi="Arial" w:cs="Arial"/>
          <w:sz w:val="14"/>
        </w:rPr>
        <w:t xml:space="preserve">, </w:t>
      </w:r>
      <w:r w:rsidRPr="001C4CB9">
        <w:rPr>
          <w:rFonts w:ascii="Arial" w:hAnsi="Arial" w:cs="Arial"/>
          <w:i/>
          <w:iCs/>
          <w:sz w:val="14"/>
        </w:rPr>
        <w:t>420</w:t>
      </w:r>
      <w:r w:rsidRPr="001C4CB9">
        <w:rPr>
          <w:rFonts w:ascii="Arial" w:hAnsi="Arial" w:cs="Arial"/>
          <w:sz w:val="14"/>
        </w:rPr>
        <w:t>, 253–281.</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[12]</w:t>
      </w:r>
      <w:r w:rsidRPr="001C4CB9">
        <w:rPr>
          <w:rFonts w:ascii="Arial" w:hAnsi="Arial" w:cs="Arial"/>
          <w:sz w:val="14"/>
        </w:rPr>
        <w:tab/>
        <w:t xml:space="preserve">L. I. Willems, H. S. Overkleeft, S. I. van Kasteren, </w:t>
      </w:r>
      <w:r w:rsidRPr="001C4CB9">
        <w:rPr>
          <w:rFonts w:ascii="Arial" w:hAnsi="Arial" w:cs="Arial"/>
          <w:i/>
          <w:iCs/>
          <w:sz w:val="14"/>
        </w:rPr>
        <w:t>Bioconjug Chem</w:t>
      </w:r>
      <w:r w:rsidRPr="001C4CB9">
        <w:rPr>
          <w:rFonts w:ascii="Arial" w:hAnsi="Arial" w:cs="Arial"/>
          <w:sz w:val="14"/>
        </w:rPr>
        <w:t xml:space="preserve"> </w:t>
      </w:r>
      <w:r w:rsidRPr="001C4CB9">
        <w:rPr>
          <w:rFonts w:ascii="Arial" w:hAnsi="Arial" w:cs="Arial"/>
          <w:b/>
          <w:bCs/>
          <w:sz w:val="14"/>
        </w:rPr>
        <w:t>2014</w:t>
      </w:r>
      <w:r w:rsidRPr="001C4CB9">
        <w:rPr>
          <w:rFonts w:ascii="Arial" w:hAnsi="Arial" w:cs="Arial"/>
          <w:sz w:val="14"/>
        </w:rPr>
        <w:t xml:space="preserve">, </w:t>
      </w:r>
      <w:r w:rsidRPr="001C4CB9">
        <w:rPr>
          <w:rFonts w:ascii="Arial" w:hAnsi="Arial" w:cs="Arial"/>
          <w:i/>
          <w:iCs/>
          <w:sz w:val="14"/>
        </w:rPr>
        <w:t>25</w:t>
      </w:r>
      <w:r w:rsidRPr="001C4CB9">
        <w:rPr>
          <w:rFonts w:ascii="Arial" w:hAnsi="Arial" w:cs="Arial"/>
          <w:sz w:val="14"/>
        </w:rPr>
        <w:t>, 1181–1191.</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[13]</w:t>
      </w:r>
      <w:r w:rsidRPr="001C4CB9">
        <w:rPr>
          <w:rFonts w:ascii="Arial" w:hAnsi="Arial" w:cs="Arial"/>
          <w:sz w:val="14"/>
        </w:rPr>
        <w:tab/>
        <w:t xml:space="preserve">S. Serim, U. Haedke, S. H. L. Verhelst, </w:t>
      </w:r>
      <w:r w:rsidRPr="001C4CB9">
        <w:rPr>
          <w:rFonts w:ascii="Arial" w:hAnsi="Arial" w:cs="Arial"/>
          <w:i/>
          <w:iCs/>
          <w:sz w:val="14"/>
        </w:rPr>
        <w:t>ChemMedChem</w:t>
      </w:r>
      <w:r w:rsidRPr="001C4CB9">
        <w:rPr>
          <w:rFonts w:ascii="Arial" w:hAnsi="Arial" w:cs="Arial"/>
          <w:sz w:val="14"/>
        </w:rPr>
        <w:t xml:space="preserve"> </w:t>
      </w:r>
      <w:r w:rsidRPr="001C4CB9">
        <w:rPr>
          <w:rFonts w:ascii="Arial" w:hAnsi="Arial" w:cs="Arial"/>
          <w:b/>
          <w:bCs/>
          <w:sz w:val="14"/>
        </w:rPr>
        <w:t>2012</w:t>
      </w:r>
      <w:r w:rsidRPr="001C4CB9">
        <w:rPr>
          <w:rFonts w:ascii="Arial" w:hAnsi="Arial" w:cs="Arial"/>
          <w:sz w:val="14"/>
        </w:rPr>
        <w:t xml:space="preserve">, </w:t>
      </w:r>
      <w:r w:rsidRPr="001C4CB9">
        <w:rPr>
          <w:rFonts w:ascii="Arial" w:hAnsi="Arial" w:cs="Arial"/>
          <w:i/>
          <w:iCs/>
          <w:sz w:val="14"/>
        </w:rPr>
        <w:t>7</w:t>
      </w:r>
      <w:r w:rsidRPr="001C4CB9">
        <w:rPr>
          <w:rFonts w:ascii="Arial" w:hAnsi="Arial" w:cs="Arial"/>
          <w:sz w:val="14"/>
        </w:rPr>
        <w:t>, 1146–1159.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[14]</w:t>
      </w:r>
      <w:r w:rsidRPr="001C4CB9">
        <w:rPr>
          <w:rFonts w:ascii="Arial" w:hAnsi="Arial" w:cs="Arial"/>
          <w:sz w:val="14"/>
        </w:rPr>
        <w:tab/>
        <w:t xml:space="preserve">E. Deu, M. Verdoes, M. Bogyo, </w:t>
      </w:r>
      <w:r w:rsidRPr="001C4CB9">
        <w:rPr>
          <w:rFonts w:ascii="Arial" w:hAnsi="Arial" w:cs="Arial"/>
          <w:i/>
          <w:iCs/>
          <w:sz w:val="14"/>
        </w:rPr>
        <w:t>Nat. Struct. Mol. Biol.</w:t>
      </w:r>
      <w:r w:rsidRPr="001C4CB9">
        <w:rPr>
          <w:rFonts w:ascii="Arial" w:hAnsi="Arial" w:cs="Arial"/>
          <w:sz w:val="14"/>
        </w:rPr>
        <w:t xml:space="preserve"> </w:t>
      </w:r>
      <w:r w:rsidRPr="001C4CB9">
        <w:rPr>
          <w:rFonts w:ascii="Arial" w:hAnsi="Arial" w:cs="Arial"/>
          <w:b/>
          <w:bCs/>
          <w:sz w:val="14"/>
        </w:rPr>
        <w:t>2012</w:t>
      </w:r>
      <w:r w:rsidRPr="001C4CB9">
        <w:rPr>
          <w:rFonts w:ascii="Arial" w:hAnsi="Arial" w:cs="Arial"/>
          <w:sz w:val="14"/>
        </w:rPr>
        <w:t xml:space="preserve">, </w:t>
      </w:r>
      <w:r w:rsidRPr="001C4CB9">
        <w:rPr>
          <w:rFonts w:ascii="Arial" w:hAnsi="Arial" w:cs="Arial"/>
          <w:i/>
          <w:iCs/>
          <w:sz w:val="14"/>
        </w:rPr>
        <w:t>19</w:t>
      </w:r>
      <w:r w:rsidRPr="001C4CB9">
        <w:rPr>
          <w:rFonts w:ascii="Arial" w:hAnsi="Arial" w:cs="Arial"/>
          <w:sz w:val="14"/>
        </w:rPr>
        <w:t>, 9–16.</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[15]</w:t>
      </w:r>
      <w:r w:rsidRPr="001C4CB9">
        <w:rPr>
          <w:rFonts w:ascii="Arial" w:hAnsi="Arial" w:cs="Arial"/>
          <w:sz w:val="14"/>
        </w:rPr>
        <w:tab/>
        <w:t xml:space="preserve">A. Saghatelian, N. Jessani, A. Joseph, M. Humphrey, B. F. Cravatt, </w:t>
      </w:r>
      <w:r w:rsidRPr="001C4CB9">
        <w:rPr>
          <w:rFonts w:ascii="Arial" w:hAnsi="Arial" w:cs="Arial"/>
          <w:i/>
          <w:iCs/>
          <w:sz w:val="14"/>
        </w:rPr>
        <w:t>Proc. Natl. Acad. Sci. U.S.A.</w:t>
      </w:r>
      <w:r w:rsidRPr="001C4CB9">
        <w:rPr>
          <w:rFonts w:ascii="Arial" w:hAnsi="Arial" w:cs="Arial"/>
          <w:sz w:val="14"/>
        </w:rPr>
        <w:t xml:space="preserve"> </w:t>
      </w:r>
      <w:r w:rsidRPr="001C4CB9">
        <w:rPr>
          <w:rFonts w:ascii="Arial" w:hAnsi="Arial" w:cs="Arial"/>
          <w:b/>
          <w:bCs/>
          <w:sz w:val="14"/>
        </w:rPr>
        <w:t>2004</w:t>
      </w:r>
      <w:r w:rsidRPr="001C4CB9">
        <w:rPr>
          <w:rFonts w:ascii="Arial" w:hAnsi="Arial" w:cs="Arial"/>
          <w:sz w:val="14"/>
        </w:rPr>
        <w:t xml:space="preserve">, </w:t>
      </w:r>
      <w:r w:rsidRPr="001C4CB9">
        <w:rPr>
          <w:rFonts w:ascii="Arial" w:hAnsi="Arial" w:cs="Arial"/>
          <w:i/>
          <w:iCs/>
          <w:sz w:val="14"/>
        </w:rPr>
        <w:t>101</w:t>
      </w:r>
      <w:r w:rsidRPr="001C4CB9">
        <w:rPr>
          <w:rFonts w:ascii="Arial" w:hAnsi="Arial" w:cs="Arial"/>
          <w:sz w:val="14"/>
        </w:rPr>
        <w:t>, 10000–10005.</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[16]</w:t>
      </w:r>
      <w:r w:rsidRPr="001C4CB9">
        <w:rPr>
          <w:rFonts w:ascii="Arial" w:hAnsi="Arial" w:cs="Arial"/>
          <w:sz w:val="14"/>
        </w:rPr>
        <w:tab/>
        <w:t xml:space="preserve">E. W. S. Chan, S. Chattopadhaya, R. C. Panicker, X. Huang, S. Q. Yao, </w:t>
      </w:r>
      <w:r w:rsidRPr="001C4CB9">
        <w:rPr>
          <w:rFonts w:ascii="Arial" w:hAnsi="Arial" w:cs="Arial"/>
          <w:i/>
          <w:iCs/>
          <w:sz w:val="14"/>
        </w:rPr>
        <w:t>J. Am. Chem. Soc.</w:t>
      </w:r>
      <w:r w:rsidRPr="001C4CB9">
        <w:rPr>
          <w:rFonts w:ascii="Arial" w:hAnsi="Arial" w:cs="Arial"/>
          <w:sz w:val="14"/>
        </w:rPr>
        <w:t xml:space="preserve"> </w:t>
      </w:r>
      <w:r w:rsidRPr="001C4CB9">
        <w:rPr>
          <w:rFonts w:ascii="Arial" w:hAnsi="Arial" w:cs="Arial"/>
          <w:b/>
          <w:bCs/>
          <w:sz w:val="14"/>
        </w:rPr>
        <w:t>2004</w:t>
      </w:r>
      <w:r w:rsidRPr="001C4CB9">
        <w:rPr>
          <w:rFonts w:ascii="Arial" w:hAnsi="Arial" w:cs="Arial"/>
          <w:sz w:val="14"/>
        </w:rPr>
        <w:t xml:space="preserve">, </w:t>
      </w:r>
      <w:r w:rsidRPr="001C4CB9">
        <w:rPr>
          <w:rFonts w:ascii="Arial" w:hAnsi="Arial" w:cs="Arial"/>
          <w:i/>
          <w:iCs/>
          <w:sz w:val="14"/>
        </w:rPr>
        <w:t>126</w:t>
      </w:r>
      <w:r w:rsidRPr="001C4CB9">
        <w:rPr>
          <w:rFonts w:ascii="Arial" w:hAnsi="Arial" w:cs="Arial"/>
          <w:sz w:val="14"/>
        </w:rPr>
        <w:t>, 14435–14446.</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[17]</w:t>
      </w:r>
      <w:r w:rsidRPr="001C4CB9">
        <w:rPr>
          <w:rFonts w:ascii="Arial" w:hAnsi="Arial" w:cs="Arial"/>
          <w:sz w:val="14"/>
        </w:rPr>
        <w:tab/>
        <w:t xml:space="preserve">S. A. Sieber, S. Niessen, H. S. Hoover, B. F. Cravatt, </w:t>
      </w:r>
      <w:r w:rsidRPr="001C4CB9">
        <w:rPr>
          <w:rFonts w:ascii="Arial" w:hAnsi="Arial" w:cs="Arial"/>
          <w:i/>
          <w:iCs/>
          <w:sz w:val="14"/>
        </w:rPr>
        <w:t>Nat. Chem. Biol.</w:t>
      </w:r>
      <w:r w:rsidRPr="001C4CB9">
        <w:rPr>
          <w:rFonts w:ascii="Arial" w:hAnsi="Arial" w:cs="Arial"/>
          <w:sz w:val="14"/>
        </w:rPr>
        <w:t xml:space="preserve"> </w:t>
      </w:r>
      <w:r w:rsidRPr="001C4CB9">
        <w:rPr>
          <w:rFonts w:ascii="Arial" w:hAnsi="Arial" w:cs="Arial"/>
          <w:b/>
          <w:bCs/>
          <w:sz w:val="14"/>
        </w:rPr>
        <w:t>2006</w:t>
      </w:r>
      <w:r w:rsidRPr="001C4CB9">
        <w:rPr>
          <w:rFonts w:ascii="Arial" w:hAnsi="Arial" w:cs="Arial"/>
          <w:sz w:val="14"/>
        </w:rPr>
        <w:t xml:space="preserve">, </w:t>
      </w:r>
      <w:r w:rsidRPr="001C4CB9">
        <w:rPr>
          <w:rFonts w:ascii="Arial" w:hAnsi="Arial" w:cs="Arial"/>
          <w:i/>
          <w:iCs/>
          <w:sz w:val="14"/>
        </w:rPr>
        <w:t>2</w:t>
      </w:r>
      <w:r w:rsidRPr="001C4CB9">
        <w:rPr>
          <w:rFonts w:ascii="Arial" w:hAnsi="Arial" w:cs="Arial"/>
          <w:sz w:val="14"/>
        </w:rPr>
        <w:t>, 274–281.</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[18]</w:t>
      </w:r>
      <w:r w:rsidRPr="001C4CB9">
        <w:rPr>
          <w:rFonts w:ascii="Arial" w:hAnsi="Arial" w:cs="Arial"/>
          <w:sz w:val="14"/>
        </w:rPr>
        <w:tab/>
        <w:t xml:space="preserve">M. A. Leeuwenburgh, P. P. Geurink, T. Klein, H. F. Kauffman, G. A. van der Marel, R. Bischoff, H. S. Overkleeft, </w:t>
      </w:r>
      <w:r w:rsidRPr="001C4CB9">
        <w:rPr>
          <w:rFonts w:ascii="Arial" w:hAnsi="Arial" w:cs="Arial"/>
          <w:i/>
          <w:iCs/>
          <w:sz w:val="14"/>
        </w:rPr>
        <w:t>Org Lett</w:t>
      </w:r>
      <w:r w:rsidRPr="001C4CB9">
        <w:rPr>
          <w:rFonts w:ascii="Arial" w:hAnsi="Arial" w:cs="Arial"/>
          <w:sz w:val="14"/>
        </w:rPr>
        <w:t xml:space="preserve"> </w:t>
      </w:r>
      <w:r w:rsidRPr="001C4CB9">
        <w:rPr>
          <w:rFonts w:ascii="Arial" w:hAnsi="Arial" w:cs="Arial"/>
          <w:b/>
          <w:bCs/>
          <w:sz w:val="14"/>
        </w:rPr>
        <w:t>2006</w:t>
      </w:r>
      <w:r w:rsidRPr="001C4CB9">
        <w:rPr>
          <w:rFonts w:ascii="Arial" w:hAnsi="Arial" w:cs="Arial"/>
          <w:sz w:val="14"/>
        </w:rPr>
        <w:t xml:space="preserve">, </w:t>
      </w:r>
      <w:r w:rsidRPr="001C4CB9">
        <w:rPr>
          <w:rFonts w:ascii="Arial" w:hAnsi="Arial" w:cs="Arial"/>
          <w:i/>
          <w:iCs/>
          <w:sz w:val="14"/>
        </w:rPr>
        <w:t>8</w:t>
      </w:r>
      <w:r w:rsidRPr="001C4CB9">
        <w:rPr>
          <w:rFonts w:ascii="Arial" w:hAnsi="Arial" w:cs="Arial"/>
          <w:sz w:val="14"/>
        </w:rPr>
        <w:t>, 1705–1708.</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[19]</w:t>
      </w:r>
      <w:r w:rsidRPr="001C4CB9">
        <w:rPr>
          <w:rFonts w:ascii="Arial" w:hAnsi="Arial" w:cs="Arial"/>
          <w:sz w:val="14"/>
        </w:rPr>
        <w:tab/>
        <w:t xml:space="preserve">J. Wang, M. Uttamchandani, J. Li, M. Hu, S. Q. Yao, </w:t>
      </w:r>
      <w:r w:rsidRPr="001C4CB9">
        <w:rPr>
          <w:rFonts w:ascii="Arial" w:hAnsi="Arial" w:cs="Arial"/>
          <w:i/>
          <w:iCs/>
          <w:sz w:val="14"/>
        </w:rPr>
        <w:t>Org. Lett.</w:t>
      </w:r>
      <w:r w:rsidRPr="001C4CB9">
        <w:rPr>
          <w:rFonts w:ascii="Arial" w:hAnsi="Arial" w:cs="Arial"/>
          <w:sz w:val="14"/>
        </w:rPr>
        <w:t xml:space="preserve"> </w:t>
      </w:r>
      <w:r w:rsidRPr="001C4CB9">
        <w:rPr>
          <w:rFonts w:ascii="Arial" w:hAnsi="Arial" w:cs="Arial"/>
          <w:b/>
          <w:bCs/>
          <w:sz w:val="14"/>
        </w:rPr>
        <w:t>2006</w:t>
      </w:r>
      <w:r w:rsidRPr="001C4CB9">
        <w:rPr>
          <w:rFonts w:ascii="Arial" w:hAnsi="Arial" w:cs="Arial"/>
          <w:sz w:val="14"/>
        </w:rPr>
        <w:t xml:space="preserve">, </w:t>
      </w:r>
      <w:r w:rsidRPr="001C4CB9">
        <w:rPr>
          <w:rFonts w:ascii="Arial" w:hAnsi="Arial" w:cs="Arial"/>
          <w:i/>
          <w:iCs/>
          <w:sz w:val="14"/>
        </w:rPr>
        <w:t>8</w:t>
      </w:r>
      <w:r w:rsidRPr="001C4CB9">
        <w:rPr>
          <w:rFonts w:ascii="Arial" w:hAnsi="Arial" w:cs="Arial"/>
          <w:sz w:val="14"/>
        </w:rPr>
        <w:t>, 3821–3824.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[20]</w:t>
      </w:r>
      <w:r w:rsidRPr="001C4CB9">
        <w:rPr>
          <w:rFonts w:ascii="Arial" w:hAnsi="Arial" w:cs="Arial"/>
          <w:sz w:val="14"/>
        </w:rPr>
        <w:tab/>
        <w:t xml:space="preserve">A. David, D. Steer, S. Bregant, L. Devel, A. Makaritis, F. Beau, A. Yiotakis, V. Dive, </w:t>
      </w:r>
      <w:r w:rsidRPr="001C4CB9">
        <w:rPr>
          <w:rFonts w:ascii="Arial" w:hAnsi="Arial" w:cs="Arial"/>
          <w:i/>
          <w:iCs/>
          <w:sz w:val="14"/>
        </w:rPr>
        <w:t>Angew. Chem. Int. Ed. Engl.</w:t>
      </w:r>
      <w:r w:rsidRPr="001C4CB9">
        <w:rPr>
          <w:rFonts w:ascii="Arial" w:hAnsi="Arial" w:cs="Arial"/>
          <w:sz w:val="14"/>
        </w:rPr>
        <w:t xml:space="preserve"> </w:t>
      </w:r>
      <w:r w:rsidRPr="001C4CB9">
        <w:rPr>
          <w:rFonts w:ascii="Arial" w:hAnsi="Arial" w:cs="Arial"/>
          <w:b/>
          <w:bCs/>
          <w:sz w:val="14"/>
        </w:rPr>
        <w:t>2007</w:t>
      </w:r>
      <w:r w:rsidRPr="001C4CB9">
        <w:rPr>
          <w:rFonts w:ascii="Arial" w:hAnsi="Arial" w:cs="Arial"/>
          <w:sz w:val="14"/>
        </w:rPr>
        <w:t xml:space="preserve">, </w:t>
      </w:r>
      <w:r w:rsidRPr="001C4CB9">
        <w:rPr>
          <w:rFonts w:ascii="Arial" w:hAnsi="Arial" w:cs="Arial"/>
          <w:i/>
          <w:iCs/>
          <w:sz w:val="14"/>
        </w:rPr>
        <w:t>46</w:t>
      </w:r>
      <w:r w:rsidRPr="001C4CB9">
        <w:rPr>
          <w:rFonts w:ascii="Arial" w:hAnsi="Arial" w:cs="Arial"/>
          <w:sz w:val="14"/>
        </w:rPr>
        <w:t>, 3275–3277.</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[21]</w:t>
      </w:r>
      <w:r w:rsidRPr="001C4CB9">
        <w:rPr>
          <w:rFonts w:ascii="Arial" w:hAnsi="Arial" w:cs="Arial"/>
          <w:sz w:val="14"/>
        </w:rPr>
        <w:tab/>
        <w:t xml:space="preserve">P. P. Geurink, L. M. Prely, G. A. van der Marel, R. Bischoff, H. S. Overkleeft, </w:t>
      </w:r>
      <w:r w:rsidRPr="001C4CB9">
        <w:rPr>
          <w:rFonts w:ascii="Arial" w:hAnsi="Arial" w:cs="Arial"/>
          <w:i/>
          <w:iCs/>
          <w:sz w:val="14"/>
        </w:rPr>
        <w:t>Top Curr Chem</w:t>
      </w:r>
      <w:r w:rsidRPr="001C4CB9">
        <w:rPr>
          <w:rFonts w:ascii="Arial" w:hAnsi="Arial" w:cs="Arial"/>
          <w:sz w:val="14"/>
        </w:rPr>
        <w:t xml:space="preserve"> </w:t>
      </w:r>
      <w:r w:rsidRPr="001C4CB9">
        <w:rPr>
          <w:rFonts w:ascii="Arial" w:hAnsi="Arial" w:cs="Arial"/>
          <w:b/>
          <w:bCs/>
          <w:sz w:val="14"/>
        </w:rPr>
        <w:t>2012</w:t>
      </w:r>
      <w:r w:rsidRPr="001C4CB9">
        <w:rPr>
          <w:rFonts w:ascii="Arial" w:hAnsi="Arial" w:cs="Arial"/>
          <w:sz w:val="14"/>
        </w:rPr>
        <w:t xml:space="preserve">, </w:t>
      </w:r>
      <w:r w:rsidRPr="001C4CB9">
        <w:rPr>
          <w:rFonts w:ascii="Arial" w:hAnsi="Arial" w:cs="Arial"/>
          <w:i/>
          <w:iCs/>
          <w:sz w:val="14"/>
        </w:rPr>
        <w:t>324</w:t>
      </w:r>
      <w:r w:rsidRPr="001C4CB9">
        <w:rPr>
          <w:rFonts w:ascii="Arial" w:hAnsi="Arial" w:cs="Arial"/>
          <w:sz w:val="14"/>
        </w:rPr>
        <w:t>, 85–113.</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[22]</w:t>
      </w:r>
      <w:r w:rsidRPr="001C4CB9">
        <w:rPr>
          <w:rFonts w:ascii="Arial" w:hAnsi="Arial" w:cs="Arial"/>
          <w:sz w:val="14"/>
        </w:rPr>
        <w:tab/>
        <w:t xml:space="preserve">S. Bregant, C. Huillet, L. Devel, A.-S. Dabert-Gay, F. Beau, R. Thai, B. Czarny, A. Yiotakis, V. Dive, </w:t>
      </w:r>
      <w:r w:rsidRPr="001C4CB9">
        <w:rPr>
          <w:rFonts w:ascii="Arial" w:hAnsi="Arial" w:cs="Arial"/>
          <w:i/>
          <w:iCs/>
          <w:sz w:val="14"/>
        </w:rPr>
        <w:t>J. Proteome Res.</w:t>
      </w:r>
      <w:r w:rsidRPr="001C4CB9">
        <w:rPr>
          <w:rFonts w:ascii="Arial" w:hAnsi="Arial" w:cs="Arial"/>
          <w:sz w:val="14"/>
        </w:rPr>
        <w:t xml:space="preserve"> </w:t>
      </w:r>
      <w:r w:rsidRPr="001C4CB9">
        <w:rPr>
          <w:rFonts w:ascii="Arial" w:hAnsi="Arial" w:cs="Arial"/>
          <w:b/>
          <w:bCs/>
          <w:sz w:val="14"/>
        </w:rPr>
        <w:t>2009</w:t>
      </w:r>
      <w:r w:rsidRPr="001C4CB9">
        <w:rPr>
          <w:rFonts w:ascii="Arial" w:hAnsi="Arial" w:cs="Arial"/>
          <w:sz w:val="14"/>
        </w:rPr>
        <w:t xml:space="preserve">, </w:t>
      </w:r>
      <w:r w:rsidRPr="001C4CB9">
        <w:rPr>
          <w:rFonts w:ascii="Arial" w:hAnsi="Arial" w:cs="Arial"/>
          <w:i/>
          <w:iCs/>
          <w:sz w:val="14"/>
        </w:rPr>
        <w:t>8</w:t>
      </w:r>
      <w:r w:rsidRPr="001C4CB9">
        <w:rPr>
          <w:rFonts w:ascii="Arial" w:hAnsi="Arial" w:cs="Arial"/>
          <w:sz w:val="14"/>
        </w:rPr>
        <w:t>, 2484–2494.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[23]</w:t>
      </w:r>
      <w:r w:rsidRPr="001C4CB9">
        <w:rPr>
          <w:rFonts w:ascii="Arial" w:hAnsi="Arial" w:cs="Arial"/>
          <w:sz w:val="14"/>
        </w:rPr>
        <w:tab/>
        <w:t xml:space="preserve">C. Nury, B. Czarny, E. Cassar-Lajeunesse, D. Georgiadis, S. Bregant, V. Dive, </w:t>
      </w:r>
      <w:r w:rsidRPr="001C4CB9">
        <w:rPr>
          <w:rFonts w:ascii="Arial" w:hAnsi="Arial" w:cs="Arial"/>
          <w:i/>
          <w:iCs/>
          <w:sz w:val="14"/>
        </w:rPr>
        <w:t>Chembiochem</w:t>
      </w:r>
      <w:r w:rsidRPr="001C4CB9">
        <w:rPr>
          <w:rFonts w:ascii="Arial" w:hAnsi="Arial" w:cs="Arial"/>
          <w:sz w:val="14"/>
        </w:rPr>
        <w:t xml:space="preserve"> </w:t>
      </w:r>
      <w:r w:rsidRPr="001C4CB9">
        <w:rPr>
          <w:rFonts w:ascii="Arial" w:hAnsi="Arial" w:cs="Arial"/>
          <w:b/>
          <w:bCs/>
          <w:sz w:val="14"/>
        </w:rPr>
        <w:t>2013</w:t>
      </w:r>
      <w:r w:rsidRPr="001C4CB9">
        <w:rPr>
          <w:rFonts w:ascii="Arial" w:hAnsi="Arial" w:cs="Arial"/>
          <w:sz w:val="14"/>
        </w:rPr>
        <w:t xml:space="preserve">, </w:t>
      </w:r>
      <w:r w:rsidRPr="001C4CB9">
        <w:rPr>
          <w:rFonts w:ascii="Arial" w:hAnsi="Arial" w:cs="Arial"/>
          <w:i/>
          <w:iCs/>
          <w:sz w:val="14"/>
        </w:rPr>
        <w:t>14</w:t>
      </w:r>
      <w:r w:rsidRPr="001C4CB9">
        <w:rPr>
          <w:rFonts w:ascii="Arial" w:hAnsi="Arial" w:cs="Arial"/>
          <w:sz w:val="14"/>
        </w:rPr>
        <w:t>, 107–114.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[24]</w:t>
      </w:r>
      <w:r w:rsidRPr="001C4CB9">
        <w:rPr>
          <w:rFonts w:ascii="Arial" w:hAnsi="Arial" w:cs="Arial"/>
          <w:sz w:val="14"/>
        </w:rPr>
        <w:tab/>
        <w:t xml:space="preserve">L. Prely, T. Klein, P. P. Geurink, K. Paal, H. S. Overkleeft, R. Bischoff, </w:t>
      </w:r>
      <w:r w:rsidRPr="001C4CB9">
        <w:rPr>
          <w:rFonts w:ascii="Arial" w:hAnsi="Arial" w:cs="Arial"/>
          <w:i/>
          <w:iCs/>
          <w:sz w:val="14"/>
        </w:rPr>
        <w:t>Methods Mol. Biol.</w:t>
      </w:r>
      <w:r w:rsidRPr="001C4CB9">
        <w:rPr>
          <w:rFonts w:ascii="Arial" w:hAnsi="Arial" w:cs="Arial"/>
          <w:sz w:val="14"/>
        </w:rPr>
        <w:t xml:space="preserve"> </w:t>
      </w:r>
      <w:r w:rsidRPr="001C4CB9">
        <w:rPr>
          <w:rFonts w:ascii="Arial" w:hAnsi="Arial" w:cs="Arial"/>
          <w:b/>
          <w:bCs/>
          <w:sz w:val="14"/>
        </w:rPr>
        <w:t>2017</w:t>
      </w:r>
      <w:r w:rsidRPr="001C4CB9">
        <w:rPr>
          <w:rFonts w:ascii="Arial" w:hAnsi="Arial" w:cs="Arial"/>
          <w:sz w:val="14"/>
        </w:rPr>
        <w:t xml:space="preserve">, </w:t>
      </w:r>
      <w:r w:rsidRPr="001C4CB9">
        <w:rPr>
          <w:rFonts w:ascii="Arial" w:hAnsi="Arial" w:cs="Arial"/>
          <w:i/>
          <w:iCs/>
          <w:sz w:val="14"/>
        </w:rPr>
        <w:t>1491</w:t>
      </w:r>
      <w:r w:rsidRPr="001C4CB9">
        <w:rPr>
          <w:rFonts w:ascii="Arial" w:hAnsi="Arial" w:cs="Arial"/>
          <w:sz w:val="14"/>
        </w:rPr>
        <w:t>, 103–111.</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[25]</w:t>
      </w:r>
      <w:r w:rsidRPr="001C4CB9">
        <w:rPr>
          <w:rFonts w:ascii="Arial" w:hAnsi="Arial" w:cs="Arial"/>
          <w:sz w:val="14"/>
        </w:rPr>
        <w:tab/>
        <w:t xml:space="preserve">K. C. Ravindra, C. C. Ahrens, Y. Wang, J. Y. Ramseier, J. S. Wishnok, L. G. Griffith, A. J. Grodzinsky, S. R. Tannenbaum, </w:t>
      </w:r>
      <w:r w:rsidRPr="001C4CB9">
        <w:rPr>
          <w:rFonts w:ascii="Arial" w:hAnsi="Arial" w:cs="Arial"/>
          <w:i/>
          <w:iCs/>
          <w:sz w:val="14"/>
        </w:rPr>
        <w:t>J Biol Chem</w:t>
      </w:r>
      <w:r w:rsidRPr="001C4CB9">
        <w:rPr>
          <w:rFonts w:ascii="Arial" w:hAnsi="Arial" w:cs="Arial"/>
          <w:sz w:val="14"/>
        </w:rPr>
        <w:t xml:space="preserve"> </w:t>
      </w:r>
      <w:r w:rsidRPr="001C4CB9">
        <w:rPr>
          <w:rFonts w:ascii="Arial" w:hAnsi="Arial" w:cs="Arial"/>
          <w:b/>
          <w:bCs/>
          <w:sz w:val="14"/>
        </w:rPr>
        <w:t>2018</w:t>
      </w:r>
      <w:r w:rsidRPr="001C4CB9">
        <w:rPr>
          <w:rFonts w:ascii="Arial" w:hAnsi="Arial" w:cs="Arial"/>
          <w:sz w:val="14"/>
        </w:rPr>
        <w:t xml:space="preserve">, </w:t>
      </w:r>
      <w:r w:rsidRPr="001C4CB9">
        <w:rPr>
          <w:rFonts w:ascii="Arial" w:hAnsi="Arial" w:cs="Arial"/>
          <w:i/>
          <w:iCs/>
          <w:sz w:val="14"/>
        </w:rPr>
        <w:t>293</w:t>
      </w:r>
      <w:r w:rsidRPr="001C4CB9">
        <w:rPr>
          <w:rFonts w:ascii="Arial" w:hAnsi="Arial" w:cs="Arial"/>
          <w:sz w:val="14"/>
        </w:rPr>
        <w:t>, 11459–11469.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[26]</w:t>
      </w:r>
      <w:r w:rsidRPr="001C4CB9">
        <w:rPr>
          <w:rFonts w:ascii="Arial" w:hAnsi="Arial" w:cs="Arial"/>
          <w:sz w:val="14"/>
        </w:rPr>
        <w:tab/>
        <w:t xml:space="preserve">C. C. Ahrens, E. L. Chiswick, K. C. Ravindra, M. A. Miller, J. Y. Ramseier, K. B. Isaacson, D. A. Lauffenburger, L. G. Griffith, </w:t>
      </w:r>
      <w:r w:rsidRPr="001C4CB9">
        <w:rPr>
          <w:rFonts w:ascii="Arial" w:hAnsi="Arial" w:cs="Arial"/>
          <w:i/>
          <w:iCs/>
          <w:sz w:val="14"/>
        </w:rPr>
        <w:t>Biochemistry</w:t>
      </w:r>
      <w:r w:rsidRPr="001C4CB9">
        <w:rPr>
          <w:rFonts w:ascii="Arial" w:hAnsi="Arial" w:cs="Arial"/>
          <w:sz w:val="14"/>
        </w:rPr>
        <w:t xml:space="preserve"> </w:t>
      </w:r>
      <w:r w:rsidRPr="001C4CB9">
        <w:rPr>
          <w:rFonts w:ascii="Arial" w:hAnsi="Arial" w:cs="Arial"/>
          <w:b/>
          <w:bCs/>
          <w:sz w:val="14"/>
        </w:rPr>
        <w:t>2019</w:t>
      </w:r>
      <w:r w:rsidRPr="001C4CB9">
        <w:rPr>
          <w:rFonts w:ascii="Arial" w:hAnsi="Arial" w:cs="Arial"/>
          <w:sz w:val="14"/>
        </w:rPr>
        <w:t xml:space="preserve">, </w:t>
      </w:r>
      <w:r w:rsidRPr="001C4CB9">
        <w:rPr>
          <w:rFonts w:ascii="Arial" w:hAnsi="Arial" w:cs="Arial"/>
          <w:i/>
          <w:iCs/>
          <w:sz w:val="14"/>
        </w:rPr>
        <w:t>58</w:t>
      </w:r>
      <w:r w:rsidRPr="001C4CB9">
        <w:rPr>
          <w:rFonts w:ascii="Arial" w:hAnsi="Arial" w:cs="Arial"/>
          <w:sz w:val="14"/>
        </w:rPr>
        <w:t>, 3938–3942.</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[27]</w:t>
      </w:r>
      <w:r w:rsidRPr="001C4CB9">
        <w:rPr>
          <w:rFonts w:ascii="Arial" w:hAnsi="Arial" w:cs="Arial"/>
          <w:sz w:val="14"/>
        </w:rPr>
        <w:tab/>
        <w:t xml:space="preserve">Q. Zhu, A. Girish, S. Chattopadhaya, S. Q. Yao, </w:t>
      </w:r>
      <w:r w:rsidRPr="001C4CB9">
        <w:rPr>
          <w:rFonts w:ascii="Arial" w:hAnsi="Arial" w:cs="Arial"/>
          <w:i/>
          <w:iCs/>
          <w:sz w:val="14"/>
        </w:rPr>
        <w:t>Chem. Commun. (Camb.)</w:t>
      </w:r>
      <w:r w:rsidRPr="001C4CB9">
        <w:rPr>
          <w:rFonts w:ascii="Arial" w:hAnsi="Arial" w:cs="Arial"/>
          <w:sz w:val="14"/>
        </w:rPr>
        <w:t xml:space="preserve"> </w:t>
      </w:r>
      <w:r w:rsidRPr="001C4CB9">
        <w:rPr>
          <w:rFonts w:ascii="Arial" w:hAnsi="Arial" w:cs="Arial"/>
          <w:b/>
          <w:bCs/>
          <w:sz w:val="14"/>
        </w:rPr>
        <w:t>2004</w:t>
      </w:r>
      <w:r w:rsidRPr="001C4CB9">
        <w:rPr>
          <w:rFonts w:ascii="Arial" w:hAnsi="Arial" w:cs="Arial"/>
          <w:sz w:val="14"/>
        </w:rPr>
        <w:t>, 1512–1513.</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[28]</w:t>
      </w:r>
      <w:r w:rsidRPr="001C4CB9">
        <w:rPr>
          <w:rFonts w:ascii="Arial" w:hAnsi="Arial" w:cs="Arial"/>
          <w:sz w:val="14"/>
        </w:rPr>
        <w:tab/>
        <w:t xml:space="preserve">S. A. Testero, C. Granados, D. Fernández, P. Gallego, G. Covaleda, D. Reverter, J. Vendrell, F. X. Avilés, I. Pallarès, S. Mobashery, </w:t>
      </w:r>
      <w:r w:rsidRPr="001C4CB9">
        <w:rPr>
          <w:rFonts w:ascii="Arial" w:hAnsi="Arial" w:cs="Arial"/>
          <w:i/>
          <w:iCs/>
          <w:sz w:val="14"/>
        </w:rPr>
        <w:t>ACS Med Chem Lett</w:t>
      </w:r>
      <w:r w:rsidRPr="001C4CB9">
        <w:rPr>
          <w:rFonts w:ascii="Arial" w:hAnsi="Arial" w:cs="Arial"/>
          <w:sz w:val="14"/>
        </w:rPr>
        <w:t xml:space="preserve"> </w:t>
      </w:r>
      <w:r w:rsidRPr="001C4CB9">
        <w:rPr>
          <w:rFonts w:ascii="Arial" w:hAnsi="Arial" w:cs="Arial"/>
          <w:b/>
          <w:bCs/>
          <w:sz w:val="14"/>
        </w:rPr>
        <w:t>2017</w:t>
      </w:r>
      <w:r w:rsidRPr="001C4CB9">
        <w:rPr>
          <w:rFonts w:ascii="Arial" w:hAnsi="Arial" w:cs="Arial"/>
          <w:sz w:val="14"/>
        </w:rPr>
        <w:t xml:space="preserve">, </w:t>
      </w:r>
      <w:r w:rsidRPr="001C4CB9">
        <w:rPr>
          <w:rFonts w:ascii="Arial" w:hAnsi="Arial" w:cs="Arial"/>
          <w:i/>
          <w:iCs/>
          <w:sz w:val="14"/>
        </w:rPr>
        <w:t>8</w:t>
      </w:r>
      <w:r w:rsidRPr="001C4CB9">
        <w:rPr>
          <w:rFonts w:ascii="Arial" w:hAnsi="Arial" w:cs="Arial"/>
          <w:sz w:val="14"/>
        </w:rPr>
        <w:t>, 1122–1127.</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[29]</w:t>
      </w:r>
      <w:r w:rsidRPr="001C4CB9">
        <w:rPr>
          <w:rFonts w:ascii="Arial" w:hAnsi="Arial" w:cs="Arial"/>
          <w:sz w:val="14"/>
        </w:rPr>
        <w:tab/>
        <w:t xml:space="preserve">C. Forbes, Q. Shi, J. F. Fisher, M. Lee, D. Hesek, L. I. Llarrull, M. Toth, M. Gossing, R. Fridman, S. Mobashery, </w:t>
      </w:r>
      <w:r w:rsidRPr="001C4CB9">
        <w:rPr>
          <w:rFonts w:ascii="Arial" w:hAnsi="Arial" w:cs="Arial"/>
          <w:i/>
          <w:iCs/>
          <w:sz w:val="14"/>
        </w:rPr>
        <w:t>Chem Biol Drug Des</w:t>
      </w:r>
      <w:r w:rsidRPr="001C4CB9">
        <w:rPr>
          <w:rFonts w:ascii="Arial" w:hAnsi="Arial" w:cs="Arial"/>
          <w:sz w:val="14"/>
        </w:rPr>
        <w:t xml:space="preserve"> </w:t>
      </w:r>
      <w:r w:rsidRPr="001C4CB9">
        <w:rPr>
          <w:rFonts w:ascii="Arial" w:hAnsi="Arial" w:cs="Arial"/>
          <w:b/>
          <w:bCs/>
          <w:sz w:val="14"/>
        </w:rPr>
        <w:t>2009</w:t>
      </w:r>
      <w:r w:rsidRPr="001C4CB9">
        <w:rPr>
          <w:rFonts w:ascii="Arial" w:hAnsi="Arial" w:cs="Arial"/>
          <w:sz w:val="14"/>
        </w:rPr>
        <w:t xml:space="preserve">, </w:t>
      </w:r>
      <w:r w:rsidRPr="001C4CB9">
        <w:rPr>
          <w:rFonts w:ascii="Arial" w:hAnsi="Arial" w:cs="Arial"/>
          <w:i/>
          <w:iCs/>
          <w:sz w:val="14"/>
        </w:rPr>
        <w:t>74</w:t>
      </w:r>
      <w:r w:rsidRPr="001C4CB9">
        <w:rPr>
          <w:rFonts w:ascii="Arial" w:hAnsi="Arial" w:cs="Arial"/>
          <w:sz w:val="14"/>
        </w:rPr>
        <w:t>, 527–534.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[30]</w:t>
      </w:r>
      <w:r w:rsidRPr="001C4CB9">
        <w:rPr>
          <w:rFonts w:ascii="Arial" w:hAnsi="Arial" w:cs="Arial"/>
          <w:sz w:val="14"/>
        </w:rPr>
        <w:tab/>
        <w:t xml:space="preserve">M. Morell, T. Nguyen Duc, A. L. Willis, S. Syed, J. Lee, E. Deu, Y. Deng, J. Xiao, B. E. Turk, J. R. Jessen, S. J. Weiss, M. Bogyo, </w:t>
      </w:r>
      <w:r w:rsidRPr="001C4CB9">
        <w:rPr>
          <w:rFonts w:ascii="Arial" w:hAnsi="Arial" w:cs="Arial"/>
          <w:i/>
          <w:iCs/>
          <w:sz w:val="14"/>
        </w:rPr>
        <w:t>J Am Chem Soc</w:t>
      </w:r>
      <w:r w:rsidRPr="001C4CB9">
        <w:rPr>
          <w:rFonts w:ascii="Arial" w:hAnsi="Arial" w:cs="Arial"/>
          <w:sz w:val="14"/>
        </w:rPr>
        <w:t xml:space="preserve"> </w:t>
      </w:r>
      <w:r w:rsidRPr="001C4CB9">
        <w:rPr>
          <w:rFonts w:ascii="Arial" w:hAnsi="Arial" w:cs="Arial"/>
          <w:b/>
          <w:bCs/>
          <w:sz w:val="14"/>
        </w:rPr>
        <w:t>2013</w:t>
      </w:r>
      <w:r w:rsidRPr="001C4CB9">
        <w:rPr>
          <w:rFonts w:ascii="Arial" w:hAnsi="Arial" w:cs="Arial"/>
          <w:sz w:val="14"/>
        </w:rPr>
        <w:t xml:space="preserve">, </w:t>
      </w:r>
      <w:r w:rsidRPr="001C4CB9">
        <w:rPr>
          <w:rFonts w:ascii="Arial" w:hAnsi="Arial" w:cs="Arial"/>
          <w:i/>
          <w:iCs/>
          <w:sz w:val="14"/>
        </w:rPr>
        <w:t>135</w:t>
      </w:r>
      <w:r w:rsidRPr="001C4CB9">
        <w:rPr>
          <w:rFonts w:ascii="Arial" w:hAnsi="Arial" w:cs="Arial"/>
          <w:sz w:val="14"/>
        </w:rPr>
        <w:t>, 9139–9148.</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[31]</w:t>
      </w:r>
      <w:r w:rsidRPr="001C4CB9">
        <w:rPr>
          <w:rFonts w:ascii="Arial" w:hAnsi="Arial" w:cs="Arial"/>
          <w:sz w:val="14"/>
        </w:rPr>
        <w:tab/>
        <w:t xml:space="preserve">N. Amara, M. Tholen, M. Bogyo, </w:t>
      </w:r>
      <w:r w:rsidRPr="001C4CB9">
        <w:rPr>
          <w:rFonts w:ascii="Arial" w:hAnsi="Arial" w:cs="Arial"/>
          <w:i/>
          <w:iCs/>
          <w:sz w:val="14"/>
        </w:rPr>
        <w:t>ACS Chem Biol</w:t>
      </w:r>
      <w:r w:rsidRPr="001C4CB9">
        <w:rPr>
          <w:rFonts w:ascii="Arial" w:hAnsi="Arial" w:cs="Arial"/>
          <w:sz w:val="14"/>
        </w:rPr>
        <w:t xml:space="preserve"> </w:t>
      </w:r>
      <w:r w:rsidRPr="001C4CB9">
        <w:rPr>
          <w:rFonts w:ascii="Arial" w:hAnsi="Arial" w:cs="Arial"/>
          <w:b/>
          <w:bCs/>
          <w:sz w:val="14"/>
        </w:rPr>
        <w:t>2018</w:t>
      </w:r>
      <w:r w:rsidRPr="001C4CB9">
        <w:rPr>
          <w:rFonts w:ascii="Arial" w:hAnsi="Arial" w:cs="Arial"/>
          <w:sz w:val="14"/>
        </w:rPr>
        <w:t xml:space="preserve">, </w:t>
      </w:r>
      <w:r w:rsidRPr="001C4CB9">
        <w:rPr>
          <w:rFonts w:ascii="Arial" w:hAnsi="Arial" w:cs="Arial"/>
          <w:i/>
          <w:iCs/>
          <w:sz w:val="14"/>
        </w:rPr>
        <w:t>13</w:t>
      </w:r>
      <w:r w:rsidRPr="001C4CB9">
        <w:rPr>
          <w:rFonts w:ascii="Arial" w:hAnsi="Arial" w:cs="Arial"/>
          <w:sz w:val="14"/>
        </w:rPr>
        <w:t>, 2645–2654.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[32]</w:t>
      </w:r>
      <w:r w:rsidRPr="001C4CB9">
        <w:rPr>
          <w:rFonts w:ascii="Arial" w:hAnsi="Arial" w:cs="Arial"/>
          <w:sz w:val="14"/>
        </w:rPr>
        <w:tab/>
        <w:t xml:space="preserve">T. Tamura, I. Hamachi, </w:t>
      </w:r>
      <w:r w:rsidRPr="001C4CB9">
        <w:rPr>
          <w:rFonts w:ascii="Arial" w:hAnsi="Arial" w:cs="Arial"/>
          <w:i/>
          <w:iCs/>
          <w:sz w:val="14"/>
        </w:rPr>
        <w:t>J. Am. Chem. Soc.</w:t>
      </w:r>
      <w:r w:rsidRPr="001C4CB9">
        <w:rPr>
          <w:rFonts w:ascii="Arial" w:hAnsi="Arial" w:cs="Arial"/>
          <w:sz w:val="14"/>
        </w:rPr>
        <w:t xml:space="preserve"> </w:t>
      </w:r>
      <w:r w:rsidRPr="001C4CB9">
        <w:rPr>
          <w:rFonts w:ascii="Arial" w:hAnsi="Arial" w:cs="Arial"/>
          <w:b/>
          <w:bCs/>
          <w:sz w:val="14"/>
        </w:rPr>
        <w:t>2019</w:t>
      </w:r>
      <w:r w:rsidRPr="001C4CB9">
        <w:rPr>
          <w:rFonts w:ascii="Arial" w:hAnsi="Arial" w:cs="Arial"/>
          <w:sz w:val="14"/>
        </w:rPr>
        <w:t xml:space="preserve">, </w:t>
      </w:r>
      <w:r w:rsidRPr="001C4CB9">
        <w:rPr>
          <w:rFonts w:ascii="Arial" w:hAnsi="Arial" w:cs="Arial"/>
          <w:i/>
          <w:iCs/>
          <w:sz w:val="14"/>
        </w:rPr>
        <w:t>141</w:t>
      </w:r>
      <w:r w:rsidRPr="001C4CB9">
        <w:rPr>
          <w:rFonts w:ascii="Arial" w:hAnsi="Arial" w:cs="Arial"/>
          <w:sz w:val="14"/>
        </w:rPr>
        <w:t>, 2782–2799.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[33]</w:t>
      </w:r>
      <w:r w:rsidRPr="001C4CB9">
        <w:rPr>
          <w:rFonts w:ascii="Arial" w:hAnsi="Arial" w:cs="Arial"/>
          <w:sz w:val="14"/>
        </w:rPr>
        <w:tab/>
        <w:t xml:space="preserve">L. Devel, V. Rogakos, A. David, A. Makaritis, F. Beau, P. Cuniasse, A. Yiotakis, V. Dive, </w:t>
      </w:r>
      <w:r w:rsidRPr="001C4CB9">
        <w:rPr>
          <w:rFonts w:ascii="Arial" w:hAnsi="Arial" w:cs="Arial"/>
          <w:i/>
          <w:iCs/>
          <w:sz w:val="14"/>
        </w:rPr>
        <w:t>J. Biol. Chem.</w:t>
      </w:r>
      <w:r w:rsidRPr="001C4CB9">
        <w:rPr>
          <w:rFonts w:ascii="Arial" w:hAnsi="Arial" w:cs="Arial"/>
          <w:sz w:val="14"/>
        </w:rPr>
        <w:t xml:space="preserve"> </w:t>
      </w:r>
      <w:r w:rsidRPr="001C4CB9">
        <w:rPr>
          <w:rFonts w:ascii="Arial" w:hAnsi="Arial" w:cs="Arial"/>
          <w:b/>
          <w:bCs/>
          <w:sz w:val="14"/>
        </w:rPr>
        <w:t>2006</w:t>
      </w:r>
      <w:r w:rsidRPr="001C4CB9">
        <w:rPr>
          <w:rFonts w:ascii="Arial" w:hAnsi="Arial" w:cs="Arial"/>
          <w:sz w:val="14"/>
        </w:rPr>
        <w:t xml:space="preserve">, </w:t>
      </w:r>
      <w:r w:rsidRPr="001C4CB9">
        <w:rPr>
          <w:rFonts w:ascii="Arial" w:hAnsi="Arial" w:cs="Arial"/>
          <w:i/>
          <w:iCs/>
          <w:sz w:val="14"/>
        </w:rPr>
        <w:t>281</w:t>
      </w:r>
      <w:r w:rsidRPr="001C4CB9">
        <w:rPr>
          <w:rFonts w:ascii="Arial" w:hAnsi="Arial" w:cs="Arial"/>
          <w:sz w:val="14"/>
        </w:rPr>
        <w:t>, 11152–11160.</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[34]</w:t>
      </w:r>
      <w:r w:rsidRPr="001C4CB9">
        <w:rPr>
          <w:rFonts w:ascii="Arial" w:hAnsi="Arial" w:cs="Arial"/>
          <w:sz w:val="14"/>
        </w:rPr>
        <w:tab/>
        <w:t xml:space="preserve">B. Czarny, E. A. Stura, L. Devel, L. Vera, E. Cassar-Lajeunesse, F. Beau, V. Calderone, M. Fragai, C. Luchinat, V. Dive, </w:t>
      </w:r>
      <w:r w:rsidRPr="001C4CB9">
        <w:rPr>
          <w:rFonts w:ascii="Arial" w:hAnsi="Arial" w:cs="Arial"/>
          <w:i/>
          <w:iCs/>
          <w:sz w:val="14"/>
        </w:rPr>
        <w:t>J. Med. Chem.</w:t>
      </w:r>
      <w:r w:rsidRPr="001C4CB9">
        <w:rPr>
          <w:rFonts w:ascii="Arial" w:hAnsi="Arial" w:cs="Arial"/>
          <w:sz w:val="14"/>
        </w:rPr>
        <w:t xml:space="preserve"> </w:t>
      </w:r>
      <w:r w:rsidRPr="001C4CB9">
        <w:rPr>
          <w:rFonts w:ascii="Arial" w:hAnsi="Arial" w:cs="Arial"/>
          <w:b/>
          <w:bCs/>
          <w:sz w:val="14"/>
        </w:rPr>
        <w:t>2013</w:t>
      </w:r>
      <w:r w:rsidRPr="001C4CB9">
        <w:rPr>
          <w:rFonts w:ascii="Arial" w:hAnsi="Arial" w:cs="Arial"/>
          <w:sz w:val="14"/>
        </w:rPr>
        <w:t xml:space="preserve">, </w:t>
      </w:r>
      <w:r w:rsidRPr="001C4CB9">
        <w:rPr>
          <w:rFonts w:ascii="Arial" w:hAnsi="Arial" w:cs="Arial"/>
          <w:i/>
          <w:iCs/>
          <w:sz w:val="14"/>
        </w:rPr>
        <w:t>56</w:t>
      </w:r>
      <w:r w:rsidRPr="001C4CB9">
        <w:rPr>
          <w:rFonts w:ascii="Arial" w:hAnsi="Arial" w:cs="Arial"/>
          <w:sz w:val="14"/>
        </w:rPr>
        <w:t>, 1149–1159.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[35]</w:t>
      </w:r>
      <w:r w:rsidRPr="001C4CB9">
        <w:rPr>
          <w:rFonts w:ascii="Arial" w:hAnsi="Arial" w:cs="Arial"/>
          <w:sz w:val="14"/>
        </w:rPr>
        <w:tab/>
        <w:t xml:space="preserve">S. Fujishima, R. Yasui, T. Miki, A. Ojida, I. Hamachi, </w:t>
      </w:r>
      <w:r w:rsidRPr="001C4CB9">
        <w:rPr>
          <w:rFonts w:ascii="Arial" w:hAnsi="Arial" w:cs="Arial"/>
          <w:i/>
          <w:iCs/>
          <w:sz w:val="14"/>
        </w:rPr>
        <w:t>J. Am. Chem. Soc.</w:t>
      </w:r>
      <w:r w:rsidRPr="001C4CB9">
        <w:rPr>
          <w:rFonts w:ascii="Arial" w:hAnsi="Arial" w:cs="Arial"/>
          <w:sz w:val="14"/>
        </w:rPr>
        <w:t xml:space="preserve"> </w:t>
      </w:r>
      <w:r w:rsidRPr="001C4CB9">
        <w:rPr>
          <w:rFonts w:ascii="Arial" w:hAnsi="Arial" w:cs="Arial"/>
          <w:b/>
          <w:bCs/>
          <w:sz w:val="14"/>
        </w:rPr>
        <w:t>2012</w:t>
      </w:r>
      <w:r w:rsidRPr="001C4CB9">
        <w:rPr>
          <w:rFonts w:ascii="Arial" w:hAnsi="Arial" w:cs="Arial"/>
          <w:sz w:val="14"/>
        </w:rPr>
        <w:t xml:space="preserve">, </w:t>
      </w:r>
      <w:r w:rsidRPr="001C4CB9">
        <w:rPr>
          <w:rFonts w:ascii="Arial" w:hAnsi="Arial" w:cs="Arial"/>
          <w:i/>
          <w:iCs/>
          <w:sz w:val="14"/>
        </w:rPr>
        <w:t>134</w:t>
      </w:r>
      <w:r w:rsidRPr="001C4CB9">
        <w:rPr>
          <w:rFonts w:ascii="Arial" w:hAnsi="Arial" w:cs="Arial"/>
          <w:sz w:val="14"/>
        </w:rPr>
        <w:t>, 3961–3964.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[36]</w:t>
      </w:r>
      <w:r w:rsidRPr="001C4CB9">
        <w:rPr>
          <w:rFonts w:ascii="Arial" w:hAnsi="Arial" w:cs="Arial"/>
          <w:sz w:val="14"/>
        </w:rPr>
        <w:tab/>
        <w:t xml:space="preserve">K. Yamaura, S. Kiyonaka, T. Numata, R. Inoue, I. Hamachi, </w:t>
      </w:r>
      <w:r w:rsidRPr="001C4CB9">
        <w:rPr>
          <w:rFonts w:ascii="Arial" w:hAnsi="Arial" w:cs="Arial"/>
          <w:i/>
          <w:iCs/>
          <w:sz w:val="14"/>
        </w:rPr>
        <w:t>Nat. Chem. Biol.</w:t>
      </w:r>
      <w:r w:rsidRPr="001C4CB9">
        <w:rPr>
          <w:rFonts w:ascii="Arial" w:hAnsi="Arial" w:cs="Arial"/>
          <w:sz w:val="14"/>
        </w:rPr>
        <w:t xml:space="preserve"> </w:t>
      </w:r>
      <w:r w:rsidRPr="001C4CB9">
        <w:rPr>
          <w:rFonts w:ascii="Arial" w:hAnsi="Arial" w:cs="Arial"/>
          <w:b/>
          <w:bCs/>
          <w:sz w:val="14"/>
        </w:rPr>
        <w:t>2016</w:t>
      </w:r>
      <w:r w:rsidRPr="001C4CB9">
        <w:rPr>
          <w:rFonts w:ascii="Arial" w:hAnsi="Arial" w:cs="Arial"/>
          <w:sz w:val="14"/>
        </w:rPr>
        <w:t xml:space="preserve">, </w:t>
      </w:r>
      <w:r w:rsidRPr="001C4CB9">
        <w:rPr>
          <w:rFonts w:ascii="Arial" w:hAnsi="Arial" w:cs="Arial"/>
          <w:i/>
          <w:iCs/>
          <w:sz w:val="14"/>
        </w:rPr>
        <w:t>12</w:t>
      </w:r>
      <w:r w:rsidRPr="001C4CB9">
        <w:rPr>
          <w:rFonts w:ascii="Arial" w:hAnsi="Arial" w:cs="Arial"/>
          <w:sz w:val="14"/>
        </w:rPr>
        <w:t>, 822–830.</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[37]</w:t>
      </w:r>
      <w:r w:rsidRPr="001C4CB9">
        <w:rPr>
          <w:rFonts w:ascii="Arial" w:hAnsi="Arial" w:cs="Arial"/>
          <w:sz w:val="14"/>
        </w:rPr>
        <w:tab/>
        <w:t xml:space="preserve">S. Wakayama, S. Kiyonaka, I. Arai, W. Kakegawa, S. Matsuda, K. Ibata, Y. L. Nemoto, A. Kusumi, M. Yuzaki, I. Hamachi, </w:t>
      </w:r>
      <w:r w:rsidRPr="001C4CB9">
        <w:rPr>
          <w:rFonts w:ascii="Arial" w:hAnsi="Arial" w:cs="Arial"/>
          <w:i/>
          <w:iCs/>
          <w:sz w:val="14"/>
        </w:rPr>
        <w:t>Nat Commun</w:t>
      </w:r>
      <w:r w:rsidRPr="001C4CB9">
        <w:rPr>
          <w:rFonts w:ascii="Arial" w:hAnsi="Arial" w:cs="Arial"/>
          <w:sz w:val="14"/>
        </w:rPr>
        <w:t xml:space="preserve"> </w:t>
      </w:r>
      <w:r w:rsidRPr="001C4CB9">
        <w:rPr>
          <w:rFonts w:ascii="Arial" w:hAnsi="Arial" w:cs="Arial"/>
          <w:b/>
          <w:bCs/>
          <w:sz w:val="14"/>
        </w:rPr>
        <w:t>2017</w:t>
      </w:r>
      <w:r w:rsidRPr="001C4CB9">
        <w:rPr>
          <w:rFonts w:ascii="Arial" w:hAnsi="Arial" w:cs="Arial"/>
          <w:sz w:val="14"/>
        </w:rPr>
        <w:t xml:space="preserve">, </w:t>
      </w:r>
      <w:r w:rsidRPr="001C4CB9">
        <w:rPr>
          <w:rFonts w:ascii="Arial" w:hAnsi="Arial" w:cs="Arial"/>
          <w:i/>
          <w:iCs/>
          <w:sz w:val="14"/>
        </w:rPr>
        <w:t>8</w:t>
      </w:r>
      <w:r w:rsidRPr="001C4CB9">
        <w:rPr>
          <w:rFonts w:ascii="Arial" w:hAnsi="Arial" w:cs="Arial"/>
          <w:sz w:val="14"/>
        </w:rPr>
        <w:t>, 14850.</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[38]</w:t>
      </w:r>
      <w:r w:rsidRPr="001C4CB9">
        <w:rPr>
          <w:rFonts w:ascii="Arial" w:hAnsi="Arial" w:cs="Arial"/>
          <w:sz w:val="14"/>
        </w:rPr>
        <w:tab/>
        <w:t xml:space="preserve">T. Tamura, T. Ueda, T. Goto, T. Tsukidate, Y. Shapira, Y. Nishikawa, A. Fujisawa, I. Hamachi, </w:t>
      </w:r>
      <w:r w:rsidRPr="001C4CB9">
        <w:rPr>
          <w:rFonts w:ascii="Arial" w:hAnsi="Arial" w:cs="Arial"/>
          <w:i/>
          <w:iCs/>
          <w:sz w:val="14"/>
        </w:rPr>
        <w:t>Nat Commun</w:t>
      </w:r>
      <w:r w:rsidRPr="001C4CB9">
        <w:rPr>
          <w:rFonts w:ascii="Arial" w:hAnsi="Arial" w:cs="Arial"/>
          <w:sz w:val="14"/>
        </w:rPr>
        <w:t xml:space="preserve"> </w:t>
      </w:r>
      <w:r w:rsidRPr="001C4CB9">
        <w:rPr>
          <w:rFonts w:ascii="Arial" w:hAnsi="Arial" w:cs="Arial"/>
          <w:b/>
          <w:bCs/>
          <w:sz w:val="14"/>
        </w:rPr>
        <w:t>2018</w:t>
      </w:r>
      <w:r w:rsidRPr="001C4CB9">
        <w:rPr>
          <w:rFonts w:ascii="Arial" w:hAnsi="Arial" w:cs="Arial"/>
          <w:sz w:val="14"/>
        </w:rPr>
        <w:t xml:space="preserve">, </w:t>
      </w:r>
      <w:r w:rsidRPr="001C4CB9">
        <w:rPr>
          <w:rFonts w:ascii="Arial" w:hAnsi="Arial" w:cs="Arial"/>
          <w:i/>
          <w:iCs/>
          <w:sz w:val="14"/>
        </w:rPr>
        <w:t>9</w:t>
      </w:r>
      <w:r w:rsidRPr="001C4CB9">
        <w:rPr>
          <w:rFonts w:ascii="Arial" w:hAnsi="Arial" w:cs="Arial"/>
          <w:sz w:val="14"/>
        </w:rPr>
        <w:t>, 1870.</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[39]</w:t>
      </w:r>
      <w:r w:rsidRPr="001C4CB9">
        <w:rPr>
          <w:rFonts w:ascii="Arial" w:hAnsi="Arial" w:cs="Arial"/>
          <w:sz w:val="14"/>
        </w:rPr>
        <w:tab/>
        <w:t xml:space="preserve">A.-S. Dabert-Gay, B. Czarny, L. Devel, F. Beau, E. Lajeunesse, S. Bregant, R. Thai, A. Yiotakis, V. Dive, </w:t>
      </w:r>
      <w:r w:rsidRPr="001C4CB9">
        <w:rPr>
          <w:rFonts w:ascii="Arial" w:hAnsi="Arial" w:cs="Arial"/>
          <w:i/>
          <w:iCs/>
          <w:sz w:val="14"/>
        </w:rPr>
        <w:t>J. Biol. Chem.</w:t>
      </w:r>
      <w:r w:rsidRPr="001C4CB9">
        <w:rPr>
          <w:rFonts w:ascii="Arial" w:hAnsi="Arial" w:cs="Arial"/>
          <w:sz w:val="14"/>
        </w:rPr>
        <w:t xml:space="preserve"> </w:t>
      </w:r>
      <w:r w:rsidRPr="001C4CB9">
        <w:rPr>
          <w:rFonts w:ascii="Arial" w:hAnsi="Arial" w:cs="Arial"/>
          <w:b/>
          <w:bCs/>
          <w:sz w:val="14"/>
        </w:rPr>
        <w:t>2008</w:t>
      </w:r>
      <w:r w:rsidRPr="001C4CB9">
        <w:rPr>
          <w:rFonts w:ascii="Arial" w:hAnsi="Arial" w:cs="Arial"/>
          <w:sz w:val="14"/>
        </w:rPr>
        <w:t xml:space="preserve">, </w:t>
      </w:r>
      <w:r w:rsidRPr="001C4CB9">
        <w:rPr>
          <w:rFonts w:ascii="Arial" w:hAnsi="Arial" w:cs="Arial"/>
          <w:i/>
          <w:iCs/>
          <w:sz w:val="14"/>
        </w:rPr>
        <w:t>283</w:t>
      </w:r>
      <w:r w:rsidRPr="001C4CB9">
        <w:rPr>
          <w:rFonts w:ascii="Arial" w:hAnsi="Arial" w:cs="Arial"/>
          <w:sz w:val="14"/>
        </w:rPr>
        <w:t>, 31058–31067.</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[40]</w:t>
      </w:r>
      <w:r w:rsidRPr="001C4CB9">
        <w:rPr>
          <w:rFonts w:ascii="Arial" w:hAnsi="Arial" w:cs="Arial"/>
          <w:sz w:val="14"/>
        </w:rPr>
        <w:tab/>
        <w:t xml:space="preserve">T. Ueda, T. Tamura, M. Kawano, K. Shiono, F. Hobor, A. J. Wilson, </w:t>
      </w:r>
      <w:r w:rsidRPr="001C4CB9">
        <w:rPr>
          <w:rFonts w:ascii="Arial" w:hAnsi="Arial" w:cs="Arial"/>
          <w:sz w:val="14"/>
        </w:rPr>
        <w:lastRenderedPageBreak/>
        <w:t xml:space="preserve">I. Hamachi, </w:t>
      </w:r>
      <w:r w:rsidRPr="001C4CB9">
        <w:rPr>
          <w:rFonts w:ascii="Arial" w:hAnsi="Arial" w:cs="Arial"/>
          <w:i/>
          <w:iCs/>
          <w:sz w:val="14"/>
        </w:rPr>
        <w:t>J Am Chem Soc</w:t>
      </w:r>
      <w:r w:rsidRPr="001C4CB9">
        <w:rPr>
          <w:rFonts w:ascii="Arial" w:hAnsi="Arial" w:cs="Arial"/>
          <w:sz w:val="14"/>
        </w:rPr>
        <w:t xml:space="preserve"> </w:t>
      </w:r>
      <w:r w:rsidRPr="001C4CB9">
        <w:rPr>
          <w:rFonts w:ascii="Arial" w:hAnsi="Arial" w:cs="Arial"/>
          <w:b/>
          <w:bCs/>
          <w:sz w:val="14"/>
        </w:rPr>
        <w:t>2021</w:t>
      </w:r>
      <w:r w:rsidRPr="001C4CB9">
        <w:rPr>
          <w:rFonts w:ascii="Arial" w:hAnsi="Arial" w:cs="Arial"/>
          <w:sz w:val="14"/>
        </w:rPr>
        <w:t xml:space="preserve">, </w:t>
      </w:r>
      <w:r w:rsidRPr="001C4CB9">
        <w:rPr>
          <w:rFonts w:ascii="Arial" w:hAnsi="Arial" w:cs="Arial"/>
          <w:i/>
          <w:iCs/>
          <w:sz w:val="14"/>
        </w:rPr>
        <w:t>143</w:t>
      </w:r>
      <w:r w:rsidRPr="001C4CB9">
        <w:rPr>
          <w:rFonts w:ascii="Arial" w:hAnsi="Arial" w:cs="Arial"/>
          <w:sz w:val="14"/>
        </w:rPr>
        <w:t>, 4766–4774.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[41]</w:t>
      </w:r>
      <w:r w:rsidRPr="001C4CB9">
        <w:rPr>
          <w:rFonts w:ascii="Arial" w:hAnsi="Arial" w:cs="Arial"/>
          <w:sz w:val="14"/>
        </w:rPr>
        <w:tab/>
        <w:t xml:space="preserve">R. Visse, H. Nagase, </w:t>
      </w:r>
      <w:r w:rsidRPr="001C4CB9">
        <w:rPr>
          <w:rFonts w:ascii="Arial" w:hAnsi="Arial" w:cs="Arial"/>
          <w:i/>
          <w:iCs/>
          <w:sz w:val="14"/>
        </w:rPr>
        <w:t>Circ Res</w:t>
      </w:r>
      <w:r w:rsidRPr="001C4CB9">
        <w:rPr>
          <w:rFonts w:ascii="Arial" w:hAnsi="Arial" w:cs="Arial"/>
          <w:sz w:val="14"/>
        </w:rPr>
        <w:t xml:space="preserve"> </w:t>
      </w:r>
      <w:r w:rsidRPr="001C4CB9">
        <w:rPr>
          <w:rFonts w:ascii="Arial" w:hAnsi="Arial" w:cs="Arial"/>
          <w:b/>
          <w:bCs/>
          <w:sz w:val="14"/>
        </w:rPr>
        <w:t>2003</w:t>
      </w:r>
      <w:r w:rsidRPr="001C4CB9">
        <w:rPr>
          <w:rFonts w:ascii="Arial" w:hAnsi="Arial" w:cs="Arial"/>
          <w:sz w:val="14"/>
        </w:rPr>
        <w:t xml:space="preserve">, </w:t>
      </w:r>
      <w:r w:rsidRPr="001C4CB9">
        <w:rPr>
          <w:rFonts w:ascii="Arial" w:hAnsi="Arial" w:cs="Arial"/>
          <w:i/>
          <w:iCs/>
          <w:sz w:val="14"/>
        </w:rPr>
        <w:t>92</w:t>
      </w:r>
      <w:r w:rsidRPr="001C4CB9">
        <w:rPr>
          <w:rFonts w:ascii="Arial" w:hAnsi="Arial" w:cs="Arial"/>
          <w:sz w:val="14"/>
        </w:rPr>
        <w:t>, 827–839.</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[42]</w:t>
      </w:r>
      <w:r w:rsidRPr="001C4CB9">
        <w:rPr>
          <w:rFonts w:ascii="Arial" w:hAnsi="Arial" w:cs="Arial"/>
          <w:sz w:val="14"/>
        </w:rPr>
        <w:tab/>
        <w:t xml:space="preserve">H. Laronha, J. Caldeira, </w:t>
      </w:r>
      <w:r w:rsidRPr="001C4CB9">
        <w:rPr>
          <w:rFonts w:ascii="Arial" w:hAnsi="Arial" w:cs="Arial"/>
          <w:i/>
          <w:iCs/>
          <w:sz w:val="14"/>
        </w:rPr>
        <w:t>Cells</w:t>
      </w:r>
      <w:r w:rsidRPr="001C4CB9">
        <w:rPr>
          <w:rFonts w:ascii="Arial" w:hAnsi="Arial" w:cs="Arial"/>
          <w:sz w:val="14"/>
        </w:rPr>
        <w:t xml:space="preserve"> </w:t>
      </w:r>
      <w:r w:rsidRPr="001C4CB9">
        <w:rPr>
          <w:rFonts w:ascii="Arial" w:hAnsi="Arial" w:cs="Arial"/>
          <w:b/>
          <w:bCs/>
          <w:sz w:val="14"/>
        </w:rPr>
        <w:t>2020</w:t>
      </w:r>
      <w:r w:rsidRPr="001C4CB9">
        <w:rPr>
          <w:rFonts w:ascii="Arial" w:hAnsi="Arial" w:cs="Arial"/>
          <w:sz w:val="14"/>
        </w:rPr>
        <w:t xml:space="preserve">, </w:t>
      </w:r>
      <w:r w:rsidRPr="001C4CB9">
        <w:rPr>
          <w:rFonts w:ascii="Arial" w:hAnsi="Arial" w:cs="Arial"/>
          <w:i/>
          <w:iCs/>
          <w:sz w:val="14"/>
        </w:rPr>
        <w:t>9</w:t>
      </w:r>
      <w:r w:rsidRPr="001C4CB9">
        <w:rPr>
          <w:rFonts w:ascii="Arial" w:hAnsi="Arial" w:cs="Arial"/>
          <w:sz w:val="14"/>
        </w:rPr>
        <w:t>, DOI 10.3390/cells9051076.</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[43]</w:t>
      </w:r>
      <w:r w:rsidRPr="001C4CB9">
        <w:rPr>
          <w:rFonts w:ascii="Arial" w:hAnsi="Arial" w:cs="Arial"/>
          <w:sz w:val="14"/>
        </w:rPr>
        <w:tab/>
        <w:t xml:space="preserve">C. Nury, S. Bregant, B. Czarny, F. Berthon, E. Cassar-Lajeunesse, V. Dive, </w:t>
      </w:r>
      <w:r w:rsidRPr="001C4CB9">
        <w:rPr>
          <w:rFonts w:ascii="Arial" w:hAnsi="Arial" w:cs="Arial"/>
          <w:i/>
          <w:iCs/>
          <w:sz w:val="14"/>
        </w:rPr>
        <w:t>J. Biol. Chem.</w:t>
      </w:r>
      <w:r w:rsidRPr="001C4CB9">
        <w:rPr>
          <w:rFonts w:ascii="Arial" w:hAnsi="Arial" w:cs="Arial"/>
          <w:sz w:val="14"/>
        </w:rPr>
        <w:t xml:space="preserve"> </w:t>
      </w:r>
      <w:r w:rsidRPr="001C4CB9">
        <w:rPr>
          <w:rFonts w:ascii="Arial" w:hAnsi="Arial" w:cs="Arial"/>
          <w:b/>
          <w:bCs/>
          <w:sz w:val="14"/>
        </w:rPr>
        <w:t>2013</w:t>
      </w:r>
      <w:r w:rsidRPr="001C4CB9">
        <w:rPr>
          <w:rFonts w:ascii="Arial" w:hAnsi="Arial" w:cs="Arial"/>
          <w:sz w:val="14"/>
        </w:rPr>
        <w:t xml:space="preserve">, </w:t>
      </w:r>
      <w:r w:rsidRPr="001C4CB9">
        <w:rPr>
          <w:rFonts w:ascii="Arial" w:hAnsi="Arial" w:cs="Arial"/>
          <w:i/>
          <w:iCs/>
          <w:sz w:val="14"/>
        </w:rPr>
        <w:t>288</w:t>
      </w:r>
      <w:r w:rsidRPr="001C4CB9">
        <w:rPr>
          <w:rFonts w:ascii="Arial" w:hAnsi="Arial" w:cs="Arial"/>
          <w:sz w:val="14"/>
        </w:rPr>
        <w:t>, 5636–5644.</w:t>
      </w:r>
    </w:p>
    <w:p w:rsidR="008D101F" w:rsidRPr="001C4CB9" w:rsidRDefault="008D101F">
      <w:pPr>
        <w:widowControl w:val="0"/>
        <w:autoSpaceDE w:val="0"/>
        <w:autoSpaceDN w:val="0"/>
        <w:adjustRightInd w:val="0"/>
        <w:rPr>
          <w:rFonts w:ascii="Arial" w:hAnsi="Arial" w:cs="Arial"/>
          <w:sz w:val="14"/>
        </w:rPr>
      </w:pPr>
      <w:r w:rsidRPr="001C4CB9">
        <w:rPr>
          <w:rFonts w:ascii="Arial" w:hAnsi="Arial" w:cs="Arial"/>
          <w:sz w:val="14"/>
        </w:rPr>
        <w:t>[44]</w:t>
      </w:r>
      <w:r w:rsidRPr="001C4CB9">
        <w:rPr>
          <w:rFonts w:ascii="Arial" w:hAnsi="Arial" w:cs="Arial"/>
          <w:sz w:val="14"/>
        </w:rPr>
        <w:tab/>
        <w:t xml:space="preserve">C. Rouanet-Mehouas, B. Czarny, F. Beau, E. Cassar-Lajeunesse, E. A. Stura, V. Dive, L. Devel, </w:t>
      </w:r>
      <w:r w:rsidRPr="001C4CB9">
        <w:rPr>
          <w:rFonts w:ascii="Arial" w:hAnsi="Arial" w:cs="Arial"/>
          <w:i/>
          <w:iCs/>
          <w:sz w:val="14"/>
        </w:rPr>
        <w:t>J. Med. Chem.</w:t>
      </w:r>
      <w:r w:rsidRPr="001C4CB9">
        <w:rPr>
          <w:rFonts w:ascii="Arial" w:hAnsi="Arial" w:cs="Arial"/>
          <w:sz w:val="14"/>
        </w:rPr>
        <w:t xml:space="preserve"> </w:t>
      </w:r>
      <w:r w:rsidRPr="001C4CB9">
        <w:rPr>
          <w:rFonts w:ascii="Arial" w:hAnsi="Arial" w:cs="Arial"/>
          <w:b/>
          <w:bCs/>
          <w:sz w:val="14"/>
        </w:rPr>
        <w:t>2017</w:t>
      </w:r>
      <w:r w:rsidRPr="001C4CB9">
        <w:rPr>
          <w:rFonts w:ascii="Arial" w:hAnsi="Arial" w:cs="Arial"/>
          <w:sz w:val="14"/>
        </w:rPr>
        <w:t xml:space="preserve">, </w:t>
      </w:r>
      <w:r w:rsidRPr="001C4CB9">
        <w:rPr>
          <w:rFonts w:ascii="Arial" w:hAnsi="Arial" w:cs="Arial"/>
          <w:i/>
          <w:iCs/>
          <w:sz w:val="14"/>
        </w:rPr>
        <w:t>60</w:t>
      </w:r>
      <w:r w:rsidRPr="001C4CB9">
        <w:rPr>
          <w:rFonts w:ascii="Arial" w:hAnsi="Arial" w:cs="Arial"/>
          <w:sz w:val="14"/>
        </w:rPr>
        <w:t>, 403–414.</w:t>
      </w:r>
    </w:p>
    <w:p w:rsidR="00760281" w:rsidRPr="001C4CB9" w:rsidRDefault="00760281" w:rsidP="00760281">
      <w:pPr>
        <w:pStyle w:val="Keywords"/>
        <w:rPr>
          <w:lang w:val="en-US"/>
        </w:rPr>
        <w:sectPr w:rsidR="00760281" w:rsidRPr="001C4CB9" w:rsidSect="007D45C6">
          <w:type w:val="continuous"/>
          <w:pgSz w:w="11906" w:h="16838" w:code="9"/>
          <w:pgMar w:top="1673" w:right="936" w:bottom="1134" w:left="936" w:header="709" w:footer="709" w:gutter="0"/>
          <w:cols w:num="2" w:space="709"/>
          <w:docGrid w:linePitch="360"/>
        </w:sectPr>
      </w:pPr>
      <w:r w:rsidRPr="001C4CB9">
        <w:rPr>
          <w:lang w:val="en-US"/>
        </w:rPr>
        <w:fldChar w:fldCharType="end"/>
      </w:r>
    </w:p>
    <w:p w:rsidR="00773C4B" w:rsidRPr="001C4CB9" w:rsidRDefault="00773C4B" w:rsidP="00773C4B">
      <w:pPr>
        <w:rPr>
          <w:lang w:val="en-US"/>
        </w:rPr>
        <w:sectPr w:rsidR="00773C4B" w:rsidRPr="001C4CB9" w:rsidSect="002B243D">
          <w:type w:val="continuous"/>
          <w:pgSz w:w="11906" w:h="16838" w:code="9"/>
          <w:pgMar w:top="1673" w:right="936" w:bottom="1134" w:left="936" w:header="709" w:footer="709" w:gutter="0"/>
          <w:cols w:space="709"/>
          <w:docGrid w:linePitch="360"/>
        </w:sectPr>
      </w:pPr>
    </w:p>
    <w:p w:rsidR="00CF143A" w:rsidRPr="001C4CB9" w:rsidRDefault="00CF143A" w:rsidP="00CF143A">
      <w:pPr>
        <w:rPr>
          <w:bCs/>
          <w:lang w:val="en-US"/>
        </w:rPr>
      </w:pPr>
    </w:p>
    <w:p w:rsidR="00CF143A" w:rsidRPr="001C4CB9" w:rsidRDefault="00CF143A" w:rsidP="00CF143A">
      <w:pPr>
        <w:rPr>
          <w:b/>
          <w:lang w:val="en-US"/>
        </w:rPr>
      </w:pPr>
      <w:r w:rsidRPr="001C4CB9">
        <w:rPr>
          <w:b/>
          <w:lang w:val="en-US"/>
        </w:rPr>
        <w:t>Entry for the Table of Contents</w:t>
      </w:r>
    </w:p>
    <w:p w:rsidR="00CF143A" w:rsidRPr="001C4CB9" w:rsidRDefault="00CF143A" w:rsidP="00CF143A">
      <w:pPr>
        <w:pStyle w:val="TableOfContentText"/>
        <w:rPr>
          <w:lang w:val="en-US"/>
        </w:rPr>
      </w:pPr>
    </w:p>
    <w:p w:rsidR="00973153" w:rsidRPr="001C4CB9" w:rsidRDefault="00F156EF" w:rsidP="00CF143A">
      <w:pPr>
        <w:pStyle w:val="TableOfContentText"/>
        <w:rPr>
          <w:color w:val="FF0000"/>
          <w:lang w:val="en-US"/>
        </w:rPr>
      </w:pPr>
      <w:bookmarkStart w:id="0" w:name="_GoBack"/>
      <w:r>
        <w:rPr>
          <w:noProof/>
          <w:color w:val="FF0000"/>
          <w:lang w:val="en-US"/>
        </w:rPr>
        <w:drawing>
          <wp:inline distT="0" distB="0" distL="0" distR="0">
            <wp:extent cx="1968500" cy="17907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al angewdt.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68500" cy="1790700"/>
                    </a:xfrm>
                    <a:prstGeom prst="rect">
                      <a:avLst/>
                    </a:prstGeom>
                  </pic:spPr>
                </pic:pic>
              </a:graphicData>
            </a:graphic>
          </wp:inline>
        </w:drawing>
      </w:r>
      <w:bookmarkEnd w:id="0"/>
    </w:p>
    <w:p w:rsidR="00CF143A" w:rsidRPr="001C4CB9" w:rsidRDefault="00CF143A" w:rsidP="00CF143A">
      <w:pPr>
        <w:pStyle w:val="TableOfContentText"/>
        <w:rPr>
          <w:color w:val="auto"/>
          <w:lang w:val="en-US"/>
        </w:rPr>
      </w:pPr>
    </w:p>
    <w:p w:rsidR="00CF143A" w:rsidRPr="0023603C" w:rsidRDefault="00973153" w:rsidP="00DF789A">
      <w:pPr>
        <w:pStyle w:val="TableOfContentText"/>
        <w:jc w:val="both"/>
        <w:rPr>
          <w:color w:val="000000" w:themeColor="text1"/>
          <w:lang w:val="en-US"/>
        </w:rPr>
      </w:pPr>
      <w:r w:rsidRPr="001C4CB9">
        <w:rPr>
          <w:color w:val="000000" w:themeColor="text1"/>
          <w:lang w:val="en-US"/>
        </w:rPr>
        <w:t xml:space="preserve">By using </w:t>
      </w:r>
      <w:r w:rsidR="002D685D" w:rsidRPr="001C4CB9">
        <w:rPr>
          <w:color w:val="000000" w:themeColor="text1"/>
          <w:lang w:val="en-US"/>
        </w:rPr>
        <w:t xml:space="preserve">a ligand-direct chemistry, we have designed original activity-based probes able to </w:t>
      </w:r>
      <w:r w:rsidR="00BF2106" w:rsidRPr="001C4CB9">
        <w:rPr>
          <w:color w:val="000000" w:themeColor="text1"/>
          <w:lang w:val="en-US"/>
        </w:rPr>
        <w:t xml:space="preserve">react with </w:t>
      </w:r>
      <w:r w:rsidR="00EB6110" w:rsidRPr="001C4CB9">
        <w:rPr>
          <w:color w:val="000000" w:themeColor="text1"/>
          <w:lang w:val="en-US"/>
        </w:rPr>
        <w:t>matrix metalloproteases</w:t>
      </w:r>
      <w:r w:rsidR="00BF2106" w:rsidRPr="001C4CB9">
        <w:rPr>
          <w:color w:val="000000" w:themeColor="text1"/>
          <w:lang w:val="en-US"/>
        </w:rPr>
        <w:t xml:space="preserve"> active sites</w:t>
      </w:r>
      <w:r w:rsidR="00EB6110" w:rsidRPr="001C4CB9">
        <w:rPr>
          <w:color w:val="000000" w:themeColor="text1"/>
          <w:lang w:val="en-US"/>
        </w:rPr>
        <w:t xml:space="preserve"> </w:t>
      </w:r>
      <w:r w:rsidR="002D685D" w:rsidRPr="001C4CB9">
        <w:rPr>
          <w:color w:val="000000" w:themeColor="text1"/>
          <w:lang w:val="en-US"/>
        </w:rPr>
        <w:t>with</w:t>
      </w:r>
      <w:r w:rsidR="00EB6110" w:rsidRPr="001C4CB9">
        <w:rPr>
          <w:color w:val="000000" w:themeColor="text1"/>
          <w:lang w:val="en-US"/>
        </w:rPr>
        <w:t>out</w:t>
      </w:r>
      <w:r w:rsidR="002D685D" w:rsidRPr="001C4CB9">
        <w:rPr>
          <w:color w:val="000000" w:themeColor="text1"/>
          <w:lang w:val="en-US"/>
        </w:rPr>
        <w:t xml:space="preserve"> </w:t>
      </w:r>
      <w:r w:rsidR="00EB6110" w:rsidRPr="001C4CB9">
        <w:rPr>
          <w:color w:val="000000" w:themeColor="text1"/>
          <w:lang w:val="en-US"/>
        </w:rPr>
        <w:t xml:space="preserve">any </w:t>
      </w:r>
      <w:r w:rsidR="002D685D" w:rsidRPr="001C4CB9">
        <w:rPr>
          <w:color w:val="000000" w:themeColor="text1"/>
          <w:lang w:val="en-US"/>
        </w:rPr>
        <w:t xml:space="preserve">external trigger. </w:t>
      </w:r>
      <w:r w:rsidR="00EB6110" w:rsidRPr="001C4CB9">
        <w:rPr>
          <w:color w:val="000000" w:themeColor="text1"/>
          <w:lang w:val="en-US"/>
        </w:rPr>
        <w:t xml:space="preserve">These </w:t>
      </w:r>
      <w:proofErr w:type="spellStart"/>
      <w:r w:rsidR="00EB6110" w:rsidRPr="001C4CB9">
        <w:rPr>
          <w:color w:val="000000" w:themeColor="text1"/>
          <w:lang w:val="en-US"/>
        </w:rPr>
        <w:t>phosphinic</w:t>
      </w:r>
      <w:proofErr w:type="spellEnd"/>
      <w:r w:rsidR="00EB6110" w:rsidRPr="001C4CB9">
        <w:rPr>
          <w:color w:val="000000" w:themeColor="text1"/>
          <w:lang w:val="en-US"/>
        </w:rPr>
        <w:t xml:space="preserve"> pseudo peptide probes</w:t>
      </w:r>
      <w:r w:rsidR="002D685D" w:rsidRPr="001C4CB9">
        <w:rPr>
          <w:color w:val="000000" w:themeColor="text1"/>
          <w:lang w:val="en-US"/>
        </w:rPr>
        <w:t xml:space="preserve"> display </w:t>
      </w:r>
      <w:r w:rsidR="00EB6110" w:rsidRPr="001C4CB9">
        <w:rPr>
          <w:color w:val="000000" w:themeColor="text1"/>
          <w:lang w:val="en-US"/>
        </w:rPr>
        <w:t>a h</w:t>
      </w:r>
      <w:r w:rsidR="002D685D" w:rsidRPr="001C4CB9">
        <w:rPr>
          <w:color w:val="000000" w:themeColor="text1"/>
          <w:lang w:val="en-US"/>
        </w:rPr>
        <w:t xml:space="preserve">MMP-12 preference </w:t>
      </w:r>
      <w:r w:rsidR="00BF2106" w:rsidRPr="001C4CB9">
        <w:rPr>
          <w:color w:val="000000" w:themeColor="text1"/>
          <w:lang w:val="en-US"/>
        </w:rPr>
        <w:t xml:space="preserve">and were </w:t>
      </w:r>
      <w:r w:rsidR="002D685D" w:rsidRPr="001C4CB9">
        <w:rPr>
          <w:color w:val="000000" w:themeColor="text1"/>
          <w:lang w:val="en-US"/>
        </w:rPr>
        <w:t xml:space="preserve">capable </w:t>
      </w:r>
      <w:r w:rsidR="00BF2106" w:rsidRPr="001C4CB9">
        <w:rPr>
          <w:color w:val="000000" w:themeColor="text1"/>
          <w:lang w:val="en-US"/>
        </w:rPr>
        <w:t xml:space="preserve">of </w:t>
      </w:r>
      <w:r w:rsidR="002D685D" w:rsidRPr="001C4CB9">
        <w:rPr>
          <w:color w:val="000000" w:themeColor="text1"/>
          <w:lang w:val="en-US"/>
        </w:rPr>
        <w:t xml:space="preserve">selectively </w:t>
      </w:r>
      <w:r w:rsidR="00BF2106" w:rsidRPr="001C4CB9">
        <w:rPr>
          <w:color w:val="000000" w:themeColor="text1"/>
          <w:lang w:val="en-US"/>
        </w:rPr>
        <w:t xml:space="preserve">labelling </w:t>
      </w:r>
      <w:r w:rsidR="0012351D" w:rsidRPr="001C4CB9">
        <w:rPr>
          <w:color w:val="000000" w:themeColor="text1"/>
          <w:lang w:val="en-US"/>
        </w:rPr>
        <w:t xml:space="preserve">human and mouse </w:t>
      </w:r>
      <w:r w:rsidR="002D685D" w:rsidRPr="001C4CB9">
        <w:rPr>
          <w:color w:val="000000" w:themeColor="text1"/>
          <w:lang w:val="en-US"/>
        </w:rPr>
        <w:t>MMP-12</w:t>
      </w:r>
      <w:r w:rsidR="0012351D" w:rsidRPr="001C4CB9">
        <w:rPr>
          <w:color w:val="000000" w:themeColor="text1"/>
          <w:lang w:val="en-US"/>
        </w:rPr>
        <w:t xml:space="preserve"> in complex </w:t>
      </w:r>
      <w:r w:rsidR="00F16E6A" w:rsidRPr="001C4CB9">
        <w:rPr>
          <w:color w:val="000000" w:themeColor="text1"/>
          <w:lang w:val="en-US"/>
        </w:rPr>
        <w:t>proteomes.</w:t>
      </w:r>
      <w:r w:rsidR="002D685D" w:rsidRPr="0023603C">
        <w:rPr>
          <w:color w:val="000000" w:themeColor="text1"/>
          <w:lang w:val="en-US"/>
        </w:rPr>
        <w:t xml:space="preserve"> </w:t>
      </w:r>
    </w:p>
    <w:p w:rsidR="005755CC" w:rsidRPr="0023603C" w:rsidRDefault="005755CC" w:rsidP="005755CC">
      <w:pPr>
        <w:pStyle w:val="TableOfContentText"/>
        <w:spacing w:before="360"/>
        <w:rPr>
          <w:lang w:val="en-US"/>
        </w:rPr>
      </w:pPr>
    </w:p>
    <w:sectPr w:rsidR="005755CC" w:rsidRPr="0023603C" w:rsidSect="002B243D">
      <w:pgSz w:w="11906" w:h="16838" w:code="9"/>
      <w:pgMar w:top="1134" w:right="936" w:bottom="1134" w:left="936" w:header="1021" w:footer="0"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1AEE" w:rsidRDefault="00011AEE">
      <w:r>
        <w:separator/>
      </w:r>
    </w:p>
  </w:endnote>
  <w:endnote w:type="continuationSeparator" w:id="0">
    <w:p w:rsidR="00011AEE" w:rsidRDefault="00011A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0B2" w:rsidRDefault="008520B2">
    <w:pPr>
      <w:pStyle w:val="Pieddepage"/>
      <w:jc w:val="center"/>
    </w:pPr>
    <w:r>
      <w:fldChar w:fldCharType="begin"/>
    </w:r>
    <w:r>
      <w:instrText xml:space="preserve"> PAGE   \* MERGEFORMAT </w:instrText>
    </w:r>
    <w:r>
      <w:fldChar w:fldCharType="separate"/>
    </w:r>
    <w:r w:rsidR="00DA1786">
      <w:rPr>
        <w:noProof/>
      </w:rPr>
      <w:t>7</w:t>
    </w:r>
    <w:r>
      <w:rPr>
        <w:noProof/>
      </w:rPr>
      <w:fldChar w:fldCharType="end"/>
    </w:r>
  </w:p>
  <w:p w:rsidR="008520B2" w:rsidRPr="0095126A" w:rsidRDefault="008520B2" w:rsidP="0095126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1AEE" w:rsidRDefault="00011AEE">
      <w:r>
        <w:separator/>
      </w:r>
    </w:p>
  </w:footnote>
  <w:footnote w:type="continuationSeparator" w:id="0">
    <w:p w:rsidR="00011AEE" w:rsidRDefault="00011A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0B2" w:rsidRPr="00863DFC" w:rsidRDefault="00011AEE" w:rsidP="00863DFC">
    <w:pPr>
      <w:pStyle w:val="En-tte"/>
      <w:pBdr>
        <w:bottom w:val="single" w:sz="18" w:space="1" w:color="C0C0C0"/>
      </w:pBdr>
    </w:pPr>
    <w:r>
      <w:rPr>
        <w:rFonts w:ascii="Arial Narrow" w:hAnsi="Arial Narrow" w:cs="Arial"/>
        <w:b/>
        <w:bCs/>
        <w:noProof/>
        <w:color w:val="C0C0C0"/>
        <w:sz w:val="32"/>
        <w:szCs w:val="36"/>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5" o:spid="_x0000_s2050" type="#_x0000_t75" alt="Wiley-VCH_gedreht" style="position:absolute;margin-left:0;margin-top:0;width:688.65pt;height:937.8pt;z-index:-251657728;mso-wrap-edited:f;mso-width-percent:0;mso-height-percent:0;mso-position-horizontal:center;mso-position-horizontal-relative:margin;mso-position-vertical:center;mso-position-vertical-relative:margin;mso-width-percent:0;mso-height-percent:0" o:allowincell="f">
          <v:imagedata r:id="rId1" o:title="Wiley-VCH_gedreht" gain="19661f" blacklevel="22938f"/>
          <w10:wrap anchorx="margin" anchory="margin"/>
        </v:shape>
      </w:pict>
    </w:r>
    <w:r w:rsidR="008520B2">
      <w:rPr>
        <w:rFonts w:ascii="Arial Narrow" w:hAnsi="Arial Narrow" w:cs="Arial"/>
        <w:b/>
        <w:bCs/>
        <w:noProof/>
        <w:color w:val="C0C0C0"/>
        <w:sz w:val="32"/>
        <w:szCs w:val="36"/>
        <w:lang w:val="en-GB" w:eastAsia="en-GB"/>
      </w:rPr>
      <w:drawing>
        <wp:anchor distT="0" distB="0" distL="114300" distR="114300" simplePos="0" relativeHeight="251656704" behindDoc="0" locked="0" layoutInCell="1" allowOverlap="1">
          <wp:simplePos x="0" y="0"/>
          <wp:positionH relativeFrom="column">
            <wp:posOffset>5344160</wp:posOffset>
          </wp:positionH>
          <wp:positionV relativeFrom="paragraph">
            <wp:posOffset>-40005</wp:posOffset>
          </wp:positionV>
          <wp:extent cx="1079500" cy="273050"/>
          <wp:effectExtent l="0" t="0" r="0" b="0"/>
          <wp:wrapTopAndBottom/>
          <wp:docPr id="4"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pic:spPr>
              </pic:pic>
            </a:graphicData>
          </a:graphic>
          <wp14:sizeRelH relativeFrom="page">
            <wp14:pctWidth>0</wp14:pctWidth>
          </wp14:sizeRelH>
          <wp14:sizeRelV relativeFrom="page">
            <wp14:pctHeight>0</wp14:pctHeight>
          </wp14:sizeRelV>
        </wp:anchor>
      </w:drawing>
    </w:r>
    <w:r w:rsidR="008520B2">
      <w:rPr>
        <w:rFonts w:ascii="Arial Narrow" w:hAnsi="Arial Narrow" w:cs="Arial"/>
        <w:b/>
        <w:bCs/>
        <w:color w:val="C0C0C0"/>
        <w:sz w:val="32"/>
        <w:szCs w:val="36"/>
      </w:rPr>
      <w:t>RESEARCH ARTICLE</w:t>
    </w:r>
    <w:r w:rsidR="008520B2" w:rsidRPr="00971FC5">
      <w:rPr>
        <w:rFonts w:ascii="Arial Narrow" w:hAnsi="Arial Narrow" w:cs="Arial"/>
        <w:sz w:val="32"/>
        <w:szCs w:val="36"/>
      </w:rPr>
      <w:tab/>
    </w:r>
    <w:r w:rsidR="008520B2" w:rsidRPr="00971FC5">
      <w:rPr>
        <w:rFonts w:ascii="Arial Narrow" w:hAnsi="Arial Narrow" w:cs="Arial"/>
        <w:sz w:val="32"/>
        <w:szCs w:val="36"/>
      </w:rPr>
      <w:tab/>
    </w:r>
    <w:r w:rsidR="008520B2">
      <w:rPr>
        <w:rFonts w:ascii="Arial Narrow" w:hAnsi="Arial Narrow" w:cs="Arial"/>
        <w:sz w:val="32"/>
        <w:szCs w:val="3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0B2" w:rsidRDefault="00011AEE">
    <w:pPr>
      <w:pStyle w:val="En-tte"/>
    </w:pPr>
    <w:r>
      <w:rPr>
        <w:noProof/>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3" o:spid="_x0000_s2049" type="#_x0000_t75" alt="Wiley-VCH_gedreht" style="position:absolute;margin-left:0;margin-top:0;width:688.65pt;height:937.8pt;z-index:-251658752;mso-wrap-edited:f;mso-width-percent:0;mso-height-percent:0;mso-position-horizontal:center;mso-position-horizontal-relative:margin;mso-position-vertical:center;mso-position-vertical-relative:margin;mso-width-percent:0;mso-height-percent:0" o:allowincell="f">
          <v:imagedata r:id="rId1" o:title="Wiley-VCH_gedreh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9" type="#_x0000_t75" style="width:11.75pt;height:10.8pt" o:bullet="t">
        <v:imagedata r:id="rId1" o:title=""/>
      </v:shape>
    </w:pict>
  </w:numPicBullet>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30A"/>
    <w:rsid w:val="00000D31"/>
    <w:rsid w:val="00001564"/>
    <w:rsid w:val="0000214A"/>
    <w:rsid w:val="00002DBC"/>
    <w:rsid w:val="00003927"/>
    <w:rsid w:val="00004357"/>
    <w:rsid w:val="00004437"/>
    <w:rsid w:val="0000457A"/>
    <w:rsid w:val="0000551D"/>
    <w:rsid w:val="00005977"/>
    <w:rsid w:val="00005A06"/>
    <w:rsid w:val="00005E75"/>
    <w:rsid w:val="000073A8"/>
    <w:rsid w:val="000079D8"/>
    <w:rsid w:val="00010410"/>
    <w:rsid w:val="00011AEE"/>
    <w:rsid w:val="00011D51"/>
    <w:rsid w:val="00013005"/>
    <w:rsid w:val="00013DD7"/>
    <w:rsid w:val="00015D37"/>
    <w:rsid w:val="00017A18"/>
    <w:rsid w:val="000208F6"/>
    <w:rsid w:val="000224E6"/>
    <w:rsid w:val="00022DB4"/>
    <w:rsid w:val="000238E9"/>
    <w:rsid w:val="00033C26"/>
    <w:rsid w:val="00033D1A"/>
    <w:rsid w:val="00033F43"/>
    <w:rsid w:val="00034564"/>
    <w:rsid w:val="00036490"/>
    <w:rsid w:val="00036B58"/>
    <w:rsid w:val="00036EEB"/>
    <w:rsid w:val="0004091A"/>
    <w:rsid w:val="00041750"/>
    <w:rsid w:val="00041755"/>
    <w:rsid w:val="00042BF0"/>
    <w:rsid w:val="00045AB9"/>
    <w:rsid w:val="0004737E"/>
    <w:rsid w:val="00047A5F"/>
    <w:rsid w:val="0005096E"/>
    <w:rsid w:val="0005140E"/>
    <w:rsid w:val="00051C9E"/>
    <w:rsid w:val="00055485"/>
    <w:rsid w:val="00056181"/>
    <w:rsid w:val="000570A4"/>
    <w:rsid w:val="000608E9"/>
    <w:rsid w:val="00060E09"/>
    <w:rsid w:val="00060E81"/>
    <w:rsid w:val="0006281D"/>
    <w:rsid w:val="000631BB"/>
    <w:rsid w:val="00063E0F"/>
    <w:rsid w:val="0006489B"/>
    <w:rsid w:val="000650AB"/>
    <w:rsid w:val="00065C3E"/>
    <w:rsid w:val="0006694D"/>
    <w:rsid w:val="000669E3"/>
    <w:rsid w:val="00066B8E"/>
    <w:rsid w:val="00070B55"/>
    <w:rsid w:val="00070B6C"/>
    <w:rsid w:val="00070E0D"/>
    <w:rsid w:val="000711C9"/>
    <w:rsid w:val="0007315F"/>
    <w:rsid w:val="00077560"/>
    <w:rsid w:val="000806F8"/>
    <w:rsid w:val="0008077D"/>
    <w:rsid w:val="000839CD"/>
    <w:rsid w:val="0008582C"/>
    <w:rsid w:val="00087862"/>
    <w:rsid w:val="00091323"/>
    <w:rsid w:val="0009539C"/>
    <w:rsid w:val="00095521"/>
    <w:rsid w:val="00095616"/>
    <w:rsid w:val="00095C2F"/>
    <w:rsid w:val="00097A3B"/>
    <w:rsid w:val="000A37F3"/>
    <w:rsid w:val="000A43B7"/>
    <w:rsid w:val="000A5092"/>
    <w:rsid w:val="000A61F3"/>
    <w:rsid w:val="000A77DC"/>
    <w:rsid w:val="000B278E"/>
    <w:rsid w:val="000B44F1"/>
    <w:rsid w:val="000B5AEC"/>
    <w:rsid w:val="000B6DF3"/>
    <w:rsid w:val="000C1DBD"/>
    <w:rsid w:val="000C24EC"/>
    <w:rsid w:val="000C340D"/>
    <w:rsid w:val="000C3667"/>
    <w:rsid w:val="000C53F1"/>
    <w:rsid w:val="000C5ED7"/>
    <w:rsid w:val="000C71DF"/>
    <w:rsid w:val="000C7DAD"/>
    <w:rsid w:val="000D0CF5"/>
    <w:rsid w:val="000D318A"/>
    <w:rsid w:val="000D70F8"/>
    <w:rsid w:val="000D75B7"/>
    <w:rsid w:val="000D7701"/>
    <w:rsid w:val="000E0815"/>
    <w:rsid w:val="000E0CEA"/>
    <w:rsid w:val="000E0EC4"/>
    <w:rsid w:val="000E1C81"/>
    <w:rsid w:val="000E395D"/>
    <w:rsid w:val="000E517A"/>
    <w:rsid w:val="000E5FDC"/>
    <w:rsid w:val="000E69EC"/>
    <w:rsid w:val="000E76B8"/>
    <w:rsid w:val="000F29A4"/>
    <w:rsid w:val="000F2C63"/>
    <w:rsid w:val="000F2EA1"/>
    <w:rsid w:val="000F5789"/>
    <w:rsid w:val="000F5BD1"/>
    <w:rsid w:val="000F6F05"/>
    <w:rsid w:val="000F7847"/>
    <w:rsid w:val="001037A1"/>
    <w:rsid w:val="00103EF7"/>
    <w:rsid w:val="00104119"/>
    <w:rsid w:val="0010543E"/>
    <w:rsid w:val="00105F97"/>
    <w:rsid w:val="00107E8C"/>
    <w:rsid w:val="00114766"/>
    <w:rsid w:val="001158DE"/>
    <w:rsid w:val="00120F2E"/>
    <w:rsid w:val="00121CB6"/>
    <w:rsid w:val="00121DAC"/>
    <w:rsid w:val="0012351D"/>
    <w:rsid w:val="001237B3"/>
    <w:rsid w:val="0012381E"/>
    <w:rsid w:val="001322FF"/>
    <w:rsid w:val="0013316F"/>
    <w:rsid w:val="001344F7"/>
    <w:rsid w:val="001348CD"/>
    <w:rsid w:val="0014043E"/>
    <w:rsid w:val="00141356"/>
    <w:rsid w:val="00143551"/>
    <w:rsid w:val="0014374D"/>
    <w:rsid w:val="00143B89"/>
    <w:rsid w:val="001475BF"/>
    <w:rsid w:val="00152E6D"/>
    <w:rsid w:val="00154611"/>
    <w:rsid w:val="00155FB7"/>
    <w:rsid w:val="00156275"/>
    <w:rsid w:val="0015631F"/>
    <w:rsid w:val="00157C67"/>
    <w:rsid w:val="00160BCF"/>
    <w:rsid w:val="0016203E"/>
    <w:rsid w:val="00162F0E"/>
    <w:rsid w:val="001639AE"/>
    <w:rsid w:val="00164837"/>
    <w:rsid w:val="001654DF"/>
    <w:rsid w:val="00166BEB"/>
    <w:rsid w:val="00166D41"/>
    <w:rsid w:val="001678B6"/>
    <w:rsid w:val="0017048F"/>
    <w:rsid w:val="00170D5C"/>
    <w:rsid w:val="001719D2"/>
    <w:rsid w:val="00172B86"/>
    <w:rsid w:val="00172F48"/>
    <w:rsid w:val="001732A4"/>
    <w:rsid w:val="00173DF8"/>
    <w:rsid w:val="001800AA"/>
    <w:rsid w:val="001801CA"/>
    <w:rsid w:val="0018165B"/>
    <w:rsid w:val="00181774"/>
    <w:rsid w:val="00184380"/>
    <w:rsid w:val="00184581"/>
    <w:rsid w:val="00186601"/>
    <w:rsid w:val="001878D0"/>
    <w:rsid w:val="0019014F"/>
    <w:rsid w:val="001910BB"/>
    <w:rsid w:val="00191338"/>
    <w:rsid w:val="00194818"/>
    <w:rsid w:val="001948C2"/>
    <w:rsid w:val="00194A21"/>
    <w:rsid w:val="0019541F"/>
    <w:rsid w:val="00196DEB"/>
    <w:rsid w:val="00197F42"/>
    <w:rsid w:val="001A0D55"/>
    <w:rsid w:val="001A2FE3"/>
    <w:rsid w:val="001A3120"/>
    <w:rsid w:val="001A39AE"/>
    <w:rsid w:val="001A438D"/>
    <w:rsid w:val="001A4CA0"/>
    <w:rsid w:val="001B0ACD"/>
    <w:rsid w:val="001B0DFC"/>
    <w:rsid w:val="001B1C79"/>
    <w:rsid w:val="001B286E"/>
    <w:rsid w:val="001B2A38"/>
    <w:rsid w:val="001B73B9"/>
    <w:rsid w:val="001B7620"/>
    <w:rsid w:val="001C1039"/>
    <w:rsid w:val="001C14E2"/>
    <w:rsid w:val="001C21E3"/>
    <w:rsid w:val="001C26A7"/>
    <w:rsid w:val="001C2FE6"/>
    <w:rsid w:val="001C34E4"/>
    <w:rsid w:val="001C4795"/>
    <w:rsid w:val="001C4CB9"/>
    <w:rsid w:val="001C6880"/>
    <w:rsid w:val="001D1155"/>
    <w:rsid w:val="001D13EA"/>
    <w:rsid w:val="001D216B"/>
    <w:rsid w:val="001D2257"/>
    <w:rsid w:val="001D29CA"/>
    <w:rsid w:val="001D3CE8"/>
    <w:rsid w:val="001D456D"/>
    <w:rsid w:val="001D54CA"/>
    <w:rsid w:val="001D7ABC"/>
    <w:rsid w:val="001D7ECC"/>
    <w:rsid w:val="001E164A"/>
    <w:rsid w:val="001E2726"/>
    <w:rsid w:val="001E27F4"/>
    <w:rsid w:val="001E2F1C"/>
    <w:rsid w:val="001E4A85"/>
    <w:rsid w:val="001F1504"/>
    <w:rsid w:val="001F16EF"/>
    <w:rsid w:val="001F1A2D"/>
    <w:rsid w:val="001F252B"/>
    <w:rsid w:val="001F30A4"/>
    <w:rsid w:val="001F3ACC"/>
    <w:rsid w:val="001F3C89"/>
    <w:rsid w:val="001F4235"/>
    <w:rsid w:val="001F441F"/>
    <w:rsid w:val="001F45C3"/>
    <w:rsid w:val="001F4EE4"/>
    <w:rsid w:val="0020057D"/>
    <w:rsid w:val="0020306E"/>
    <w:rsid w:val="002051F5"/>
    <w:rsid w:val="00211022"/>
    <w:rsid w:val="002124FA"/>
    <w:rsid w:val="00213D0E"/>
    <w:rsid w:val="0021664D"/>
    <w:rsid w:val="00216EE6"/>
    <w:rsid w:val="002170AF"/>
    <w:rsid w:val="00221044"/>
    <w:rsid w:val="002221BA"/>
    <w:rsid w:val="00222D97"/>
    <w:rsid w:val="0022537E"/>
    <w:rsid w:val="0022582C"/>
    <w:rsid w:val="002309A8"/>
    <w:rsid w:val="00231835"/>
    <w:rsid w:val="00231D3B"/>
    <w:rsid w:val="00231E6A"/>
    <w:rsid w:val="00232AF8"/>
    <w:rsid w:val="00232C14"/>
    <w:rsid w:val="0023554E"/>
    <w:rsid w:val="0023603C"/>
    <w:rsid w:val="0023626B"/>
    <w:rsid w:val="002362C7"/>
    <w:rsid w:val="0023734F"/>
    <w:rsid w:val="00241D85"/>
    <w:rsid w:val="002421AB"/>
    <w:rsid w:val="00242E54"/>
    <w:rsid w:val="002433F0"/>
    <w:rsid w:val="00243927"/>
    <w:rsid w:val="002446D7"/>
    <w:rsid w:val="002554F4"/>
    <w:rsid w:val="00260EDA"/>
    <w:rsid w:val="00261264"/>
    <w:rsid w:val="00261387"/>
    <w:rsid w:val="00261882"/>
    <w:rsid w:val="00263C26"/>
    <w:rsid w:val="00264FF4"/>
    <w:rsid w:val="00265DCA"/>
    <w:rsid w:val="002679AF"/>
    <w:rsid w:val="00267F8A"/>
    <w:rsid w:val="002702BC"/>
    <w:rsid w:val="0027068B"/>
    <w:rsid w:val="00273408"/>
    <w:rsid w:val="00274C91"/>
    <w:rsid w:val="00280904"/>
    <w:rsid w:val="00281932"/>
    <w:rsid w:val="00282D90"/>
    <w:rsid w:val="00287062"/>
    <w:rsid w:val="00287256"/>
    <w:rsid w:val="00287B32"/>
    <w:rsid w:val="002908D8"/>
    <w:rsid w:val="00290A76"/>
    <w:rsid w:val="00291C93"/>
    <w:rsid w:val="00293021"/>
    <w:rsid w:val="00293970"/>
    <w:rsid w:val="00294897"/>
    <w:rsid w:val="002A002E"/>
    <w:rsid w:val="002A36FA"/>
    <w:rsid w:val="002A561E"/>
    <w:rsid w:val="002A69D1"/>
    <w:rsid w:val="002A7D49"/>
    <w:rsid w:val="002B0E8E"/>
    <w:rsid w:val="002B123A"/>
    <w:rsid w:val="002B16E2"/>
    <w:rsid w:val="002B22BA"/>
    <w:rsid w:val="002B243D"/>
    <w:rsid w:val="002B25E2"/>
    <w:rsid w:val="002B2D41"/>
    <w:rsid w:val="002B3176"/>
    <w:rsid w:val="002B3201"/>
    <w:rsid w:val="002B453B"/>
    <w:rsid w:val="002B56C9"/>
    <w:rsid w:val="002B6B1C"/>
    <w:rsid w:val="002B7CA9"/>
    <w:rsid w:val="002C0C54"/>
    <w:rsid w:val="002C0FBD"/>
    <w:rsid w:val="002C288D"/>
    <w:rsid w:val="002C330A"/>
    <w:rsid w:val="002C36E0"/>
    <w:rsid w:val="002C55BE"/>
    <w:rsid w:val="002D0719"/>
    <w:rsid w:val="002D0B17"/>
    <w:rsid w:val="002D1701"/>
    <w:rsid w:val="002D24CB"/>
    <w:rsid w:val="002D42FF"/>
    <w:rsid w:val="002D5148"/>
    <w:rsid w:val="002D5B7D"/>
    <w:rsid w:val="002D685D"/>
    <w:rsid w:val="002D6942"/>
    <w:rsid w:val="002E066F"/>
    <w:rsid w:val="002E0E5C"/>
    <w:rsid w:val="002E2CA8"/>
    <w:rsid w:val="002E3FFF"/>
    <w:rsid w:val="002F0269"/>
    <w:rsid w:val="002F1479"/>
    <w:rsid w:val="002F17FB"/>
    <w:rsid w:val="002F56D6"/>
    <w:rsid w:val="002F6240"/>
    <w:rsid w:val="002F6A4C"/>
    <w:rsid w:val="002F73A5"/>
    <w:rsid w:val="002F7D90"/>
    <w:rsid w:val="003006A7"/>
    <w:rsid w:val="00301167"/>
    <w:rsid w:val="00301835"/>
    <w:rsid w:val="00301D1E"/>
    <w:rsid w:val="00303FBE"/>
    <w:rsid w:val="003040CB"/>
    <w:rsid w:val="00306166"/>
    <w:rsid w:val="003079D2"/>
    <w:rsid w:val="00307C5A"/>
    <w:rsid w:val="0031139E"/>
    <w:rsid w:val="003116F4"/>
    <w:rsid w:val="003125F8"/>
    <w:rsid w:val="00312ED2"/>
    <w:rsid w:val="00313CEF"/>
    <w:rsid w:val="00314863"/>
    <w:rsid w:val="0032022A"/>
    <w:rsid w:val="0032048F"/>
    <w:rsid w:val="003207B0"/>
    <w:rsid w:val="003219A5"/>
    <w:rsid w:val="003219F8"/>
    <w:rsid w:val="00322D02"/>
    <w:rsid w:val="00322E1F"/>
    <w:rsid w:val="00323B68"/>
    <w:rsid w:val="00323FC3"/>
    <w:rsid w:val="00324724"/>
    <w:rsid w:val="00325147"/>
    <w:rsid w:val="003254D1"/>
    <w:rsid w:val="00325516"/>
    <w:rsid w:val="003275FF"/>
    <w:rsid w:val="00327F46"/>
    <w:rsid w:val="0033054D"/>
    <w:rsid w:val="00331B5E"/>
    <w:rsid w:val="00333FAD"/>
    <w:rsid w:val="0033586B"/>
    <w:rsid w:val="00335BBD"/>
    <w:rsid w:val="00336A5A"/>
    <w:rsid w:val="0034025B"/>
    <w:rsid w:val="003403BB"/>
    <w:rsid w:val="00340730"/>
    <w:rsid w:val="00340A08"/>
    <w:rsid w:val="003447D7"/>
    <w:rsid w:val="0034496B"/>
    <w:rsid w:val="00344AB1"/>
    <w:rsid w:val="003523F9"/>
    <w:rsid w:val="00354B57"/>
    <w:rsid w:val="00361DFD"/>
    <w:rsid w:val="00363E84"/>
    <w:rsid w:val="00364753"/>
    <w:rsid w:val="00364A2A"/>
    <w:rsid w:val="00365129"/>
    <w:rsid w:val="003657B6"/>
    <w:rsid w:val="00366676"/>
    <w:rsid w:val="003674A7"/>
    <w:rsid w:val="00367D6A"/>
    <w:rsid w:val="00375415"/>
    <w:rsid w:val="00376792"/>
    <w:rsid w:val="00376F37"/>
    <w:rsid w:val="0038506F"/>
    <w:rsid w:val="00385D5F"/>
    <w:rsid w:val="0039069B"/>
    <w:rsid w:val="00390DD7"/>
    <w:rsid w:val="0039120B"/>
    <w:rsid w:val="00393D7B"/>
    <w:rsid w:val="00395343"/>
    <w:rsid w:val="00396BE2"/>
    <w:rsid w:val="00397C65"/>
    <w:rsid w:val="003A0C27"/>
    <w:rsid w:val="003A32B9"/>
    <w:rsid w:val="003A6168"/>
    <w:rsid w:val="003A6F19"/>
    <w:rsid w:val="003A71FE"/>
    <w:rsid w:val="003B04BA"/>
    <w:rsid w:val="003B0FC4"/>
    <w:rsid w:val="003B23C7"/>
    <w:rsid w:val="003B56FF"/>
    <w:rsid w:val="003B5C90"/>
    <w:rsid w:val="003B6C60"/>
    <w:rsid w:val="003B70C8"/>
    <w:rsid w:val="003C134A"/>
    <w:rsid w:val="003C1CCA"/>
    <w:rsid w:val="003C2972"/>
    <w:rsid w:val="003C2C9C"/>
    <w:rsid w:val="003C58DA"/>
    <w:rsid w:val="003C6E1A"/>
    <w:rsid w:val="003D0F51"/>
    <w:rsid w:val="003D1C1A"/>
    <w:rsid w:val="003D3EA1"/>
    <w:rsid w:val="003D3F9A"/>
    <w:rsid w:val="003D50AB"/>
    <w:rsid w:val="003D602E"/>
    <w:rsid w:val="003E100E"/>
    <w:rsid w:val="003E1295"/>
    <w:rsid w:val="003E509E"/>
    <w:rsid w:val="003E54CD"/>
    <w:rsid w:val="003E561F"/>
    <w:rsid w:val="003E7306"/>
    <w:rsid w:val="003E7319"/>
    <w:rsid w:val="003E7FEF"/>
    <w:rsid w:val="003F1223"/>
    <w:rsid w:val="003F1C58"/>
    <w:rsid w:val="003F2556"/>
    <w:rsid w:val="003F281C"/>
    <w:rsid w:val="003F4450"/>
    <w:rsid w:val="003F50D4"/>
    <w:rsid w:val="003F5BBE"/>
    <w:rsid w:val="003F78EA"/>
    <w:rsid w:val="0040080D"/>
    <w:rsid w:val="0040173F"/>
    <w:rsid w:val="0040270E"/>
    <w:rsid w:val="00403876"/>
    <w:rsid w:val="004062B1"/>
    <w:rsid w:val="004070B6"/>
    <w:rsid w:val="004072DD"/>
    <w:rsid w:val="00407629"/>
    <w:rsid w:val="00411AA6"/>
    <w:rsid w:val="00414412"/>
    <w:rsid w:val="00414462"/>
    <w:rsid w:val="00415971"/>
    <w:rsid w:val="00416B05"/>
    <w:rsid w:val="00420670"/>
    <w:rsid w:val="00420E75"/>
    <w:rsid w:val="00422AFE"/>
    <w:rsid w:val="0042317B"/>
    <w:rsid w:val="00423593"/>
    <w:rsid w:val="00424978"/>
    <w:rsid w:val="0042545B"/>
    <w:rsid w:val="00427CBD"/>
    <w:rsid w:val="00431151"/>
    <w:rsid w:val="00432307"/>
    <w:rsid w:val="00432B88"/>
    <w:rsid w:val="004344FB"/>
    <w:rsid w:val="0043558F"/>
    <w:rsid w:val="00435D6F"/>
    <w:rsid w:val="00436338"/>
    <w:rsid w:val="00437B5A"/>
    <w:rsid w:val="00437FE2"/>
    <w:rsid w:val="00443133"/>
    <w:rsid w:val="00444E3C"/>
    <w:rsid w:val="00445D5C"/>
    <w:rsid w:val="004465F9"/>
    <w:rsid w:val="004466B0"/>
    <w:rsid w:val="00451117"/>
    <w:rsid w:val="00453282"/>
    <w:rsid w:val="00454A2D"/>
    <w:rsid w:val="00454B3C"/>
    <w:rsid w:val="004556E1"/>
    <w:rsid w:val="004609E1"/>
    <w:rsid w:val="00460C28"/>
    <w:rsid w:val="00461BD2"/>
    <w:rsid w:val="00462A09"/>
    <w:rsid w:val="004644E1"/>
    <w:rsid w:val="00464BD7"/>
    <w:rsid w:val="0046574E"/>
    <w:rsid w:val="004657E8"/>
    <w:rsid w:val="00467E99"/>
    <w:rsid w:val="00470790"/>
    <w:rsid w:val="00473029"/>
    <w:rsid w:val="00473EE4"/>
    <w:rsid w:val="004757E6"/>
    <w:rsid w:val="0047732A"/>
    <w:rsid w:val="00477B4C"/>
    <w:rsid w:val="00477B99"/>
    <w:rsid w:val="004823EF"/>
    <w:rsid w:val="004841CA"/>
    <w:rsid w:val="00484594"/>
    <w:rsid w:val="00485C84"/>
    <w:rsid w:val="00486215"/>
    <w:rsid w:val="0048630D"/>
    <w:rsid w:val="00487FB0"/>
    <w:rsid w:val="00491187"/>
    <w:rsid w:val="004921CF"/>
    <w:rsid w:val="004930F0"/>
    <w:rsid w:val="00493B23"/>
    <w:rsid w:val="004952D8"/>
    <w:rsid w:val="0049717D"/>
    <w:rsid w:val="004A03BF"/>
    <w:rsid w:val="004A0BA8"/>
    <w:rsid w:val="004A0D9C"/>
    <w:rsid w:val="004A1C31"/>
    <w:rsid w:val="004A2698"/>
    <w:rsid w:val="004A3658"/>
    <w:rsid w:val="004A489D"/>
    <w:rsid w:val="004A4A2E"/>
    <w:rsid w:val="004A4CD0"/>
    <w:rsid w:val="004A4ED1"/>
    <w:rsid w:val="004A52E3"/>
    <w:rsid w:val="004A73A8"/>
    <w:rsid w:val="004A75D5"/>
    <w:rsid w:val="004A771F"/>
    <w:rsid w:val="004A78AE"/>
    <w:rsid w:val="004B004E"/>
    <w:rsid w:val="004B0589"/>
    <w:rsid w:val="004B0B74"/>
    <w:rsid w:val="004B1783"/>
    <w:rsid w:val="004B65AE"/>
    <w:rsid w:val="004B725D"/>
    <w:rsid w:val="004B7661"/>
    <w:rsid w:val="004C1836"/>
    <w:rsid w:val="004C1C5C"/>
    <w:rsid w:val="004C22E6"/>
    <w:rsid w:val="004C2834"/>
    <w:rsid w:val="004C2BF6"/>
    <w:rsid w:val="004C2FAC"/>
    <w:rsid w:val="004C38CB"/>
    <w:rsid w:val="004C3CC9"/>
    <w:rsid w:val="004C471F"/>
    <w:rsid w:val="004C5D4B"/>
    <w:rsid w:val="004C5F41"/>
    <w:rsid w:val="004C668D"/>
    <w:rsid w:val="004C6A94"/>
    <w:rsid w:val="004C6D04"/>
    <w:rsid w:val="004D090A"/>
    <w:rsid w:val="004D1BD9"/>
    <w:rsid w:val="004D282D"/>
    <w:rsid w:val="004D31C6"/>
    <w:rsid w:val="004D3257"/>
    <w:rsid w:val="004D4293"/>
    <w:rsid w:val="004D4391"/>
    <w:rsid w:val="004D4BFF"/>
    <w:rsid w:val="004D5ABB"/>
    <w:rsid w:val="004D6DB8"/>
    <w:rsid w:val="004D7221"/>
    <w:rsid w:val="004E29AB"/>
    <w:rsid w:val="004E2D29"/>
    <w:rsid w:val="004E3010"/>
    <w:rsid w:val="004E3F83"/>
    <w:rsid w:val="004E47EE"/>
    <w:rsid w:val="004E4A53"/>
    <w:rsid w:val="004E4DFF"/>
    <w:rsid w:val="004E5278"/>
    <w:rsid w:val="004E74F4"/>
    <w:rsid w:val="004F0129"/>
    <w:rsid w:val="004F257F"/>
    <w:rsid w:val="004F2E21"/>
    <w:rsid w:val="004F35CD"/>
    <w:rsid w:val="004F7F41"/>
    <w:rsid w:val="00500AEB"/>
    <w:rsid w:val="00500F94"/>
    <w:rsid w:val="00501639"/>
    <w:rsid w:val="00501EFF"/>
    <w:rsid w:val="0050277D"/>
    <w:rsid w:val="005029D8"/>
    <w:rsid w:val="005035EB"/>
    <w:rsid w:val="00504073"/>
    <w:rsid w:val="0050689B"/>
    <w:rsid w:val="005068AA"/>
    <w:rsid w:val="00506EDB"/>
    <w:rsid w:val="00507A26"/>
    <w:rsid w:val="00507BE8"/>
    <w:rsid w:val="00511093"/>
    <w:rsid w:val="00512A8E"/>
    <w:rsid w:val="00513A38"/>
    <w:rsid w:val="00520422"/>
    <w:rsid w:val="0052085F"/>
    <w:rsid w:val="0052404D"/>
    <w:rsid w:val="0052693B"/>
    <w:rsid w:val="00530284"/>
    <w:rsid w:val="005321B0"/>
    <w:rsid w:val="0053418A"/>
    <w:rsid w:val="005349D6"/>
    <w:rsid w:val="00536BC1"/>
    <w:rsid w:val="00536F0E"/>
    <w:rsid w:val="00537156"/>
    <w:rsid w:val="00537F36"/>
    <w:rsid w:val="00541205"/>
    <w:rsid w:val="00541E19"/>
    <w:rsid w:val="00541E23"/>
    <w:rsid w:val="005433DE"/>
    <w:rsid w:val="0054420E"/>
    <w:rsid w:val="00545E80"/>
    <w:rsid w:val="005472E5"/>
    <w:rsid w:val="0055057E"/>
    <w:rsid w:val="00550B0C"/>
    <w:rsid w:val="0055113D"/>
    <w:rsid w:val="005551F3"/>
    <w:rsid w:val="00556A65"/>
    <w:rsid w:val="005605D0"/>
    <w:rsid w:val="0056100A"/>
    <w:rsid w:val="00561C0E"/>
    <w:rsid w:val="0056494C"/>
    <w:rsid w:val="0056503E"/>
    <w:rsid w:val="00565684"/>
    <w:rsid w:val="005662EA"/>
    <w:rsid w:val="00567B5A"/>
    <w:rsid w:val="00567C18"/>
    <w:rsid w:val="0057009B"/>
    <w:rsid w:val="005735B3"/>
    <w:rsid w:val="005755CC"/>
    <w:rsid w:val="0057742D"/>
    <w:rsid w:val="005801F0"/>
    <w:rsid w:val="0058115F"/>
    <w:rsid w:val="00581200"/>
    <w:rsid w:val="005826CC"/>
    <w:rsid w:val="005839B9"/>
    <w:rsid w:val="00586DF8"/>
    <w:rsid w:val="00587885"/>
    <w:rsid w:val="00591262"/>
    <w:rsid w:val="00591AB8"/>
    <w:rsid w:val="00593286"/>
    <w:rsid w:val="005936A2"/>
    <w:rsid w:val="00595C78"/>
    <w:rsid w:val="00597954"/>
    <w:rsid w:val="005A0DB8"/>
    <w:rsid w:val="005A166B"/>
    <w:rsid w:val="005A192E"/>
    <w:rsid w:val="005A45B8"/>
    <w:rsid w:val="005A46AD"/>
    <w:rsid w:val="005B10C2"/>
    <w:rsid w:val="005B15A7"/>
    <w:rsid w:val="005B3509"/>
    <w:rsid w:val="005B430B"/>
    <w:rsid w:val="005B43B7"/>
    <w:rsid w:val="005B5D4F"/>
    <w:rsid w:val="005B6716"/>
    <w:rsid w:val="005B6C80"/>
    <w:rsid w:val="005B6FD2"/>
    <w:rsid w:val="005B71FC"/>
    <w:rsid w:val="005C08BF"/>
    <w:rsid w:val="005C2303"/>
    <w:rsid w:val="005C2C2E"/>
    <w:rsid w:val="005C4CC6"/>
    <w:rsid w:val="005C4CEE"/>
    <w:rsid w:val="005C4F38"/>
    <w:rsid w:val="005C5196"/>
    <w:rsid w:val="005C59B3"/>
    <w:rsid w:val="005C6A87"/>
    <w:rsid w:val="005C791D"/>
    <w:rsid w:val="005D14B4"/>
    <w:rsid w:val="005D1EBB"/>
    <w:rsid w:val="005D34D9"/>
    <w:rsid w:val="005D43FD"/>
    <w:rsid w:val="005D48CF"/>
    <w:rsid w:val="005D65E6"/>
    <w:rsid w:val="005D6736"/>
    <w:rsid w:val="005E1341"/>
    <w:rsid w:val="005E6E6B"/>
    <w:rsid w:val="005E7784"/>
    <w:rsid w:val="005F1224"/>
    <w:rsid w:val="005F19CB"/>
    <w:rsid w:val="005F5348"/>
    <w:rsid w:val="005F5E77"/>
    <w:rsid w:val="005F74E7"/>
    <w:rsid w:val="0060075F"/>
    <w:rsid w:val="006011C8"/>
    <w:rsid w:val="006024FD"/>
    <w:rsid w:val="0060283A"/>
    <w:rsid w:val="0060310C"/>
    <w:rsid w:val="00604D5A"/>
    <w:rsid w:val="00605FAC"/>
    <w:rsid w:val="00611225"/>
    <w:rsid w:val="00611389"/>
    <w:rsid w:val="006134A3"/>
    <w:rsid w:val="006150DB"/>
    <w:rsid w:val="00615964"/>
    <w:rsid w:val="00615CAF"/>
    <w:rsid w:val="006200AB"/>
    <w:rsid w:val="00620450"/>
    <w:rsid w:val="00620753"/>
    <w:rsid w:val="00620911"/>
    <w:rsid w:val="00620C61"/>
    <w:rsid w:val="00623B56"/>
    <w:rsid w:val="00626A66"/>
    <w:rsid w:val="00627F57"/>
    <w:rsid w:val="00635DD4"/>
    <w:rsid w:val="00636481"/>
    <w:rsid w:val="00637201"/>
    <w:rsid w:val="00640F85"/>
    <w:rsid w:val="006410AC"/>
    <w:rsid w:val="0064168B"/>
    <w:rsid w:val="00642982"/>
    <w:rsid w:val="00643DCD"/>
    <w:rsid w:val="00644209"/>
    <w:rsid w:val="00647525"/>
    <w:rsid w:val="006479FE"/>
    <w:rsid w:val="00650C7F"/>
    <w:rsid w:val="00651491"/>
    <w:rsid w:val="00651BB4"/>
    <w:rsid w:val="00654E17"/>
    <w:rsid w:val="00656634"/>
    <w:rsid w:val="00660AD6"/>
    <w:rsid w:val="0066216C"/>
    <w:rsid w:val="00662552"/>
    <w:rsid w:val="00665E34"/>
    <w:rsid w:val="006675EA"/>
    <w:rsid w:val="006710B0"/>
    <w:rsid w:val="00671E1E"/>
    <w:rsid w:val="006722A0"/>
    <w:rsid w:val="006724B9"/>
    <w:rsid w:val="00672587"/>
    <w:rsid w:val="00672C3B"/>
    <w:rsid w:val="00673CE2"/>
    <w:rsid w:val="00674EFA"/>
    <w:rsid w:val="0067512C"/>
    <w:rsid w:val="00677AB5"/>
    <w:rsid w:val="00677D6F"/>
    <w:rsid w:val="006812E2"/>
    <w:rsid w:val="00681A96"/>
    <w:rsid w:val="006854A7"/>
    <w:rsid w:val="00685DA5"/>
    <w:rsid w:val="0068673B"/>
    <w:rsid w:val="00694EC1"/>
    <w:rsid w:val="0069522C"/>
    <w:rsid w:val="006956E5"/>
    <w:rsid w:val="0069644B"/>
    <w:rsid w:val="006976AD"/>
    <w:rsid w:val="00697E3B"/>
    <w:rsid w:val="006A108F"/>
    <w:rsid w:val="006A2254"/>
    <w:rsid w:val="006A3CEB"/>
    <w:rsid w:val="006A6116"/>
    <w:rsid w:val="006A63C3"/>
    <w:rsid w:val="006A7E4F"/>
    <w:rsid w:val="006B04A7"/>
    <w:rsid w:val="006B1B44"/>
    <w:rsid w:val="006B1C63"/>
    <w:rsid w:val="006B359C"/>
    <w:rsid w:val="006B369F"/>
    <w:rsid w:val="006B4DC6"/>
    <w:rsid w:val="006B4E8D"/>
    <w:rsid w:val="006B58E5"/>
    <w:rsid w:val="006B5DE9"/>
    <w:rsid w:val="006B6806"/>
    <w:rsid w:val="006B72C2"/>
    <w:rsid w:val="006B75F8"/>
    <w:rsid w:val="006B7C3F"/>
    <w:rsid w:val="006C1123"/>
    <w:rsid w:val="006C2DBE"/>
    <w:rsid w:val="006C5286"/>
    <w:rsid w:val="006C5C46"/>
    <w:rsid w:val="006C5F03"/>
    <w:rsid w:val="006C643D"/>
    <w:rsid w:val="006C6BFE"/>
    <w:rsid w:val="006C6D39"/>
    <w:rsid w:val="006C71F2"/>
    <w:rsid w:val="006C7DF4"/>
    <w:rsid w:val="006C7F18"/>
    <w:rsid w:val="006D02C0"/>
    <w:rsid w:val="006D04D8"/>
    <w:rsid w:val="006D184F"/>
    <w:rsid w:val="006D263B"/>
    <w:rsid w:val="006D2D7B"/>
    <w:rsid w:val="006D3595"/>
    <w:rsid w:val="006D4F77"/>
    <w:rsid w:val="006D6793"/>
    <w:rsid w:val="006D798A"/>
    <w:rsid w:val="006E041E"/>
    <w:rsid w:val="006E1A8B"/>
    <w:rsid w:val="006E4DB1"/>
    <w:rsid w:val="006E5BEA"/>
    <w:rsid w:val="006E640B"/>
    <w:rsid w:val="006F0EB7"/>
    <w:rsid w:val="006F1587"/>
    <w:rsid w:val="006F16B0"/>
    <w:rsid w:val="006F416C"/>
    <w:rsid w:val="006F6671"/>
    <w:rsid w:val="007001CE"/>
    <w:rsid w:val="00700581"/>
    <w:rsid w:val="00700F72"/>
    <w:rsid w:val="007013DE"/>
    <w:rsid w:val="00701830"/>
    <w:rsid w:val="00702F63"/>
    <w:rsid w:val="00704157"/>
    <w:rsid w:val="00710300"/>
    <w:rsid w:val="00710812"/>
    <w:rsid w:val="00711E9D"/>
    <w:rsid w:val="007130CE"/>
    <w:rsid w:val="00713548"/>
    <w:rsid w:val="00713B1C"/>
    <w:rsid w:val="00714DB9"/>
    <w:rsid w:val="00714DC9"/>
    <w:rsid w:val="007155D6"/>
    <w:rsid w:val="00715852"/>
    <w:rsid w:val="0071700B"/>
    <w:rsid w:val="00717BD5"/>
    <w:rsid w:val="00720CC1"/>
    <w:rsid w:val="00720FED"/>
    <w:rsid w:val="007231E7"/>
    <w:rsid w:val="007249D7"/>
    <w:rsid w:val="007252DA"/>
    <w:rsid w:val="007304F0"/>
    <w:rsid w:val="00730C1C"/>
    <w:rsid w:val="00732798"/>
    <w:rsid w:val="007358D5"/>
    <w:rsid w:val="00735B65"/>
    <w:rsid w:val="00737264"/>
    <w:rsid w:val="007406C2"/>
    <w:rsid w:val="007407AE"/>
    <w:rsid w:val="00740CE1"/>
    <w:rsid w:val="0074126C"/>
    <w:rsid w:val="00741B47"/>
    <w:rsid w:val="00744228"/>
    <w:rsid w:val="007449E6"/>
    <w:rsid w:val="00745DE7"/>
    <w:rsid w:val="00746C0D"/>
    <w:rsid w:val="00750182"/>
    <w:rsid w:val="00750326"/>
    <w:rsid w:val="00751D9E"/>
    <w:rsid w:val="0075278E"/>
    <w:rsid w:val="00754F5F"/>
    <w:rsid w:val="00757401"/>
    <w:rsid w:val="00757673"/>
    <w:rsid w:val="007576FA"/>
    <w:rsid w:val="00757C71"/>
    <w:rsid w:val="00760281"/>
    <w:rsid w:val="007621E7"/>
    <w:rsid w:val="007624C1"/>
    <w:rsid w:val="00763D77"/>
    <w:rsid w:val="00763EDE"/>
    <w:rsid w:val="00764F01"/>
    <w:rsid w:val="00765C4D"/>
    <w:rsid w:val="007663E0"/>
    <w:rsid w:val="00766408"/>
    <w:rsid w:val="00766442"/>
    <w:rsid w:val="00766503"/>
    <w:rsid w:val="00766C1F"/>
    <w:rsid w:val="00766D6F"/>
    <w:rsid w:val="00771BA3"/>
    <w:rsid w:val="00773904"/>
    <w:rsid w:val="00773A5B"/>
    <w:rsid w:val="00773C4B"/>
    <w:rsid w:val="00773D16"/>
    <w:rsid w:val="007740A8"/>
    <w:rsid w:val="00775C8A"/>
    <w:rsid w:val="00775F73"/>
    <w:rsid w:val="007776E8"/>
    <w:rsid w:val="007815C4"/>
    <w:rsid w:val="00782F12"/>
    <w:rsid w:val="00782FC7"/>
    <w:rsid w:val="00783798"/>
    <w:rsid w:val="00783FBE"/>
    <w:rsid w:val="0078628B"/>
    <w:rsid w:val="0078784C"/>
    <w:rsid w:val="007958BF"/>
    <w:rsid w:val="007A0D98"/>
    <w:rsid w:val="007A1E8F"/>
    <w:rsid w:val="007A3083"/>
    <w:rsid w:val="007A3476"/>
    <w:rsid w:val="007A4F6D"/>
    <w:rsid w:val="007A6D99"/>
    <w:rsid w:val="007A7161"/>
    <w:rsid w:val="007A7E01"/>
    <w:rsid w:val="007B05F5"/>
    <w:rsid w:val="007B0926"/>
    <w:rsid w:val="007B0BC5"/>
    <w:rsid w:val="007B27BA"/>
    <w:rsid w:val="007B4DC0"/>
    <w:rsid w:val="007B63A5"/>
    <w:rsid w:val="007B6A97"/>
    <w:rsid w:val="007B715E"/>
    <w:rsid w:val="007C0B42"/>
    <w:rsid w:val="007C2805"/>
    <w:rsid w:val="007C3D60"/>
    <w:rsid w:val="007C5712"/>
    <w:rsid w:val="007C672F"/>
    <w:rsid w:val="007D0337"/>
    <w:rsid w:val="007D0701"/>
    <w:rsid w:val="007D2ED9"/>
    <w:rsid w:val="007D45C6"/>
    <w:rsid w:val="007E09FD"/>
    <w:rsid w:val="007E1FB0"/>
    <w:rsid w:val="007E203C"/>
    <w:rsid w:val="007E2BFD"/>
    <w:rsid w:val="007E2CB8"/>
    <w:rsid w:val="007E3A49"/>
    <w:rsid w:val="007E3E01"/>
    <w:rsid w:val="007E511B"/>
    <w:rsid w:val="007E52D5"/>
    <w:rsid w:val="007E6725"/>
    <w:rsid w:val="007E7187"/>
    <w:rsid w:val="007E773A"/>
    <w:rsid w:val="007F004E"/>
    <w:rsid w:val="007F00BA"/>
    <w:rsid w:val="007F202F"/>
    <w:rsid w:val="007F20D9"/>
    <w:rsid w:val="007F46F6"/>
    <w:rsid w:val="007F62AC"/>
    <w:rsid w:val="007F664A"/>
    <w:rsid w:val="007F6696"/>
    <w:rsid w:val="007F66E6"/>
    <w:rsid w:val="007F68CC"/>
    <w:rsid w:val="007F7E24"/>
    <w:rsid w:val="008014CD"/>
    <w:rsid w:val="00802127"/>
    <w:rsid w:val="00804822"/>
    <w:rsid w:val="0080709E"/>
    <w:rsid w:val="00810A9D"/>
    <w:rsid w:val="0081274D"/>
    <w:rsid w:val="00813005"/>
    <w:rsid w:val="00813138"/>
    <w:rsid w:val="00813D2E"/>
    <w:rsid w:val="00813FEF"/>
    <w:rsid w:val="00816397"/>
    <w:rsid w:val="00816B16"/>
    <w:rsid w:val="00817ACD"/>
    <w:rsid w:val="00820E12"/>
    <w:rsid w:val="00822C2F"/>
    <w:rsid w:val="00823310"/>
    <w:rsid w:val="008249B7"/>
    <w:rsid w:val="00826879"/>
    <w:rsid w:val="008272FD"/>
    <w:rsid w:val="0082795B"/>
    <w:rsid w:val="00827A4E"/>
    <w:rsid w:val="00832891"/>
    <w:rsid w:val="008339A8"/>
    <w:rsid w:val="00836959"/>
    <w:rsid w:val="00840780"/>
    <w:rsid w:val="008415CB"/>
    <w:rsid w:val="008438E7"/>
    <w:rsid w:val="0084663E"/>
    <w:rsid w:val="008466D5"/>
    <w:rsid w:val="00847D4E"/>
    <w:rsid w:val="00851D03"/>
    <w:rsid w:val="008520B2"/>
    <w:rsid w:val="008536CE"/>
    <w:rsid w:val="00854A3E"/>
    <w:rsid w:val="00854C3B"/>
    <w:rsid w:val="00855988"/>
    <w:rsid w:val="00856D80"/>
    <w:rsid w:val="00857C5F"/>
    <w:rsid w:val="00860867"/>
    <w:rsid w:val="00860C40"/>
    <w:rsid w:val="00862A5B"/>
    <w:rsid w:val="00862D4C"/>
    <w:rsid w:val="00863DFC"/>
    <w:rsid w:val="0086441B"/>
    <w:rsid w:val="00865C7C"/>
    <w:rsid w:val="0087000D"/>
    <w:rsid w:val="00870558"/>
    <w:rsid w:val="0087072D"/>
    <w:rsid w:val="00870D70"/>
    <w:rsid w:val="00873E64"/>
    <w:rsid w:val="00874AFE"/>
    <w:rsid w:val="00875FFC"/>
    <w:rsid w:val="008773A8"/>
    <w:rsid w:val="00880139"/>
    <w:rsid w:val="008805F7"/>
    <w:rsid w:val="00880861"/>
    <w:rsid w:val="0088290A"/>
    <w:rsid w:val="00884733"/>
    <w:rsid w:val="00886901"/>
    <w:rsid w:val="00886B7B"/>
    <w:rsid w:val="0089069D"/>
    <w:rsid w:val="00890A1A"/>
    <w:rsid w:val="008935DC"/>
    <w:rsid w:val="00896252"/>
    <w:rsid w:val="008963D0"/>
    <w:rsid w:val="0089651C"/>
    <w:rsid w:val="00896608"/>
    <w:rsid w:val="008A363D"/>
    <w:rsid w:val="008A40FE"/>
    <w:rsid w:val="008A4114"/>
    <w:rsid w:val="008A6096"/>
    <w:rsid w:val="008A75A2"/>
    <w:rsid w:val="008B22D1"/>
    <w:rsid w:val="008C0905"/>
    <w:rsid w:val="008C0914"/>
    <w:rsid w:val="008C196E"/>
    <w:rsid w:val="008C2008"/>
    <w:rsid w:val="008C26A3"/>
    <w:rsid w:val="008C3A6C"/>
    <w:rsid w:val="008C3DFC"/>
    <w:rsid w:val="008C4A56"/>
    <w:rsid w:val="008C5E9E"/>
    <w:rsid w:val="008C6A19"/>
    <w:rsid w:val="008C6C4F"/>
    <w:rsid w:val="008D05CC"/>
    <w:rsid w:val="008D08F7"/>
    <w:rsid w:val="008D0D68"/>
    <w:rsid w:val="008D101F"/>
    <w:rsid w:val="008D306F"/>
    <w:rsid w:val="008D3292"/>
    <w:rsid w:val="008D3912"/>
    <w:rsid w:val="008D50A1"/>
    <w:rsid w:val="008D52E0"/>
    <w:rsid w:val="008E07EE"/>
    <w:rsid w:val="008E1877"/>
    <w:rsid w:val="008E4C32"/>
    <w:rsid w:val="008F195C"/>
    <w:rsid w:val="008F3789"/>
    <w:rsid w:val="008F525A"/>
    <w:rsid w:val="008F5663"/>
    <w:rsid w:val="008F6D3F"/>
    <w:rsid w:val="008F71A1"/>
    <w:rsid w:val="008F73A8"/>
    <w:rsid w:val="008F7FE1"/>
    <w:rsid w:val="00900227"/>
    <w:rsid w:val="00900B9E"/>
    <w:rsid w:val="00900EDC"/>
    <w:rsid w:val="00901094"/>
    <w:rsid w:val="00901A45"/>
    <w:rsid w:val="00902AF3"/>
    <w:rsid w:val="00903DDC"/>
    <w:rsid w:val="00907231"/>
    <w:rsid w:val="00907800"/>
    <w:rsid w:val="00910991"/>
    <w:rsid w:val="00912866"/>
    <w:rsid w:val="00915FA4"/>
    <w:rsid w:val="0091755C"/>
    <w:rsid w:val="009179FB"/>
    <w:rsid w:val="009203FD"/>
    <w:rsid w:val="0092153A"/>
    <w:rsid w:val="00921B41"/>
    <w:rsid w:val="0092483C"/>
    <w:rsid w:val="00925134"/>
    <w:rsid w:val="009264DF"/>
    <w:rsid w:val="009317ED"/>
    <w:rsid w:val="0093355D"/>
    <w:rsid w:val="00934F0B"/>
    <w:rsid w:val="00935751"/>
    <w:rsid w:val="00935D92"/>
    <w:rsid w:val="009361EB"/>
    <w:rsid w:val="00936CF3"/>
    <w:rsid w:val="009374B5"/>
    <w:rsid w:val="0094010D"/>
    <w:rsid w:val="00941003"/>
    <w:rsid w:val="009418B3"/>
    <w:rsid w:val="009422AB"/>
    <w:rsid w:val="009425B3"/>
    <w:rsid w:val="00943050"/>
    <w:rsid w:val="009435FE"/>
    <w:rsid w:val="009457EC"/>
    <w:rsid w:val="00945BF2"/>
    <w:rsid w:val="00945D9A"/>
    <w:rsid w:val="0094711E"/>
    <w:rsid w:val="0094724E"/>
    <w:rsid w:val="00950625"/>
    <w:rsid w:val="0095126A"/>
    <w:rsid w:val="00952951"/>
    <w:rsid w:val="009530EA"/>
    <w:rsid w:val="00953A07"/>
    <w:rsid w:val="00954442"/>
    <w:rsid w:val="00954A2C"/>
    <w:rsid w:val="00955B6D"/>
    <w:rsid w:val="0095683C"/>
    <w:rsid w:val="009570F0"/>
    <w:rsid w:val="00957398"/>
    <w:rsid w:val="009602A4"/>
    <w:rsid w:val="0096219B"/>
    <w:rsid w:val="00963289"/>
    <w:rsid w:val="00963607"/>
    <w:rsid w:val="00963B2F"/>
    <w:rsid w:val="00964D6A"/>
    <w:rsid w:val="009658DA"/>
    <w:rsid w:val="00965B58"/>
    <w:rsid w:val="0096675F"/>
    <w:rsid w:val="00966884"/>
    <w:rsid w:val="0097145D"/>
    <w:rsid w:val="00971D8C"/>
    <w:rsid w:val="00972425"/>
    <w:rsid w:val="00973153"/>
    <w:rsid w:val="009733F5"/>
    <w:rsid w:val="00973661"/>
    <w:rsid w:val="00973E9E"/>
    <w:rsid w:val="0097560B"/>
    <w:rsid w:val="009767DE"/>
    <w:rsid w:val="00976BB3"/>
    <w:rsid w:val="00980194"/>
    <w:rsid w:val="00982B9B"/>
    <w:rsid w:val="00982EBE"/>
    <w:rsid w:val="0098401D"/>
    <w:rsid w:val="009849E5"/>
    <w:rsid w:val="00984BCF"/>
    <w:rsid w:val="00985D3C"/>
    <w:rsid w:val="009866F9"/>
    <w:rsid w:val="0098683C"/>
    <w:rsid w:val="0098753E"/>
    <w:rsid w:val="009923A9"/>
    <w:rsid w:val="00996071"/>
    <w:rsid w:val="00996147"/>
    <w:rsid w:val="009964CD"/>
    <w:rsid w:val="00996D6A"/>
    <w:rsid w:val="00997637"/>
    <w:rsid w:val="009A0883"/>
    <w:rsid w:val="009A27D2"/>
    <w:rsid w:val="009A400F"/>
    <w:rsid w:val="009A4178"/>
    <w:rsid w:val="009A53C8"/>
    <w:rsid w:val="009A6414"/>
    <w:rsid w:val="009B008D"/>
    <w:rsid w:val="009B3D65"/>
    <w:rsid w:val="009B40AE"/>
    <w:rsid w:val="009B426B"/>
    <w:rsid w:val="009B5513"/>
    <w:rsid w:val="009B626F"/>
    <w:rsid w:val="009B7251"/>
    <w:rsid w:val="009C0ABF"/>
    <w:rsid w:val="009C1BD9"/>
    <w:rsid w:val="009C3985"/>
    <w:rsid w:val="009C43E7"/>
    <w:rsid w:val="009C4552"/>
    <w:rsid w:val="009C59F6"/>
    <w:rsid w:val="009C67E0"/>
    <w:rsid w:val="009C75DF"/>
    <w:rsid w:val="009D14CA"/>
    <w:rsid w:val="009D5757"/>
    <w:rsid w:val="009D696C"/>
    <w:rsid w:val="009D7DB0"/>
    <w:rsid w:val="009E034A"/>
    <w:rsid w:val="009E1D78"/>
    <w:rsid w:val="009E20AB"/>
    <w:rsid w:val="009E295D"/>
    <w:rsid w:val="009E39B7"/>
    <w:rsid w:val="009E4E4B"/>
    <w:rsid w:val="009E51DA"/>
    <w:rsid w:val="009E5B17"/>
    <w:rsid w:val="009E78B5"/>
    <w:rsid w:val="009E7925"/>
    <w:rsid w:val="009E798E"/>
    <w:rsid w:val="009F1127"/>
    <w:rsid w:val="009F1205"/>
    <w:rsid w:val="009F29E8"/>
    <w:rsid w:val="009F45B6"/>
    <w:rsid w:val="009F4D3D"/>
    <w:rsid w:val="009F6FBF"/>
    <w:rsid w:val="009F70DC"/>
    <w:rsid w:val="00A001C3"/>
    <w:rsid w:val="00A00234"/>
    <w:rsid w:val="00A02C15"/>
    <w:rsid w:val="00A02F72"/>
    <w:rsid w:val="00A02FFD"/>
    <w:rsid w:val="00A0349A"/>
    <w:rsid w:val="00A04427"/>
    <w:rsid w:val="00A04B91"/>
    <w:rsid w:val="00A04D83"/>
    <w:rsid w:val="00A054B0"/>
    <w:rsid w:val="00A05768"/>
    <w:rsid w:val="00A069E1"/>
    <w:rsid w:val="00A1019C"/>
    <w:rsid w:val="00A11648"/>
    <w:rsid w:val="00A16E75"/>
    <w:rsid w:val="00A16F57"/>
    <w:rsid w:val="00A17F32"/>
    <w:rsid w:val="00A2029A"/>
    <w:rsid w:val="00A20A7F"/>
    <w:rsid w:val="00A23501"/>
    <w:rsid w:val="00A24878"/>
    <w:rsid w:val="00A25ED4"/>
    <w:rsid w:val="00A26E89"/>
    <w:rsid w:val="00A30DC0"/>
    <w:rsid w:val="00A31CCF"/>
    <w:rsid w:val="00A3248A"/>
    <w:rsid w:val="00A329B1"/>
    <w:rsid w:val="00A32D0C"/>
    <w:rsid w:val="00A33868"/>
    <w:rsid w:val="00A3587B"/>
    <w:rsid w:val="00A40081"/>
    <w:rsid w:val="00A41956"/>
    <w:rsid w:val="00A41A94"/>
    <w:rsid w:val="00A42756"/>
    <w:rsid w:val="00A43EB2"/>
    <w:rsid w:val="00A43EB3"/>
    <w:rsid w:val="00A44B84"/>
    <w:rsid w:val="00A44DD4"/>
    <w:rsid w:val="00A47DD9"/>
    <w:rsid w:val="00A502EB"/>
    <w:rsid w:val="00A50FB9"/>
    <w:rsid w:val="00A51507"/>
    <w:rsid w:val="00A51F4E"/>
    <w:rsid w:val="00A53893"/>
    <w:rsid w:val="00A5397B"/>
    <w:rsid w:val="00A54DA6"/>
    <w:rsid w:val="00A5708E"/>
    <w:rsid w:val="00A57D58"/>
    <w:rsid w:val="00A6116D"/>
    <w:rsid w:val="00A63907"/>
    <w:rsid w:val="00A65F2C"/>
    <w:rsid w:val="00A71914"/>
    <w:rsid w:val="00A71DC3"/>
    <w:rsid w:val="00A72188"/>
    <w:rsid w:val="00A734EF"/>
    <w:rsid w:val="00A736A8"/>
    <w:rsid w:val="00A737D3"/>
    <w:rsid w:val="00A73873"/>
    <w:rsid w:val="00A8041F"/>
    <w:rsid w:val="00A8062A"/>
    <w:rsid w:val="00A807A5"/>
    <w:rsid w:val="00A815B7"/>
    <w:rsid w:val="00A82090"/>
    <w:rsid w:val="00A842F8"/>
    <w:rsid w:val="00A8458D"/>
    <w:rsid w:val="00A857BA"/>
    <w:rsid w:val="00A86E55"/>
    <w:rsid w:val="00A87B0A"/>
    <w:rsid w:val="00A93198"/>
    <w:rsid w:val="00A93648"/>
    <w:rsid w:val="00A945DA"/>
    <w:rsid w:val="00A948FE"/>
    <w:rsid w:val="00A96436"/>
    <w:rsid w:val="00A9668D"/>
    <w:rsid w:val="00A97137"/>
    <w:rsid w:val="00AA0519"/>
    <w:rsid w:val="00AA1BF0"/>
    <w:rsid w:val="00AA3059"/>
    <w:rsid w:val="00AA4441"/>
    <w:rsid w:val="00AA488C"/>
    <w:rsid w:val="00AA5045"/>
    <w:rsid w:val="00AA71A9"/>
    <w:rsid w:val="00AA73FE"/>
    <w:rsid w:val="00AA7BA1"/>
    <w:rsid w:val="00AA7D8F"/>
    <w:rsid w:val="00AB14AF"/>
    <w:rsid w:val="00AB1A5E"/>
    <w:rsid w:val="00AB2A0C"/>
    <w:rsid w:val="00AB3E40"/>
    <w:rsid w:val="00AB617F"/>
    <w:rsid w:val="00AB6F4F"/>
    <w:rsid w:val="00AC1CE7"/>
    <w:rsid w:val="00AC390C"/>
    <w:rsid w:val="00AC51F3"/>
    <w:rsid w:val="00AC532F"/>
    <w:rsid w:val="00AC710B"/>
    <w:rsid w:val="00AC768E"/>
    <w:rsid w:val="00AC7B67"/>
    <w:rsid w:val="00AD0B89"/>
    <w:rsid w:val="00AD324D"/>
    <w:rsid w:val="00AD3861"/>
    <w:rsid w:val="00AD47D4"/>
    <w:rsid w:val="00AD62D8"/>
    <w:rsid w:val="00AD6C3E"/>
    <w:rsid w:val="00AD78DA"/>
    <w:rsid w:val="00AE1546"/>
    <w:rsid w:val="00AE33D9"/>
    <w:rsid w:val="00AE5AA2"/>
    <w:rsid w:val="00AE5B2D"/>
    <w:rsid w:val="00AE63C2"/>
    <w:rsid w:val="00AE6E35"/>
    <w:rsid w:val="00AE7A63"/>
    <w:rsid w:val="00AF267E"/>
    <w:rsid w:val="00AF63C3"/>
    <w:rsid w:val="00AF73F4"/>
    <w:rsid w:val="00AF7CE1"/>
    <w:rsid w:val="00B00E7C"/>
    <w:rsid w:val="00B011E3"/>
    <w:rsid w:val="00B02B5C"/>
    <w:rsid w:val="00B0301F"/>
    <w:rsid w:val="00B0351C"/>
    <w:rsid w:val="00B0380E"/>
    <w:rsid w:val="00B03934"/>
    <w:rsid w:val="00B03D40"/>
    <w:rsid w:val="00B048B1"/>
    <w:rsid w:val="00B065A8"/>
    <w:rsid w:val="00B070C6"/>
    <w:rsid w:val="00B074AC"/>
    <w:rsid w:val="00B1078E"/>
    <w:rsid w:val="00B11686"/>
    <w:rsid w:val="00B11DAC"/>
    <w:rsid w:val="00B12C6B"/>
    <w:rsid w:val="00B13276"/>
    <w:rsid w:val="00B139D9"/>
    <w:rsid w:val="00B14EAD"/>
    <w:rsid w:val="00B224C7"/>
    <w:rsid w:val="00B22DD8"/>
    <w:rsid w:val="00B25C5F"/>
    <w:rsid w:val="00B26826"/>
    <w:rsid w:val="00B27B00"/>
    <w:rsid w:val="00B31D15"/>
    <w:rsid w:val="00B31D8E"/>
    <w:rsid w:val="00B32E81"/>
    <w:rsid w:val="00B335FE"/>
    <w:rsid w:val="00B34146"/>
    <w:rsid w:val="00B351C5"/>
    <w:rsid w:val="00B35488"/>
    <w:rsid w:val="00B35C2C"/>
    <w:rsid w:val="00B437D7"/>
    <w:rsid w:val="00B43C10"/>
    <w:rsid w:val="00B46744"/>
    <w:rsid w:val="00B477DB"/>
    <w:rsid w:val="00B478BF"/>
    <w:rsid w:val="00B50307"/>
    <w:rsid w:val="00B5050B"/>
    <w:rsid w:val="00B508F9"/>
    <w:rsid w:val="00B50EBF"/>
    <w:rsid w:val="00B53ED3"/>
    <w:rsid w:val="00B541B8"/>
    <w:rsid w:val="00B54891"/>
    <w:rsid w:val="00B54E3D"/>
    <w:rsid w:val="00B55214"/>
    <w:rsid w:val="00B55FAF"/>
    <w:rsid w:val="00B606D5"/>
    <w:rsid w:val="00B60E73"/>
    <w:rsid w:val="00B61293"/>
    <w:rsid w:val="00B64AEB"/>
    <w:rsid w:val="00B64D08"/>
    <w:rsid w:val="00B66925"/>
    <w:rsid w:val="00B6799A"/>
    <w:rsid w:val="00B70A39"/>
    <w:rsid w:val="00B70AB2"/>
    <w:rsid w:val="00B726F8"/>
    <w:rsid w:val="00B72EEE"/>
    <w:rsid w:val="00B73304"/>
    <w:rsid w:val="00B73A09"/>
    <w:rsid w:val="00B7416A"/>
    <w:rsid w:val="00B75372"/>
    <w:rsid w:val="00B76F72"/>
    <w:rsid w:val="00B80188"/>
    <w:rsid w:val="00B809B1"/>
    <w:rsid w:val="00B80D61"/>
    <w:rsid w:val="00B811BC"/>
    <w:rsid w:val="00B824F1"/>
    <w:rsid w:val="00B83477"/>
    <w:rsid w:val="00B87183"/>
    <w:rsid w:val="00B92AD4"/>
    <w:rsid w:val="00B93A9C"/>
    <w:rsid w:val="00B955A8"/>
    <w:rsid w:val="00BA1684"/>
    <w:rsid w:val="00BA5AFF"/>
    <w:rsid w:val="00BA75C6"/>
    <w:rsid w:val="00BB1819"/>
    <w:rsid w:val="00BB42DF"/>
    <w:rsid w:val="00BB4B76"/>
    <w:rsid w:val="00BB4EBA"/>
    <w:rsid w:val="00BB5DA9"/>
    <w:rsid w:val="00BC014F"/>
    <w:rsid w:val="00BC0164"/>
    <w:rsid w:val="00BC18C0"/>
    <w:rsid w:val="00BC28D4"/>
    <w:rsid w:val="00BC2A77"/>
    <w:rsid w:val="00BC5B54"/>
    <w:rsid w:val="00BC78A2"/>
    <w:rsid w:val="00BD0ECD"/>
    <w:rsid w:val="00BD142D"/>
    <w:rsid w:val="00BD505D"/>
    <w:rsid w:val="00BD599E"/>
    <w:rsid w:val="00BD61A7"/>
    <w:rsid w:val="00BD62F1"/>
    <w:rsid w:val="00BD709A"/>
    <w:rsid w:val="00BE09CA"/>
    <w:rsid w:val="00BE114C"/>
    <w:rsid w:val="00BE1B4F"/>
    <w:rsid w:val="00BE7761"/>
    <w:rsid w:val="00BF03A9"/>
    <w:rsid w:val="00BF0A09"/>
    <w:rsid w:val="00BF0F57"/>
    <w:rsid w:val="00BF14BC"/>
    <w:rsid w:val="00BF1BD2"/>
    <w:rsid w:val="00BF2106"/>
    <w:rsid w:val="00BF2208"/>
    <w:rsid w:val="00BF4F41"/>
    <w:rsid w:val="00BF693D"/>
    <w:rsid w:val="00C00948"/>
    <w:rsid w:val="00C00B45"/>
    <w:rsid w:val="00C030AC"/>
    <w:rsid w:val="00C047F9"/>
    <w:rsid w:val="00C05B73"/>
    <w:rsid w:val="00C06CDB"/>
    <w:rsid w:val="00C06D0F"/>
    <w:rsid w:val="00C070FB"/>
    <w:rsid w:val="00C07C24"/>
    <w:rsid w:val="00C13799"/>
    <w:rsid w:val="00C17C7D"/>
    <w:rsid w:val="00C2000C"/>
    <w:rsid w:val="00C23A12"/>
    <w:rsid w:val="00C2460C"/>
    <w:rsid w:val="00C2552A"/>
    <w:rsid w:val="00C2580A"/>
    <w:rsid w:val="00C2696D"/>
    <w:rsid w:val="00C270A8"/>
    <w:rsid w:val="00C27BEB"/>
    <w:rsid w:val="00C30612"/>
    <w:rsid w:val="00C308BE"/>
    <w:rsid w:val="00C31F5F"/>
    <w:rsid w:val="00C32053"/>
    <w:rsid w:val="00C32BC5"/>
    <w:rsid w:val="00C34123"/>
    <w:rsid w:val="00C362C7"/>
    <w:rsid w:val="00C40FD8"/>
    <w:rsid w:val="00C41730"/>
    <w:rsid w:val="00C41733"/>
    <w:rsid w:val="00C43D44"/>
    <w:rsid w:val="00C462C4"/>
    <w:rsid w:val="00C504B7"/>
    <w:rsid w:val="00C51E14"/>
    <w:rsid w:val="00C5208A"/>
    <w:rsid w:val="00C5376B"/>
    <w:rsid w:val="00C55A65"/>
    <w:rsid w:val="00C5621B"/>
    <w:rsid w:val="00C60C71"/>
    <w:rsid w:val="00C614EC"/>
    <w:rsid w:val="00C61B1C"/>
    <w:rsid w:val="00C632B3"/>
    <w:rsid w:val="00C63B7C"/>
    <w:rsid w:val="00C6409E"/>
    <w:rsid w:val="00C6467C"/>
    <w:rsid w:val="00C65F66"/>
    <w:rsid w:val="00C70D48"/>
    <w:rsid w:val="00C71038"/>
    <w:rsid w:val="00C77158"/>
    <w:rsid w:val="00C77DFE"/>
    <w:rsid w:val="00C80D4B"/>
    <w:rsid w:val="00C81372"/>
    <w:rsid w:val="00C8278A"/>
    <w:rsid w:val="00C84D4B"/>
    <w:rsid w:val="00C8558C"/>
    <w:rsid w:val="00C85ABE"/>
    <w:rsid w:val="00C85B3D"/>
    <w:rsid w:val="00C85D4D"/>
    <w:rsid w:val="00C86BAC"/>
    <w:rsid w:val="00C87775"/>
    <w:rsid w:val="00C87B84"/>
    <w:rsid w:val="00C90A57"/>
    <w:rsid w:val="00C91F07"/>
    <w:rsid w:val="00C92120"/>
    <w:rsid w:val="00C93D98"/>
    <w:rsid w:val="00C9403E"/>
    <w:rsid w:val="00C942FC"/>
    <w:rsid w:val="00C966DA"/>
    <w:rsid w:val="00C974EC"/>
    <w:rsid w:val="00C976B2"/>
    <w:rsid w:val="00CA04F7"/>
    <w:rsid w:val="00CA1213"/>
    <w:rsid w:val="00CA16E3"/>
    <w:rsid w:val="00CA24D8"/>
    <w:rsid w:val="00CA2E29"/>
    <w:rsid w:val="00CA3607"/>
    <w:rsid w:val="00CA3B4B"/>
    <w:rsid w:val="00CA43DA"/>
    <w:rsid w:val="00CA72F1"/>
    <w:rsid w:val="00CB2DCB"/>
    <w:rsid w:val="00CB4591"/>
    <w:rsid w:val="00CB4CAD"/>
    <w:rsid w:val="00CB6F85"/>
    <w:rsid w:val="00CC0473"/>
    <w:rsid w:val="00CC1E8D"/>
    <w:rsid w:val="00CC2D7F"/>
    <w:rsid w:val="00CC2FC5"/>
    <w:rsid w:val="00CC3970"/>
    <w:rsid w:val="00CC3ED1"/>
    <w:rsid w:val="00CC48ED"/>
    <w:rsid w:val="00CC4988"/>
    <w:rsid w:val="00CC78F1"/>
    <w:rsid w:val="00CC7DD7"/>
    <w:rsid w:val="00CD4769"/>
    <w:rsid w:val="00CD66D5"/>
    <w:rsid w:val="00CE0A40"/>
    <w:rsid w:val="00CE16D6"/>
    <w:rsid w:val="00CE1852"/>
    <w:rsid w:val="00CE2946"/>
    <w:rsid w:val="00CE29B5"/>
    <w:rsid w:val="00CE2E3B"/>
    <w:rsid w:val="00CE4329"/>
    <w:rsid w:val="00CE5FDE"/>
    <w:rsid w:val="00CE732E"/>
    <w:rsid w:val="00CF0CC6"/>
    <w:rsid w:val="00CF1014"/>
    <w:rsid w:val="00CF143A"/>
    <w:rsid w:val="00CF7619"/>
    <w:rsid w:val="00D00EA0"/>
    <w:rsid w:val="00D01999"/>
    <w:rsid w:val="00D01A50"/>
    <w:rsid w:val="00D01EB8"/>
    <w:rsid w:val="00D01F5B"/>
    <w:rsid w:val="00D05D33"/>
    <w:rsid w:val="00D11864"/>
    <w:rsid w:val="00D12D79"/>
    <w:rsid w:val="00D14098"/>
    <w:rsid w:val="00D160F3"/>
    <w:rsid w:val="00D16384"/>
    <w:rsid w:val="00D16924"/>
    <w:rsid w:val="00D17105"/>
    <w:rsid w:val="00D17B72"/>
    <w:rsid w:val="00D17E86"/>
    <w:rsid w:val="00D201E6"/>
    <w:rsid w:val="00D20D07"/>
    <w:rsid w:val="00D20FFB"/>
    <w:rsid w:val="00D21F48"/>
    <w:rsid w:val="00D23118"/>
    <w:rsid w:val="00D2517E"/>
    <w:rsid w:val="00D2546D"/>
    <w:rsid w:val="00D25CD7"/>
    <w:rsid w:val="00D3261D"/>
    <w:rsid w:val="00D33A08"/>
    <w:rsid w:val="00D35F06"/>
    <w:rsid w:val="00D36192"/>
    <w:rsid w:val="00D36226"/>
    <w:rsid w:val="00D374B7"/>
    <w:rsid w:val="00D42CEF"/>
    <w:rsid w:val="00D43886"/>
    <w:rsid w:val="00D44B01"/>
    <w:rsid w:val="00D455D4"/>
    <w:rsid w:val="00D45C00"/>
    <w:rsid w:val="00D45E62"/>
    <w:rsid w:val="00D46DC4"/>
    <w:rsid w:val="00D5062B"/>
    <w:rsid w:val="00D50EFF"/>
    <w:rsid w:val="00D53541"/>
    <w:rsid w:val="00D55E39"/>
    <w:rsid w:val="00D56487"/>
    <w:rsid w:val="00D60633"/>
    <w:rsid w:val="00D620FF"/>
    <w:rsid w:val="00D62FC5"/>
    <w:rsid w:val="00D63CC7"/>
    <w:rsid w:val="00D63E1C"/>
    <w:rsid w:val="00D63FAA"/>
    <w:rsid w:val="00D64D8A"/>
    <w:rsid w:val="00D650BB"/>
    <w:rsid w:val="00D65A90"/>
    <w:rsid w:val="00D65BF3"/>
    <w:rsid w:val="00D664DC"/>
    <w:rsid w:val="00D73D35"/>
    <w:rsid w:val="00D74191"/>
    <w:rsid w:val="00D74C34"/>
    <w:rsid w:val="00D7679A"/>
    <w:rsid w:val="00D76A3B"/>
    <w:rsid w:val="00D77F85"/>
    <w:rsid w:val="00D80821"/>
    <w:rsid w:val="00D83505"/>
    <w:rsid w:val="00D846F7"/>
    <w:rsid w:val="00D85A26"/>
    <w:rsid w:val="00D872B1"/>
    <w:rsid w:val="00D91D07"/>
    <w:rsid w:val="00DA1786"/>
    <w:rsid w:val="00DA6056"/>
    <w:rsid w:val="00DB3D91"/>
    <w:rsid w:val="00DB4DE6"/>
    <w:rsid w:val="00DB5DA0"/>
    <w:rsid w:val="00DB707F"/>
    <w:rsid w:val="00DC1CC0"/>
    <w:rsid w:val="00DC273F"/>
    <w:rsid w:val="00DC36E2"/>
    <w:rsid w:val="00DC38B8"/>
    <w:rsid w:val="00DC4475"/>
    <w:rsid w:val="00DC4478"/>
    <w:rsid w:val="00DC58C0"/>
    <w:rsid w:val="00DC7AE7"/>
    <w:rsid w:val="00DD3A2B"/>
    <w:rsid w:val="00DD5684"/>
    <w:rsid w:val="00DD61DE"/>
    <w:rsid w:val="00DD6B58"/>
    <w:rsid w:val="00DD6C17"/>
    <w:rsid w:val="00DD6D10"/>
    <w:rsid w:val="00DD765A"/>
    <w:rsid w:val="00DE11A5"/>
    <w:rsid w:val="00DE25A0"/>
    <w:rsid w:val="00DE4E91"/>
    <w:rsid w:val="00DF09F6"/>
    <w:rsid w:val="00DF0B35"/>
    <w:rsid w:val="00DF289F"/>
    <w:rsid w:val="00DF39D2"/>
    <w:rsid w:val="00DF56A7"/>
    <w:rsid w:val="00DF5C16"/>
    <w:rsid w:val="00DF63A1"/>
    <w:rsid w:val="00DF6BBB"/>
    <w:rsid w:val="00DF7125"/>
    <w:rsid w:val="00DF789A"/>
    <w:rsid w:val="00E017F3"/>
    <w:rsid w:val="00E01912"/>
    <w:rsid w:val="00E01F3E"/>
    <w:rsid w:val="00E02572"/>
    <w:rsid w:val="00E04749"/>
    <w:rsid w:val="00E077B2"/>
    <w:rsid w:val="00E07A22"/>
    <w:rsid w:val="00E100C4"/>
    <w:rsid w:val="00E1047A"/>
    <w:rsid w:val="00E13DE4"/>
    <w:rsid w:val="00E14A5F"/>
    <w:rsid w:val="00E16256"/>
    <w:rsid w:val="00E16674"/>
    <w:rsid w:val="00E16D6B"/>
    <w:rsid w:val="00E20F07"/>
    <w:rsid w:val="00E21911"/>
    <w:rsid w:val="00E2417A"/>
    <w:rsid w:val="00E24778"/>
    <w:rsid w:val="00E250DB"/>
    <w:rsid w:val="00E25B4B"/>
    <w:rsid w:val="00E26437"/>
    <w:rsid w:val="00E27E2F"/>
    <w:rsid w:val="00E30E17"/>
    <w:rsid w:val="00E32801"/>
    <w:rsid w:val="00E32952"/>
    <w:rsid w:val="00E37C18"/>
    <w:rsid w:val="00E37F4B"/>
    <w:rsid w:val="00E4111C"/>
    <w:rsid w:val="00E411A9"/>
    <w:rsid w:val="00E4350D"/>
    <w:rsid w:val="00E4387D"/>
    <w:rsid w:val="00E43A22"/>
    <w:rsid w:val="00E46D45"/>
    <w:rsid w:val="00E50F17"/>
    <w:rsid w:val="00E5325E"/>
    <w:rsid w:val="00E54CEB"/>
    <w:rsid w:val="00E557D7"/>
    <w:rsid w:val="00E55CE9"/>
    <w:rsid w:val="00E55E85"/>
    <w:rsid w:val="00E560EA"/>
    <w:rsid w:val="00E62588"/>
    <w:rsid w:val="00E6313E"/>
    <w:rsid w:val="00E7297B"/>
    <w:rsid w:val="00E7396A"/>
    <w:rsid w:val="00E73FA6"/>
    <w:rsid w:val="00E73FD6"/>
    <w:rsid w:val="00E74EFA"/>
    <w:rsid w:val="00E76CD4"/>
    <w:rsid w:val="00E7718B"/>
    <w:rsid w:val="00E81CF8"/>
    <w:rsid w:val="00E82562"/>
    <w:rsid w:val="00E844D7"/>
    <w:rsid w:val="00E86CF4"/>
    <w:rsid w:val="00E86F6C"/>
    <w:rsid w:val="00E878AC"/>
    <w:rsid w:val="00E87CAF"/>
    <w:rsid w:val="00E90586"/>
    <w:rsid w:val="00E9183E"/>
    <w:rsid w:val="00E91C1D"/>
    <w:rsid w:val="00E936B6"/>
    <w:rsid w:val="00E94476"/>
    <w:rsid w:val="00E948E4"/>
    <w:rsid w:val="00E95730"/>
    <w:rsid w:val="00E960BA"/>
    <w:rsid w:val="00E96C90"/>
    <w:rsid w:val="00E9768D"/>
    <w:rsid w:val="00EA067A"/>
    <w:rsid w:val="00EA1A26"/>
    <w:rsid w:val="00EA2B95"/>
    <w:rsid w:val="00EA2F92"/>
    <w:rsid w:val="00EA5A23"/>
    <w:rsid w:val="00EA696F"/>
    <w:rsid w:val="00EA7141"/>
    <w:rsid w:val="00EB27E9"/>
    <w:rsid w:val="00EB2FB5"/>
    <w:rsid w:val="00EB47D2"/>
    <w:rsid w:val="00EB5774"/>
    <w:rsid w:val="00EB5D63"/>
    <w:rsid w:val="00EB6110"/>
    <w:rsid w:val="00EB6169"/>
    <w:rsid w:val="00EB64CF"/>
    <w:rsid w:val="00EB74A3"/>
    <w:rsid w:val="00EC09B8"/>
    <w:rsid w:val="00EC1F3E"/>
    <w:rsid w:val="00EC443E"/>
    <w:rsid w:val="00EC65CA"/>
    <w:rsid w:val="00ED2AEE"/>
    <w:rsid w:val="00ED2C01"/>
    <w:rsid w:val="00ED4348"/>
    <w:rsid w:val="00ED5D6A"/>
    <w:rsid w:val="00ED7B9C"/>
    <w:rsid w:val="00EE3131"/>
    <w:rsid w:val="00EE6D9A"/>
    <w:rsid w:val="00EE7426"/>
    <w:rsid w:val="00EF0027"/>
    <w:rsid w:val="00EF0B03"/>
    <w:rsid w:val="00EF0F49"/>
    <w:rsid w:val="00EF26EB"/>
    <w:rsid w:val="00EF291C"/>
    <w:rsid w:val="00EF38D7"/>
    <w:rsid w:val="00EF4978"/>
    <w:rsid w:val="00EF5167"/>
    <w:rsid w:val="00EF584E"/>
    <w:rsid w:val="00EF70AE"/>
    <w:rsid w:val="00F007F5"/>
    <w:rsid w:val="00F01D4C"/>
    <w:rsid w:val="00F02583"/>
    <w:rsid w:val="00F04C12"/>
    <w:rsid w:val="00F052B6"/>
    <w:rsid w:val="00F064C6"/>
    <w:rsid w:val="00F11316"/>
    <w:rsid w:val="00F115D4"/>
    <w:rsid w:val="00F11B3C"/>
    <w:rsid w:val="00F1295D"/>
    <w:rsid w:val="00F13120"/>
    <w:rsid w:val="00F14219"/>
    <w:rsid w:val="00F146F8"/>
    <w:rsid w:val="00F14A3D"/>
    <w:rsid w:val="00F14ECB"/>
    <w:rsid w:val="00F1565A"/>
    <w:rsid w:val="00F156C3"/>
    <w:rsid w:val="00F156EF"/>
    <w:rsid w:val="00F16E6A"/>
    <w:rsid w:val="00F24763"/>
    <w:rsid w:val="00F25E14"/>
    <w:rsid w:val="00F26074"/>
    <w:rsid w:val="00F271F7"/>
    <w:rsid w:val="00F275AC"/>
    <w:rsid w:val="00F32F09"/>
    <w:rsid w:val="00F345C3"/>
    <w:rsid w:val="00F36B32"/>
    <w:rsid w:val="00F4044C"/>
    <w:rsid w:val="00F41599"/>
    <w:rsid w:val="00F41B74"/>
    <w:rsid w:val="00F444F7"/>
    <w:rsid w:val="00F4544A"/>
    <w:rsid w:val="00F45722"/>
    <w:rsid w:val="00F45AC2"/>
    <w:rsid w:val="00F462EB"/>
    <w:rsid w:val="00F50082"/>
    <w:rsid w:val="00F5098F"/>
    <w:rsid w:val="00F50C0E"/>
    <w:rsid w:val="00F519C6"/>
    <w:rsid w:val="00F51B2D"/>
    <w:rsid w:val="00F53C02"/>
    <w:rsid w:val="00F54B9B"/>
    <w:rsid w:val="00F55497"/>
    <w:rsid w:val="00F55CCC"/>
    <w:rsid w:val="00F56075"/>
    <w:rsid w:val="00F57A5E"/>
    <w:rsid w:val="00F607AE"/>
    <w:rsid w:val="00F61FA8"/>
    <w:rsid w:val="00F62599"/>
    <w:rsid w:val="00F62C3C"/>
    <w:rsid w:val="00F63B47"/>
    <w:rsid w:val="00F64602"/>
    <w:rsid w:val="00F654B6"/>
    <w:rsid w:val="00F65701"/>
    <w:rsid w:val="00F65C79"/>
    <w:rsid w:val="00F66475"/>
    <w:rsid w:val="00F7230C"/>
    <w:rsid w:val="00F73AA1"/>
    <w:rsid w:val="00F73BC5"/>
    <w:rsid w:val="00F74C22"/>
    <w:rsid w:val="00F77002"/>
    <w:rsid w:val="00F807C1"/>
    <w:rsid w:val="00F80B2F"/>
    <w:rsid w:val="00F81D1A"/>
    <w:rsid w:val="00F83E8B"/>
    <w:rsid w:val="00F84389"/>
    <w:rsid w:val="00F851EC"/>
    <w:rsid w:val="00F854CA"/>
    <w:rsid w:val="00F855A7"/>
    <w:rsid w:val="00F86B1F"/>
    <w:rsid w:val="00F87AF0"/>
    <w:rsid w:val="00F94259"/>
    <w:rsid w:val="00F94EC9"/>
    <w:rsid w:val="00F95D74"/>
    <w:rsid w:val="00F95F03"/>
    <w:rsid w:val="00F96AF3"/>
    <w:rsid w:val="00F96C12"/>
    <w:rsid w:val="00F96F1F"/>
    <w:rsid w:val="00FA0025"/>
    <w:rsid w:val="00FA090C"/>
    <w:rsid w:val="00FA0B3A"/>
    <w:rsid w:val="00FA0E7F"/>
    <w:rsid w:val="00FA24B0"/>
    <w:rsid w:val="00FA351D"/>
    <w:rsid w:val="00FA4314"/>
    <w:rsid w:val="00FA45BB"/>
    <w:rsid w:val="00FA5099"/>
    <w:rsid w:val="00FA72FD"/>
    <w:rsid w:val="00FA793D"/>
    <w:rsid w:val="00FA7EC7"/>
    <w:rsid w:val="00FB03D6"/>
    <w:rsid w:val="00FB04B7"/>
    <w:rsid w:val="00FB1AC2"/>
    <w:rsid w:val="00FB4551"/>
    <w:rsid w:val="00FB698B"/>
    <w:rsid w:val="00FC00A5"/>
    <w:rsid w:val="00FC2000"/>
    <w:rsid w:val="00FC2F44"/>
    <w:rsid w:val="00FC62BC"/>
    <w:rsid w:val="00FC63D2"/>
    <w:rsid w:val="00FC688B"/>
    <w:rsid w:val="00FD1481"/>
    <w:rsid w:val="00FD2784"/>
    <w:rsid w:val="00FD30D6"/>
    <w:rsid w:val="00FD4170"/>
    <w:rsid w:val="00FD6378"/>
    <w:rsid w:val="00FE2612"/>
    <w:rsid w:val="00FE2DE8"/>
    <w:rsid w:val="00FE4840"/>
    <w:rsid w:val="00FF018B"/>
    <w:rsid w:val="00FF0708"/>
    <w:rsid w:val="00FF0CF2"/>
    <w:rsid w:val="00FF0EE9"/>
    <w:rsid w:val="00FF170B"/>
    <w:rsid w:val="00FF3038"/>
    <w:rsid w:val="00FF3BB5"/>
    <w:rsid w:val="00FF432E"/>
    <w:rsid w:val="00FF47AC"/>
    <w:rsid w:val="00FF5D32"/>
    <w:rsid w:val="00FF5DEA"/>
    <w:rsid w:val="00FF7048"/>
    <w:rsid w:val="00FF7B18"/>
    <w:rsid w:val="00FF7BA7"/>
    <w:rsid w:val="00FF7E8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546B271E"/>
  <w15:chartTrackingRefBased/>
  <w15:docId w15:val="{37FC7CC1-F68E-264D-90C7-C99587F0F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de-DE"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D80821"/>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link w:val="ReferencesCar"/>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85D3C"/>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En-tte">
    <w:name w:val="header"/>
    <w:basedOn w:val="Normal"/>
    <w:link w:val="En-tteCar"/>
    <w:uiPriority w:val="99"/>
    <w:unhideWhenUsed/>
    <w:rsid w:val="001E2F1C"/>
    <w:pPr>
      <w:tabs>
        <w:tab w:val="center" w:pos="4703"/>
        <w:tab w:val="right" w:pos="9406"/>
      </w:tabs>
    </w:pPr>
  </w:style>
  <w:style w:type="character" w:customStyle="1" w:styleId="En-tteCar">
    <w:name w:val="En-tête Car"/>
    <w:link w:val="En-tte"/>
    <w:uiPriority w:val="99"/>
    <w:rsid w:val="001E2F1C"/>
    <w:rPr>
      <w:sz w:val="24"/>
      <w:szCs w:val="24"/>
      <w:lang w:val="de-DE" w:eastAsia="ja-JP" w:bidi="ar-SA"/>
    </w:rPr>
  </w:style>
  <w:style w:type="paragraph" w:styleId="Pieddepage">
    <w:name w:val="footer"/>
    <w:basedOn w:val="Normal"/>
    <w:link w:val="PieddepageCar"/>
    <w:uiPriority w:val="99"/>
    <w:unhideWhenUsed/>
    <w:rsid w:val="001E2F1C"/>
    <w:pPr>
      <w:tabs>
        <w:tab w:val="center" w:pos="4703"/>
        <w:tab w:val="right" w:pos="9406"/>
      </w:tabs>
    </w:pPr>
  </w:style>
  <w:style w:type="character" w:customStyle="1" w:styleId="PieddepageCar">
    <w:name w:val="Pied de page Car"/>
    <w:link w:val="Pieddepage"/>
    <w:uiPriority w:val="99"/>
    <w:rsid w:val="001E2F1C"/>
    <w:rPr>
      <w:sz w:val="24"/>
      <w:szCs w:val="24"/>
      <w:lang w:val="de-DE" w:eastAsia="ja-JP" w:bidi="ar-SA"/>
    </w:rPr>
  </w:style>
  <w:style w:type="paragraph" w:styleId="Textedebulles">
    <w:name w:val="Balloon Text"/>
    <w:basedOn w:val="Normal"/>
    <w:link w:val="TextedebullesCar"/>
    <w:uiPriority w:val="99"/>
    <w:semiHidden/>
    <w:unhideWhenUsed/>
    <w:rsid w:val="00EE7426"/>
    <w:rPr>
      <w:rFonts w:ascii="Tahoma" w:hAnsi="Tahoma" w:cs="Tahoma"/>
      <w:sz w:val="16"/>
      <w:szCs w:val="16"/>
    </w:rPr>
  </w:style>
  <w:style w:type="character" w:customStyle="1" w:styleId="TextedebullesCar">
    <w:name w:val="Texte de bulles Car"/>
    <w:link w:val="Textedebulles"/>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D80821"/>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character" w:styleId="Lienhypertexte">
    <w:name w:val="Hyperlink"/>
    <w:basedOn w:val="Policepardfaut"/>
    <w:uiPriority w:val="99"/>
    <w:unhideWhenUsed/>
    <w:rsid w:val="002C330A"/>
    <w:rPr>
      <w:color w:val="0563C1" w:themeColor="hyperlink"/>
      <w:u w:val="single"/>
    </w:rPr>
  </w:style>
  <w:style w:type="character" w:customStyle="1" w:styleId="Mentionnonrsolue1">
    <w:name w:val="Mention non résolue1"/>
    <w:basedOn w:val="Policepardfaut"/>
    <w:uiPriority w:val="99"/>
    <w:semiHidden/>
    <w:unhideWhenUsed/>
    <w:rsid w:val="002C330A"/>
    <w:rPr>
      <w:color w:val="605E5C"/>
      <w:shd w:val="clear" w:color="auto" w:fill="E1DFDD"/>
    </w:rPr>
  </w:style>
  <w:style w:type="paragraph" w:customStyle="1" w:styleId="Bibliographie1">
    <w:name w:val="Bibliographie1"/>
    <w:basedOn w:val="Normal"/>
    <w:link w:val="BibliographyCar"/>
    <w:rsid w:val="001E4A85"/>
    <w:pPr>
      <w:tabs>
        <w:tab w:val="left" w:pos="500"/>
      </w:tabs>
      <w:ind w:left="504" w:hanging="504"/>
    </w:pPr>
    <w:rPr>
      <w:rFonts w:ascii="Arial" w:hAnsi="Arial"/>
    </w:rPr>
  </w:style>
  <w:style w:type="character" w:customStyle="1" w:styleId="ReferencesCar">
    <w:name w:val="References Car"/>
    <w:basedOn w:val="Policepardfaut"/>
    <w:link w:val="References"/>
    <w:rsid w:val="001E4A85"/>
    <w:rPr>
      <w:rFonts w:ascii="Arial" w:hAnsi="Arial"/>
      <w:sz w:val="14"/>
      <w:szCs w:val="14"/>
      <w:lang w:val="en-GB" w:eastAsia="ja-JP"/>
    </w:rPr>
  </w:style>
  <w:style w:type="character" w:customStyle="1" w:styleId="BibliographyCar">
    <w:name w:val="Bibliography Car"/>
    <w:basedOn w:val="ReferencesCar"/>
    <w:link w:val="Bibliographie1"/>
    <w:rsid w:val="001E4A85"/>
    <w:rPr>
      <w:rFonts w:ascii="Arial" w:hAnsi="Arial"/>
      <w:sz w:val="24"/>
      <w:szCs w:val="24"/>
      <w:lang w:val="de-DE" w:eastAsia="ja-JP"/>
    </w:rPr>
  </w:style>
  <w:style w:type="paragraph" w:styleId="Rvision">
    <w:name w:val="Revision"/>
    <w:hidden/>
    <w:uiPriority w:val="99"/>
    <w:semiHidden/>
    <w:rsid w:val="00704157"/>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2585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aurent.devel@cea.fr" TargetMode="Externa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tiff"/></Relationships>
</file>

<file path=word/_rels/header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94D7DD-785F-F341-BA7E-30AF6759E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9</Pages>
  <Words>26372</Words>
  <Characters>140564</Characters>
  <Application>Microsoft Office Word</Application>
  <DocSecurity>0</DocSecurity>
  <Lines>2811</Lines>
  <Paragraphs>1043</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((Title))</vt:lpstr>
      <vt:lpstr>((Title))</vt:lpstr>
      <vt:lpstr>((Title))</vt:lpstr>
    </vt:vector>
  </TitlesOfParts>
  <Company>WILEY-VCH Verlag GmbH &amp; Co. KGaA</Company>
  <LinksUpToDate>false</LinksUpToDate>
  <CharactersWithSpaces>165893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laurent devel</dc:creator>
  <cp:keywords/>
  <dc:description/>
  <cp:lastModifiedBy>laurent devel</cp:lastModifiedBy>
  <cp:revision>16</cp:revision>
  <cp:lastPrinted>2021-06-03T10:25:00Z</cp:lastPrinted>
  <dcterms:created xsi:type="dcterms:W3CDTF">2021-06-03T09:55:00Z</dcterms:created>
  <dcterms:modified xsi:type="dcterms:W3CDTF">2021-06-04T13:22:00Z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id="7qy6ig14"/&gt;&lt;style id="http://www.zotero.org/styles/angewandte-chemie" hasBibliography="1" bibliographyStyleHasBeenSet="1"/&gt;&lt;prefs&gt;&lt;pref name="fieldType" value="Field"/&gt;&lt;/prefs&gt;&lt;/data&gt;</vt:lpwstr>
  </property>
</Properties>
</file>