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52CA" w:rsidR="00FC12CC" w:rsidP="6ABDEB84" w:rsidRDefault="6ABDEB84" w14:paraId="17033CF8" w14:textId="78A7F7BD">
      <w:pPr>
        <w:pStyle w:val="Titre"/>
        <w:spacing w:line="360" w:lineRule="auto"/>
        <w:jc w:val="center"/>
        <w:rPr>
          <w:rFonts w:ascii="Times New Roman" w:hAnsi="Times New Roman" w:eastAsia="Times New Roman" w:cs="Times New Roman"/>
          <w:color w:val="000000" w:themeColor="text1"/>
          <w:sz w:val="36"/>
          <w:szCs w:val="36"/>
          <w:lang w:val="en-US"/>
        </w:rPr>
      </w:pPr>
      <w:r w:rsidRPr="6ABDEB84">
        <w:rPr>
          <w:rFonts w:ascii="Times New Roman" w:hAnsi="Times New Roman" w:eastAsia="Times New Roman" w:cs="Times New Roman"/>
          <w:b/>
          <w:bCs/>
          <w:color w:val="000000" w:themeColor="text1"/>
          <w:sz w:val="36"/>
          <w:szCs w:val="36"/>
          <w:lang w:val="en-CA"/>
        </w:rPr>
        <w:t>Sensory and corticospinal signs before ataxia onset in SCA1 and SCA3: the READISCA study</w:t>
      </w:r>
    </w:p>
    <w:p w:rsidRPr="00FA52CA" w:rsidR="00FC12CC" w:rsidP="6ABDEB84" w:rsidRDefault="00FC12CC" w14:paraId="64ACBAFE" w14:textId="3E1606BC">
      <w:pPr>
        <w:spacing w:line="360" w:lineRule="auto"/>
        <w:jc w:val="center"/>
        <w:rPr>
          <w:rFonts w:ascii="Times New Roman" w:hAnsi="Times New Roman" w:eastAsia="Times New Roman" w:cs="Times New Roman"/>
          <w:color w:val="222222"/>
          <w:sz w:val="24"/>
          <w:szCs w:val="24"/>
          <w:lang w:val="en-US"/>
        </w:rPr>
      </w:pPr>
    </w:p>
    <w:p w:rsidRPr="00FA52CA" w:rsidR="00FC12CC" w:rsidP="6ABDEB84" w:rsidRDefault="6ABDEB84" w14:paraId="06032433" w14:textId="0770CB84">
      <w:pPr>
        <w:spacing w:after="140" w:line="360" w:lineRule="auto"/>
        <w:jc w:val="center"/>
        <w:rPr>
          <w:rFonts w:ascii="Times New Roman" w:hAnsi="Times New Roman" w:eastAsia="Times New Roman" w:cs="Times New Roman"/>
          <w:color w:val="212121"/>
          <w:sz w:val="24"/>
          <w:szCs w:val="24"/>
          <w:lang w:val="en-US"/>
        </w:rPr>
      </w:pPr>
      <w:r w:rsidRPr="47F62378" w:rsidR="6ABDEB84">
        <w:rPr>
          <w:rFonts w:ascii="Times New Roman" w:hAnsi="Times New Roman" w:eastAsia="Times New Roman" w:cs="Times New Roman"/>
          <w:color w:val="212121"/>
          <w:sz w:val="24"/>
          <w:szCs w:val="24"/>
          <w:lang w:val="en-US"/>
        </w:rPr>
        <w:t>Sophie Tezenas du Montcel</w:t>
      </w:r>
      <w:r w:rsidRPr="47F62378" w:rsidR="6ABDEB84">
        <w:rPr>
          <w:rFonts w:ascii="Times New Roman" w:hAnsi="Times New Roman" w:eastAsia="Times New Roman" w:cs="Times New Roman"/>
          <w:color w:val="212121"/>
          <w:sz w:val="24"/>
          <w:szCs w:val="24"/>
          <w:vertAlign w:val="superscript"/>
          <w:lang w:val="en-US"/>
        </w:rPr>
        <w:t>1</w:t>
      </w:r>
      <w:r w:rsidRPr="47F62378" w:rsidR="6ABDEB84">
        <w:rPr>
          <w:rFonts w:ascii="Times New Roman" w:hAnsi="Times New Roman" w:eastAsia="Times New Roman" w:cs="Times New Roman"/>
          <w:color w:val="212121"/>
          <w:sz w:val="24"/>
          <w:szCs w:val="24"/>
          <w:lang w:val="en-US"/>
        </w:rPr>
        <w:t>, Emilien Petit</w:t>
      </w:r>
      <w:r w:rsidRPr="47F62378" w:rsidR="6ABDEB84">
        <w:rPr>
          <w:rFonts w:ascii="Times New Roman" w:hAnsi="Times New Roman" w:eastAsia="Times New Roman" w:cs="Times New Roman"/>
          <w:color w:val="212121"/>
          <w:sz w:val="24"/>
          <w:szCs w:val="24"/>
          <w:vertAlign w:val="superscript"/>
          <w:lang w:val="en-US"/>
        </w:rPr>
        <w:t>1</w:t>
      </w:r>
      <w:r w:rsidRPr="47F62378" w:rsidR="6ABDEB84">
        <w:rPr>
          <w:rFonts w:ascii="Times New Roman" w:hAnsi="Times New Roman" w:eastAsia="Times New Roman" w:cs="Times New Roman"/>
          <w:color w:val="212121"/>
          <w:sz w:val="24"/>
          <w:szCs w:val="24"/>
          <w:lang w:val="en-US"/>
        </w:rPr>
        <w:t>, Titi Olubajo</w:t>
      </w:r>
      <w:r w:rsidRPr="47F62378" w:rsidR="6ABDEB84">
        <w:rPr>
          <w:rFonts w:ascii="Times New Roman" w:hAnsi="Times New Roman" w:eastAsia="Times New Roman" w:cs="Times New Roman"/>
          <w:color w:val="212121"/>
          <w:sz w:val="24"/>
          <w:szCs w:val="24"/>
          <w:vertAlign w:val="superscript"/>
          <w:lang w:val="en-US"/>
        </w:rPr>
        <w:t>2</w:t>
      </w:r>
      <w:r w:rsidRPr="47F62378" w:rsidR="6ABDEB84">
        <w:rPr>
          <w:rFonts w:ascii="Times New Roman" w:hAnsi="Times New Roman" w:eastAsia="Times New Roman" w:cs="Times New Roman"/>
          <w:color w:val="212121"/>
          <w:sz w:val="24"/>
          <w:szCs w:val="24"/>
          <w:lang w:val="en-US"/>
        </w:rPr>
        <w:t>, Jennifer Faber</w:t>
      </w:r>
      <w:r w:rsidRPr="47F62378" w:rsidR="6ABDEB84">
        <w:rPr>
          <w:rFonts w:ascii="Times New Roman" w:hAnsi="Times New Roman" w:eastAsia="Times New Roman" w:cs="Times New Roman"/>
          <w:color w:val="212121"/>
          <w:sz w:val="24"/>
          <w:szCs w:val="24"/>
          <w:vertAlign w:val="superscript"/>
          <w:lang w:val="en-US"/>
        </w:rPr>
        <w:t>3,4</w:t>
      </w:r>
      <w:r w:rsidRPr="47F62378" w:rsidR="6ABDEB84">
        <w:rPr>
          <w:rFonts w:ascii="Times New Roman" w:hAnsi="Times New Roman" w:eastAsia="Times New Roman" w:cs="Times New Roman"/>
          <w:color w:val="212121"/>
          <w:sz w:val="24"/>
          <w:szCs w:val="24"/>
          <w:lang w:val="en-US"/>
        </w:rPr>
        <w:t>, Pauline Lallemant-</w:t>
      </w:r>
      <w:r w:rsidRPr="47F62378" w:rsidR="6ABDEB84">
        <w:rPr>
          <w:rFonts w:ascii="Calibri" w:hAnsi="Calibri" w:eastAsia="Calibri" w:cs="Calibri"/>
          <w:color w:val="000000" w:themeColor="text1" w:themeTint="FF" w:themeShade="FF"/>
          <w:lang w:val="en-US"/>
        </w:rPr>
        <w:t>Dudek</w:t>
      </w:r>
      <w:r w:rsidRPr="47F62378" w:rsidR="6ABDEB84">
        <w:rPr>
          <w:rFonts w:ascii="Times New Roman" w:hAnsi="Times New Roman" w:eastAsia="Times New Roman" w:cs="Times New Roman"/>
          <w:color w:val="212121"/>
          <w:sz w:val="24"/>
          <w:szCs w:val="24"/>
          <w:vertAlign w:val="superscript"/>
          <w:lang w:val="en-US"/>
        </w:rPr>
        <w:t>1</w:t>
      </w:r>
      <w:r w:rsidRPr="47F62378" w:rsidR="6ABDEB84">
        <w:rPr>
          <w:rFonts w:ascii="Times New Roman" w:hAnsi="Times New Roman" w:eastAsia="Times New Roman" w:cs="Times New Roman"/>
          <w:color w:val="212121"/>
          <w:sz w:val="24"/>
          <w:szCs w:val="24"/>
          <w:lang w:val="en-US"/>
        </w:rPr>
        <w:t>, Khalaf Bushara</w:t>
      </w:r>
      <w:r w:rsidRPr="47F62378" w:rsidR="6ABDEB84">
        <w:rPr>
          <w:rFonts w:ascii="Times New Roman" w:hAnsi="Times New Roman" w:eastAsia="Times New Roman" w:cs="Times New Roman"/>
          <w:color w:val="212121"/>
          <w:sz w:val="24"/>
          <w:szCs w:val="24"/>
          <w:vertAlign w:val="superscript"/>
          <w:lang w:val="en-US"/>
        </w:rPr>
        <w:t>5</w:t>
      </w:r>
      <w:r w:rsidRPr="47F62378" w:rsidR="6ABDEB84">
        <w:rPr>
          <w:rFonts w:ascii="Times New Roman" w:hAnsi="Times New Roman" w:eastAsia="Times New Roman" w:cs="Times New Roman"/>
          <w:color w:val="212121"/>
          <w:sz w:val="24"/>
          <w:szCs w:val="24"/>
          <w:lang w:val="en-US"/>
        </w:rPr>
        <w:t>, Susan Perlman</w:t>
      </w:r>
      <w:r w:rsidRPr="47F62378" w:rsidR="6ABDEB84">
        <w:rPr>
          <w:rFonts w:ascii="Times New Roman" w:hAnsi="Times New Roman" w:eastAsia="Times New Roman" w:cs="Times New Roman"/>
          <w:color w:val="212121"/>
          <w:sz w:val="24"/>
          <w:szCs w:val="24"/>
          <w:vertAlign w:val="superscript"/>
          <w:lang w:val="en-US"/>
        </w:rPr>
        <w:t>6</w:t>
      </w:r>
      <w:r w:rsidRPr="47F62378" w:rsidR="6ABDEB84">
        <w:rPr>
          <w:rFonts w:ascii="Times New Roman" w:hAnsi="Times New Roman" w:eastAsia="Times New Roman" w:cs="Times New Roman"/>
          <w:color w:val="212121"/>
          <w:sz w:val="24"/>
          <w:szCs w:val="24"/>
          <w:lang w:val="en-US"/>
        </w:rPr>
        <w:t>, S. H. Subramony</w:t>
      </w:r>
      <w:r w:rsidRPr="47F62378" w:rsidR="6ABDEB84">
        <w:rPr>
          <w:rFonts w:ascii="Times New Roman" w:hAnsi="Times New Roman" w:eastAsia="Times New Roman" w:cs="Times New Roman"/>
          <w:color w:val="212121"/>
          <w:sz w:val="24"/>
          <w:szCs w:val="24"/>
          <w:vertAlign w:val="superscript"/>
          <w:lang w:val="en-US"/>
        </w:rPr>
        <w:t>7</w:t>
      </w:r>
      <w:r w:rsidRPr="47F62378" w:rsidR="6ABDEB84">
        <w:rPr>
          <w:rFonts w:ascii="Times New Roman" w:hAnsi="Times New Roman" w:eastAsia="Times New Roman" w:cs="Times New Roman"/>
          <w:color w:val="212121"/>
          <w:sz w:val="24"/>
          <w:szCs w:val="24"/>
          <w:lang w:val="en-US"/>
        </w:rPr>
        <w:t>, David Morgan</w:t>
      </w:r>
      <w:r w:rsidRPr="47F62378" w:rsidR="6ABDEB84">
        <w:rPr>
          <w:rFonts w:ascii="Times New Roman" w:hAnsi="Times New Roman" w:eastAsia="Times New Roman" w:cs="Times New Roman"/>
          <w:color w:val="212121"/>
          <w:sz w:val="24"/>
          <w:szCs w:val="24"/>
          <w:vertAlign w:val="superscript"/>
          <w:lang w:val="en-US"/>
        </w:rPr>
        <w:t>8</w:t>
      </w:r>
      <w:r w:rsidRPr="47F62378" w:rsidR="6ABDEB84">
        <w:rPr>
          <w:rFonts w:ascii="Times New Roman" w:hAnsi="Times New Roman" w:eastAsia="Times New Roman" w:cs="Times New Roman"/>
          <w:color w:val="212121"/>
          <w:sz w:val="24"/>
          <w:szCs w:val="24"/>
          <w:lang w:val="en-US"/>
        </w:rPr>
        <w:t>, Brianna Jackman</w:t>
      </w:r>
      <w:r w:rsidRPr="47F62378" w:rsidR="6ABDEB84">
        <w:rPr>
          <w:rFonts w:ascii="Times New Roman" w:hAnsi="Times New Roman" w:eastAsia="Times New Roman" w:cs="Times New Roman"/>
          <w:color w:val="212121"/>
          <w:sz w:val="24"/>
          <w:szCs w:val="24"/>
          <w:vertAlign w:val="superscript"/>
          <w:lang w:val="en-US"/>
        </w:rPr>
        <w:t>8</w:t>
      </w:r>
      <w:r w:rsidRPr="47F62378" w:rsidR="6ABDEB84">
        <w:rPr>
          <w:rFonts w:ascii="Times New Roman" w:hAnsi="Times New Roman" w:eastAsia="Times New Roman" w:cs="Times New Roman"/>
          <w:color w:val="212121"/>
          <w:sz w:val="24"/>
          <w:szCs w:val="24"/>
          <w:lang w:val="en-US"/>
        </w:rPr>
        <w:t>, Henry Paulson</w:t>
      </w:r>
      <w:r w:rsidRPr="47F62378" w:rsidR="6ABDEB84">
        <w:rPr>
          <w:rFonts w:ascii="Times New Roman" w:hAnsi="Times New Roman" w:eastAsia="Times New Roman" w:cs="Times New Roman"/>
          <w:color w:val="212121"/>
          <w:sz w:val="24"/>
          <w:szCs w:val="24"/>
          <w:vertAlign w:val="superscript"/>
          <w:lang w:val="en-US"/>
        </w:rPr>
        <w:t>9</w:t>
      </w:r>
      <w:r w:rsidRPr="47F62378" w:rsidR="6ABDEB84">
        <w:rPr>
          <w:rFonts w:ascii="Times New Roman" w:hAnsi="Times New Roman" w:eastAsia="Times New Roman" w:cs="Times New Roman"/>
          <w:color w:val="212121"/>
          <w:sz w:val="24"/>
          <w:szCs w:val="24"/>
          <w:lang w:val="en-US"/>
        </w:rPr>
        <w:t>, Gülin Öz</w:t>
      </w:r>
      <w:r w:rsidRPr="47F62378" w:rsidR="6ABDEB84">
        <w:rPr>
          <w:rFonts w:ascii="Times New Roman" w:hAnsi="Times New Roman" w:eastAsia="Times New Roman" w:cs="Times New Roman"/>
          <w:color w:val="212121"/>
          <w:sz w:val="24"/>
          <w:szCs w:val="24"/>
          <w:vertAlign w:val="superscript"/>
          <w:lang w:val="en-US"/>
        </w:rPr>
        <w:t>10</w:t>
      </w:r>
      <w:r w:rsidRPr="47F62378" w:rsidR="6ABDEB84">
        <w:rPr>
          <w:rFonts w:ascii="Times New Roman" w:hAnsi="Times New Roman" w:eastAsia="Times New Roman" w:cs="Times New Roman"/>
          <w:color w:val="212121"/>
          <w:sz w:val="24"/>
          <w:szCs w:val="24"/>
          <w:lang w:val="en-US"/>
        </w:rPr>
        <w:t>, Thomas Klockgether</w:t>
      </w:r>
      <w:r w:rsidRPr="47F62378" w:rsidR="6ABDEB84">
        <w:rPr>
          <w:rFonts w:ascii="Times New Roman" w:hAnsi="Times New Roman" w:eastAsia="Times New Roman" w:cs="Times New Roman"/>
          <w:color w:val="212121"/>
          <w:sz w:val="24"/>
          <w:szCs w:val="24"/>
          <w:vertAlign w:val="superscript"/>
          <w:lang w:val="en-US"/>
        </w:rPr>
        <w:t>3,4</w:t>
      </w:r>
      <w:r w:rsidRPr="47F62378" w:rsidR="6ABDEB84">
        <w:rPr>
          <w:rFonts w:ascii="Times New Roman" w:hAnsi="Times New Roman" w:eastAsia="Times New Roman" w:cs="Times New Roman"/>
          <w:color w:val="212121"/>
          <w:sz w:val="24"/>
          <w:szCs w:val="24"/>
          <w:lang w:val="en-US"/>
        </w:rPr>
        <w:t>, Alexandra Durr</w:t>
      </w:r>
      <w:r w:rsidRPr="47F62378" w:rsidR="6ABDEB84">
        <w:rPr>
          <w:rFonts w:ascii="Times New Roman" w:hAnsi="Times New Roman" w:eastAsia="Times New Roman" w:cs="Times New Roman"/>
          <w:color w:val="212121"/>
          <w:sz w:val="24"/>
          <w:szCs w:val="24"/>
          <w:vertAlign w:val="superscript"/>
          <w:lang w:val="en-US"/>
        </w:rPr>
        <w:t>1,</w:t>
      </w:r>
      <w:r w:rsidRPr="47F62378" w:rsidR="6ABDEB84">
        <w:rPr>
          <w:rFonts w:ascii="Times New Roman" w:hAnsi="Times New Roman" w:eastAsia="Times New Roman" w:cs="Times New Roman"/>
          <w:color w:val="000000" w:themeColor="text1" w:themeTint="FF" w:themeShade="FF"/>
          <w:sz w:val="24"/>
          <w:szCs w:val="24"/>
          <w:vertAlign w:val="superscript"/>
          <w:lang w:val="en-CA"/>
        </w:rPr>
        <w:t>†</w:t>
      </w:r>
      <w:r w:rsidRPr="47F62378" w:rsidR="6ABDEB84">
        <w:rPr>
          <w:rFonts w:ascii="Times New Roman" w:hAnsi="Times New Roman" w:eastAsia="Times New Roman" w:cs="Times New Roman"/>
          <w:color w:val="212121"/>
          <w:sz w:val="24"/>
          <w:szCs w:val="24"/>
          <w:lang w:val="en-US"/>
        </w:rPr>
        <w:t>, Tetsuo Ashizawa</w:t>
      </w:r>
      <w:r w:rsidRPr="47F62378" w:rsidR="6ABDEB84">
        <w:rPr>
          <w:rFonts w:ascii="Times New Roman" w:hAnsi="Times New Roman" w:eastAsia="Times New Roman" w:cs="Times New Roman"/>
          <w:color w:val="212121"/>
          <w:sz w:val="24"/>
          <w:szCs w:val="24"/>
          <w:vertAlign w:val="superscript"/>
          <w:lang w:val="en-US"/>
        </w:rPr>
        <w:t>2,</w:t>
      </w:r>
      <w:r w:rsidRPr="47F62378" w:rsidR="6ABDEB84">
        <w:rPr>
          <w:rFonts w:ascii="Times New Roman" w:hAnsi="Times New Roman" w:eastAsia="Times New Roman" w:cs="Times New Roman"/>
          <w:color w:val="000000" w:themeColor="text1" w:themeTint="FF" w:themeShade="FF"/>
          <w:sz w:val="24"/>
          <w:szCs w:val="24"/>
          <w:vertAlign w:val="superscript"/>
          <w:lang w:val="en-CA"/>
        </w:rPr>
        <w:t>†</w:t>
      </w:r>
      <w:r w:rsidRPr="47F62378" w:rsidR="6ABDEB84">
        <w:rPr>
          <w:rFonts w:ascii="Times New Roman" w:hAnsi="Times New Roman" w:eastAsia="Times New Roman" w:cs="Times New Roman"/>
          <w:color w:val="212121"/>
          <w:sz w:val="24"/>
          <w:szCs w:val="24"/>
          <w:lang w:val="en-US"/>
        </w:rPr>
        <w:t>, and READISCA Consortium Collaborators</w:t>
      </w:r>
    </w:p>
    <w:p w:rsidR="00FC12CC" w:rsidP="6ABDEB84" w:rsidRDefault="6ABDEB84" w14:paraId="2DD68EE2" w14:textId="706B53FB">
      <w:pPr>
        <w:spacing w:after="140" w:line="360" w:lineRule="auto"/>
        <w:rPr>
          <w:rFonts w:ascii="Times New Roman" w:hAnsi="Times New Roman" w:eastAsia="Times New Roman" w:cs="Times New Roman"/>
          <w:color w:val="000000" w:themeColor="text1"/>
          <w:sz w:val="24"/>
          <w:szCs w:val="24"/>
        </w:rPr>
      </w:pPr>
      <w:r w:rsidRPr="6ABDEB84">
        <w:rPr>
          <w:rFonts w:ascii="Times New Roman" w:hAnsi="Times New Roman" w:eastAsia="Times New Roman" w:cs="Times New Roman"/>
          <w:b/>
          <w:bCs/>
          <w:color w:val="000000" w:themeColor="text1"/>
          <w:sz w:val="24"/>
          <w:szCs w:val="24"/>
        </w:rPr>
        <w:t>Author Affiliations</w:t>
      </w:r>
    </w:p>
    <w:p w:rsidR="00FC12CC" w:rsidP="6ABDEB84" w:rsidRDefault="6ABDEB84" w14:paraId="7CDFED9C" w14:textId="17943915">
      <w:pPr>
        <w:pStyle w:val="Paragraphedeliste"/>
        <w:numPr>
          <w:ilvl w:val="0"/>
          <w:numId w:val="2"/>
        </w:numPr>
        <w:spacing w:after="140" w:line="360" w:lineRule="auto"/>
        <w:rPr>
          <w:rFonts w:eastAsiaTheme="minorEastAsia"/>
          <w:color w:val="212121"/>
          <w:sz w:val="24"/>
          <w:szCs w:val="24"/>
        </w:rPr>
      </w:pPr>
      <w:r w:rsidRPr="6ABDEB84">
        <w:rPr>
          <w:rFonts w:ascii="Calibri" w:hAnsi="Calibri" w:eastAsia="Calibri" w:cs="Calibri"/>
          <w:color w:val="212121"/>
          <w:sz w:val="24"/>
          <w:szCs w:val="24"/>
        </w:rPr>
        <w:t xml:space="preserve"> Sorbonne Universite, Paris Brain Institute, Inserm, INRIA, CNRS, APHP, Paris, France.</w:t>
      </w:r>
    </w:p>
    <w:p w:rsidRPr="00FA52CA" w:rsidR="00FC12CC" w:rsidP="6ABDEB84" w:rsidRDefault="6ABDEB84" w14:paraId="7EDCA7A2" w14:textId="798BA35C">
      <w:pPr>
        <w:pStyle w:val="Paragraphedeliste"/>
        <w:numPr>
          <w:ilvl w:val="0"/>
          <w:numId w:val="2"/>
        </w:numPr>
        <w:spacing w:after="140" w:line="360" w:lineRule="auto"/>
        <w:rPr>
          <w:rFonts w:eastAsiaTheme="minorEastAsia"/>
          <w:color w:val="212121"/>
          <w:sz w:val="24"/>
          <w:szCs w:val="24"/>
          <w:lang w:val="en-US"/>
        </w:rPr>
      </w:pPr>
      <w:r w:rsidRPr="6ABDEB84">
        <w:rPr>
          <w:rFonts w:ascii="Calibri" w:hAnsi="Calibri" w:eastAsia="Calibri" w:cs="Calibri"/>
          <w:color w:val="212121"/>
          <w:sz w:val="24"/>
          <w:szCs w:val="24"/>
          <w:lang w:val="en-US"/>
        </w:rPr>
        <w:t>The Houston Methodist Research Institute, Houston, TX, USA.</w:t>
      </w:r>
    </w:p>
    <w:p w:rsidRPr="00FA52CA" w:rsidR="00FC12CC" w:rsidP="6ABDEB84" w:rsidRDefault="6ABDEB84" w14:paraId="459DE9E4" w14:textId="1CFBA54D">
      <w:pPr>
        <w:pStyle w:val="Paragraphedeliste"/>
        <w:numPr>
          <w:ilvl w:val="0"/>
          <w:numId w:val="2"/>
        </w:numPr>
        <w:spacing w:after="140" w:line="360" w:lineRule="auto"/>
        <w:rPr>
          <w:rFonts w:eastAsiaTheme="minorEastAsia"/>
          <w:color w:val="212121"/>
          <w:sz w:val="24"/>
          <w:szCs w:val="24"/>
          <w:lang w:val="en-US"/>
        </w:rPr>
      </w:pPr>
      <w:r w:rsidRPr="6ABDEB84">
        <w:rPr>
          <w:rFonts w:ascii="Calibri" w:hAnsi="Calibri" w:eastAsia="Calibri" w:cs="Calibri"/>
          <w:color w:val="000000" w:themeColor="text1"/>
          <w:sz w:val="24"/>
          <w:szCs w:val="24"/>
          <w:lang w:val="en-US"/>
        </w:rPr>
        <w:t xml:space="preserve">Department of Neurology, </w:t>
      </w:r>
      <w:r w:rsidRPr="6ABDEB84">
        <w:rPr>
          <w:rFonts w:ascii="Calibri" w:hAnsi="Calibri" w:eastAsia="Calibri" w:cs="Calibri"/>
          <w:color w:val="212121"/>
          <w:sz w:val="24"/>
          <w:szCs w:val="24"/>
          <w:lang w:val="en-US"/>
        </w:rPr>
        <w:t>University Hospital of Bonn, Bonn, Germany.</w:t>
      </w:r>
    </w:p>
    <w:p w:rsidRPr="00FA52CA" w:rsidR="00FC12CC" w:rsidP="6ABDEB84" w:rsidRDefault="6ABDEB84" w14:paraId="0DDEEB2D" w14:textId="32571D97">
      <w:pPr>
        <w:pStyle w:val="Paragraphedeliste"/>
        <w:numPr>
          <w:ilvl w:val="0"/>
          <w:numId w:val="2"/>
        </w:numPr>
        <w:spacing w:after="140" w:line="360" w:lineRule="auto"/>
        <w:rPr>
          <w:rFonts w:eastAsiaTheme="minorEastAsia"/>
          <w:color w:val="000000" w:themeColor="text1"/>
          <w:sz w:val="24"/>
          <w:szCs w:val="24"/>
          <w:lang w:val="en-US"/>
        </w:rPr>
      </w:pPr>
      <w:r w:rsidRPr="6ABDEB84">
        <w:rPr>
          <w:rFonts w:ascii="Calibri" w:hAnsi="Calibri" w:eastAsia="Calibri" w:cs="Calibri"/>
          <w:color w:val="000000" w:themeColor="text1"/>
          <w:sz w:val="24"/>
          <w:szCs w:val="24"/>
          <w:lang w:val="en-US"/>
        </w:rPr>
        <w:t>German Center for Neurodegenerative Diseases (DZNE), 53127 Bonn, Germany.</w:t>
      </w:r>
    </w:p>
    <w:p w:rsidRPr="00FA52CA" w:rsidR="00FC12CC" w:rsidP="6ABDEB84" w:rsidRDefault="6ABDEB84" w14:paraId="77F7029D" w14:textId="5CDAFAC6">
      <w:pPr>
        <w:pStyle w:val="Paragraphedeliste"/>
        <w:numPr>
          <w:ilvl w:val="0"/>
          <w:numId w:val="2"/>
        </w:numPr>
        <w:spacing w:after="140" w:line="360" w:lineRule="auto"/>
        <w:rPr>
          <w:rFonts w:eastAsiaTheme="minorEastAsia"/>
          <w:color w:val="212121"/>
          <w:sz w:val="24"/>
          <w:szCs w:val="24"/>
          <w:lang w:val="en-US"/>
        </w:rPr>
      </w:pPr>
      <w:r w:rsidRPr="6ABDEB84">
        <w:rPr>
          <w:rFonts w:ascii="Calibri" w:hAnsi="Calibri" w:eastAsia="Calibri" w:cs="Calibri"/>
          <w:color w:val="212121"/>
          <w:sz w:val="24"/>
          <w:szCs w:val="24"/>
          <w:lang w:val="en-US"/>
        </w:rPr>
        <w:t>Department of Neurology, University of Minnesota, Minneapolis, MN, USA.</w:t>
      </w:r>
    </w:p>
    <w:p w:rsidRPr="00FA52CA" w:rsidR="00FC12CC" w:rsidP="6ABDEB84" w:rsidRDefault="6ABDEB84" w14:paraId="53BFBF94" w14:textId="70B17519">
      <w:pPr>
        <w:pStyle w:val="Paragraphedeliste"/>
        <w:numPr>
          <w:ilvl w:val="0"/>
          <w:numId w:val="2"/>
        </w:numPr>
        <w:spacing w:after="140" w:line="360" w:lineRule="auto"/>
        <w:rPr>
          <w:rFonts w:eastAsiaTheme="minorEastAsia"/>
          <w:color w:val="000000" w:themeColor="text1"/>
          <w:sz w:val="24"/>
          <w:szCs w:val="24"/>
          <w:lang w:val="en-US"/>
        </w:rPr>
      </w:pPr>
      <w:r w:rsidRPr="6ABDEB84">
        <w:rPr>
          <w:rFonts w:ascii="Calibri" w:hAnsi="Calibri" w:eastAsia="Calibri" w:cs="Calibri"/>
          <w:color w:val="000000" w:themeColor="text1"/>
          <w:sz w:val="24"/>
          <w:szCs w:val="24"/>
          <w:lang w:val="en-US"/>
        </w:rPr>
        <w:t>University of California, Los Angeles, CA, USA.</w:t>
      </w:r>
    </w:p>
    <w:p w:rsidRPr="00FA52CA" w:rsidR="00FC12CC" w:rsidP="6ABDEB84" w:rsidRDefault="6ABDEB84" w14:paraId="54374FA3" w14:textId="6D6CA980">
      <w:pPr>
        <w:pStyle w:val="Paragraphedeliste"/>
        <w:numPr>
          <w:ilvl w:val="0"/>
          <w:numId w:val="2"/>
        </w:numPr>
        <w:spacing w:after="140" w:line="360" w:lineRule="auto"/>
        <w:rPr>
          <w:rFonts w:eastAsiaTheme="minorEastAsia"/>
          <w:color w:val="000000" w:themeColor="text1"/>
          <w:sz w:val="24"/>
          <w:szCs w:val="24"/>
          <w:lang w:val="en-US"/>
        </w:rPr>
      </w:pPr>
      <w:r w:rsidRPr="6ABDEB84">
        <w:rPr>
          <w:rFonts w:ascii="Calibri" w:hAnsi="Calibri" w:eastAsia="Calibri" w:cs="Calibri"/>
          <w:color w:val="000000" w:themeColor="text1"/>
          <w:sz w:val="24"/>
          <w:szCs w:val="24"/>
          <w:lang w:val="en-US"/>
        </w:rPr>
        <w:t>Norman Fixel Center for Neurological Disorders, College of Medicine, University of Florida, Gainesville, FL 32611, USA.</w:t>
      </w:r>
    </w:p>
    <w:p w:rsidRPr="00FA52CA" w:rsidR="00FC12CC" w:rsidP="6ABDEB84" w:rsidRDefault="6ABDEB84" w14:paraId="55E5C029" w14:textId="1A964D35">
      <w:pPr>
        <w:pStyle w:val="Paragraphedeliste"/>
        <w:numPr>
          <w:ilvl w:val="0"/>
          <w:numId w:val="2"/>
        </w:numPr>
        <w:spacing w:after="140" w:line="360" w:lineRule="auto"/>
        <w:rPr>
          <w:rFonts w:eastAsiaTheme="minorEastAsia"/>
          <w:color w:val="212121"/>
          <w:sz w:val="24"/>
          <w:szCs w:val="24"/>
          <w:lang w:val="en-US"/>
        </w:rPr>
      </w:pPr>
      <w:r w:rsidRPr="6ABDEB84">
        <w:rPr>
          <w:rFonts w:ascii="Calibri" w:hAnsi="Calibri" w:eastAsia="Calibri" w:cs="Calibri"/>
          <w:color w:val="212121"/>
          <w:sz w:val="24"/>
          <w:szCs w:val="24"/>
          <w:lang w:val="en-US"/>
        </w:rPr>
        <w:t>Michigan State University, East Lansing, MI, USA.</w:t>
      </w:r>
    </w:p>
    <w:p w:rsidRPr="00FA52CA" w:rsidR="00FC12CC" w:rsidP="6ABDEB84" w:rsidRDefault="6ABDEB84" w14:paraId="76B0D0BC" w14:textId="01AEE1C4">
      <w:pPr>
        <w:pStyle w:val="Paragraphedeliste"/>
        <w:numPr>
          <w:ilvl w:val="0"/>
          <w:numId w:val="2"/>
        </w:numPr>
        <w:spacing w:after="140" w:line="360" w:lineRule="auto"/>
        <w:rPr>
          <w:rFonts w:eastAsiaTheme="minorEastAsia"/>
          <w:color w:val="000000" w:themeColor="text1"/>
          <w:sz w:val="24"/>
          <w:szCs w:val="24"/>
          <w:lang w:val="en-US"/>
        </w:rPr>
      </w:pPr>
      <w:r w:rsidRPr="6ABDEB84">
        <w:rPr>
          <w:rFonts w:ascii="Calibri" w:hAnsi="Calibri" w:eastAsia="Calibri" w:cs="Calibri"/>
          <w:color w:val="000000" w:themeColor="text1"/>
          <w:sz w:val="24"/>
          <w:szCs w:val="24"/>
          <w:lang w:val="en-US"/>
        </w:rPr>
        <w:t>Department of Neurology, University of Michigan, Ann Arbor, MI, USA.</w:t>
      </w:r>
    </w:p>
    <w:p w:rsidRPr="00FA52CA" w:rsidR="00FC12CC" w:rsidP="6ABDEB84" w:rsidRDefault="6ABDEB84" w14:paraId="765F6F6E" w14:textId="478142F9">
      <w:pPr>
        <w:pStyle w:val="Paragraphedeliste"/>
        <w:numPr>
          <w:ilvl w:val="0"/>
          <w:numId w:val="2"/>
        </w:numPr>
        <w:spacing w:after="140" w:line="360" w:lineRule="auto"/>
        <w:rPr>
          <w:rFonts w:eastAsiaTheme="minorEastAsia"/>
          <w:color w:val="212121"/>
          <w:sz w:val="24"/>
          <w:szCs w:val="24"/>
          <w:lang w:val="en-US"/>
        </w:rPr>
      </w:pPr>
      <w:r w:rsidRPr="6ABDEB84">
        <w:rPr>
          <w:rFonts w:ascii="Calibri" w:hAnsi="Calibri" w:eastAsia="Calibri" w:cs="Calibri"/>
          <w:color w:val="212121"/>
          <w:sz w:val="24"/>
          <w:szCs w:val="24"/>
          <w:lang w:val="en-US"/>
        </w:rPr>
        <w:t>Center for Magnetic Resonance Research, Department of Radiology, University of Minnesota, Minneapolis, MN, USA.</w:t>
      </w:r>
    </w:p>
    <w:p w:rsidRPr="00FA52CA" w:rsidR="00FC12CC" w:rsidP="6ABDEB84" w:rsidRDefault="00FC12CC" w14:paraId="3BFEFB25" w14:textId="5C712025">
      <w:pPr>
        <w:rPr>
          <w:lang w:val="en-US"/>
        </w:rPr>
      </w:pPr>
    </w:p>
    <w:p w:rsidR="00522754" w:rsidP="001F668A" w:rsidRDefault="00BA2FC4" w14:paraId="3F7F2186" w14:textId="2CBA3B77">
      <w:pPr>
        <w:pStyle w:val="NormalWeb"/>
        <w:shd w:val="clear" w:color="auto" w:fill="FFFFFF"/>
        <w:rPr>
          <w:color w:val="000000" w:themeColor="text1"/>
          <w:lang w:val="en-US"/>
        </w:rPr>
      </w:pPr>
      <w:bookmarkStart w:name="_GoBack" w:id="0"/>
      <w:r w:rsidRPr="00BA2FC4">
        <w:rPr>
          <w:rFonts w:ascii="Open Sans" w:hAnsi="Open Sans" w:cs="Open Sans"/>
          <w:color w:val="505050"/>
          <w:sz w:val="20"/>
          <w:szCs w:val="20"/>
          <w:lang w:val="en-US"/>
        </w:rPr>
        <w:t>Background and Objective</w:t>
      </w:r>
      <w:r w:rsidR="001F668A">
        <w:rPr>
          <w:rFonts w:ascii="Open Sans" w:hAnsi="Open Sans" w:cs="Open Sans"/>
          <w:color w:val="505050"/>
          <w:sz w:val="20"/>
          <w:szCs w:val="20"/>
          <w:lang w:val="en-US"/>
        </w:rPr>
        <w:t xml:space="preserve">: </w:t>
      </w:r>
      <w:r w:rsidRPr="27C8E574" w:rsidR="6ABDEB84">
        <w:rPr>
          <w:color w:val="000000" w:themeColor="text1"/>
          <w:lang w:val="en-US"/>
        </w:rPr>
        <w:t xml:space="preserve">READISCA is a prospective, longitudinal observational study of spinocerebellar ataxias type 1 and 3 to provide essential markers for therapeutic interventions. </w:t>
      </w:r>
      <w:r w:rsidRPr="6ABDEB84" w:rsidR="00522754">
        <w:rPr>
          <w:color w:val="000000" w:themeColor="text1"/>
          <w:lang w:val="en-US"/>
        </w:rPr>
        <w:t>We assessed clinical outcome assessment, imaging and blood biomarker scores during pre</w:t>
      </w:r>
      <w:r w:rsidR="007B7700">
        <w:rPr>
          <w:color w:val="000000" w:themeColor="text1"/>
          <w:lang w:val="en-US"/>
        </w:rPr>
        <w:t xml:space="preserve">ataxic and early ataxic stages </w:t>
      </w:r>
      <w:r w:rsidRPr="6ABDEB84" w:rsidR="00522754">
        <w:rPr>
          <w:color w:val="000000" w:themeColor="text1"/>
          <w:lang w:val="en-US"/>
        </w:rPr>
        <w:t xml:space="preserve">in SCA1 or SCA3 mutation carriers and matched controls. </w:t>
      </w:r>
    </w:p>
    <w:p w:rsidRPr="00FA52CA" w:rsidR="6ABDEB84" w:rsidP="00522754" w:rsidRDefault="00BA2FC4" w14:paraId="5E5A0F01" w14:textId="427E68CB">
      <w:pPr>
        <w:spacing w:line="360" w:lineRule="auto"/>
        <w:rPr>
          <w:rFonts w:ascii="Times New Roman" w:hAnsi="Times New Roman" w:eastAsia="Times New Roman" w:cs="Times New Roman"/>
          <w:color w:val="000000" w:themeColor="text1"/>
          <w:sz w:val="24"/>
          <w:szCs w:val="24"/>
          <w:lang w:val="en-US"/>
        </w:rPr>
      </w:pPr>
      <w:r w:rsidRPr="00BA2FC4">
        <w:rPr>
          <w:rFonts w:ascii="Open Sans" w:hAnsi="Open Sans" w:cs="Open Sans"/>
          <w:color w:val="505050"/>
          <w:sz w:val="20"/>
          <w:szCs w:val="20"/>
          <w:lang w:val="en-US"/>
        </w:rPr>
        <w:lastRenderedPageBreak/>
        <w:t>Methods</w:t>
      </w:r>
      <w:r>
        <w:rPr>
          <w:rFonts w:ascii="Times New Roman" w:hAnsi="Times New Roman" w:eastAsia="Times New Roman" w:cs="Times New Roman"/>
          <w:color w:val="000000" w:themeColor="text1"/>
          <w:sz w:val="24"/>
          <w:szCs w:val="24"/>
          <w:lang w:val="en-US"/>
        </w:rPr>
        <w:t xml:space="preserve">: </w:t>
      </w:r>
      <w:r w:rsidRPr="27C8E574" w:rsidR="6ABDEB84">
        <w:rPr>
          <w:rFonts w:ascii="Times New Roman" w:hAnsi="Times New Roman" w:eastAsia="Times New Roman" w:cs="Times New Roman"/>
          <w:color w:val="000000" w:themeColor="text1"/>
          <w:sz w:val="24"/>
          <w:szCs w:val="24"/>
          <w:lang w:val="en-US"/>
        </w:rPr>
        <w:t xml:space="preserve">We enrolled 200 participants from 18 US and two European ataxia referral centers. READISCA uses a large battery of clinical, cognitive, quantitative motor, neuropsychological measures and plasma neurofilament light chain (NfL) measurements. We calculated estimated time from onset as the difference between the age at the baseline visit and the </w:t>
      </w:r>
      <w:r w:rsidR="00E81BC2">
        <w:rPr>
          <w:rFonts w:ascii="Times New Roman" w:hAnsi="Times New Roman" w:eastAsia="Times New Roman" w:cs="Times New Roman"/>
          <w:color w:val="000000" w:themeColor="text1"/>
          <w:sz w:val="24"/>
          <w:szCs w:val="24"/>
          <w:lang w:val="en-US"/>
        </w:rPr>
        <w:t>predicted age at ataxia onset.</w:t>
      </w:r>
    </w:p>
    <w:p w:rsidRPr="00FA52CA" w:rsidR="6ABDEB84" w:rsidP="27C8E574" w:rsidRDefault="00152F40" w14:paraId="3AF537D0" w14:textId="0E62EC99">
      <w:pPr>
        <w:spacing w:before="120" w:line="360" w:lineRule="auto"/>
        <w:jc w:val="both"/>
        <w:rPr>
          <w:rFonts w:ascii="Times New Roman" w:hAnsi="Times New Roman" w:eastAsia="Times New Roman" w:cs="Times New Roman"/>
          <w:color w:val="000000" w:themeColor="text1"/>
          <w:sz w:val="24"/>
          <w:szCs w:val="24"/>
          <w:lang w:val="en-US"/>
        </w:rPr>
      </w:pPr>
      <w:r w:rsidRPr="00BA2FC4">
        <w:rPr>
          <w:rFonts w:ascii="Open Sans" w:hAnsi="Open Sans" w:cs="Open Sans"/>
          <w:color w:val="505050"/>
          <w:sz w:val="20"/>
          <w:szCs w:val="20"/>
          <w:lang w:val="en-US"/>
        </w:rPr>
        <w:t>Results</w:t>
      </w:r>
      <w:r>
        <w:rPr>
          <w:rFonts w:ascii="Times New Roman" w:hAnsi="Times New Roman" w:eastAsia="Times New Roman" w:cs="Times New Roman"/>
          <w:color w:val="000000" w:themeColor="text1"/>
          <w:sz w:val="24"/>
          <w:szCs w:val="24"/>
          <w:lang w:val="en-US"/>
        </w:rPr>
        <w:t xml:space="preserve">: </w:t>
      </w:r>
      <w:r w:rsidRPr="27C8E574" w:rsidR="6ABDEB84">
        <w:rPr>
          <w:rFonts w:ascii="Times New Roman" w:hAnsi="Times New Roman" w:eastAsia="Times New Roman" w:cs="Times New Roman"/>
          <w:color w:val="000000" w:themeColor="text1"/>
          <w:sz w:val="24"/>
          <w:szCs w:val="24"/>
          <w:lang w:val="en-US"/>
        </w:rPr>
        <w:t xml:space="preserve">There were 45 carriers of a pathological </w:t>
      </w:r>
      <w:r w:rsidRPr="27C8E574" w:rsidR="6ABDEB84">
        <w:rPr>
          <w:rFonts w:ascii="Times New Roman" w:hAnsi="Times New Roman" w:eastAsia="Times New Roman" w:cs="Times New Roman"/>
          <w:i/>
          <w:iCs/>
          <w:color w:val="000000" w:themeColor="text1"/>
          <w:sz w:val="24"/>
          <w:szCs w:val="24"/>
          <w:lang w:val="en-US"/>
        </w:rPr>
        <w:t>ATXN1</w:t>
      </w:r>
      <w:r w:rsidRPr="27C8E574" w:rsidR="6ABDEB84">
        <w:rPr>
          <w:rFonts w:ascii="Times New Roman" w:hAnsi="Times New Roman" w:eastAsia="Times New Roman" w:cs="Times New Roman"/>
          <w:color w:val="000000" w:themeColor="text1"/>
          <w:sz w:val="24"/>
          <w:szCs w:val="24"/>
          <w:lang w:val="en-US"/>
        </w:rPr>
        <w:t xml:space="preserve"> expansion including 31 ataxic subjects (median SARA</w:t>
      </w:r>
      <w:r w:rsidR="002D0B95">
        <w:rPr>
          <w:rFonts w:ascii="Times New Roman" w:hAnsi="Times New Roman" w:eastAsia="Times New Roman" w:cs="Times New Roman"/>
          <w:color w:val="000000" w:themeColor="text1"/>
          <w:sz w:val="24"/>
          <w:szCs w:val="24"/>
          <w:lang w:val="en-US"/>
        </w:rPr>
        <w:t>:</w:t>
      </w:r>
      <w:r w:rsidRPr="27C8E574" w:rsidR="6ABDEB84">
        <w:rPr>
          <w:rFonts w:ascii="Times New Roman" w:hAnsi="Times New Roman" w:eastAsia="Times New Roman" w:cs="Times New Roman"/>
          <w:color w:val="000000" w:themeColor="text1"/>
          <w:sz w:val="24"/>
          <w:szCs w:val="24"/>
          <w:lang w:val="en-US"/>
        </w:rPr>
        <w:t xml:space="preserve"> </w:t>
      </w:r>
      <w:r w:rsidR="00E81BC2">
        <w:rPr>
          <w:rFonts w:ascii="Times New Roman" w:hAnsi="Times New Roman" w:eastAsia="Times New Roman" w:cs="Times New Roman"/>
          <w:color w:val="000000" w:themeColor="text1"/>
          <w:sz w:val="24"/>
          <w:szCs w:val="24"/>
          <w:lang w:val="en-US"/>
        </w:rPr>
        <w:t>9 [7;</w:t>
      </w:r>
      <w:r w:rsidRPr="27C8E574" w:rsidR="6ABDEB84">
        <w:rPr>
          <w:rFonts w:ascii="Times New Roman" w:hAnsi="Times New Roman" w:eastAsia="Times New Roman" w:cs="Times New Roman"/>
          <w:color w:val="000000" w:themeColor="text1"/>
          <w:sz w:val="24"/>
          <w:szCs w:val="24"/>
          <w:lang w:val="en-US"/>
        </w:rPr>
        <w:t>10]) and 14 preataxi</w:t>
      </w:r>
      <w:r w:rsidR="00E81BC2">
        <w:rPr>
          <w:rFonts w:ascii="Times New Roman" w:hAnsi="Times New Roman" w:eastAsia="Times New Roman" w:cs="Times New Roman"/>
          <w:color w:val="000000" w:themeColor="text1"/>
          <w:sz w:val="24"/>
          <w:szCs w:val="24"/>
          <w:lang w:val="en-US"/>
        </w:rPr>
        <w:t>c individuals (1 [0;</w:t>
      </w:r>
      <w:r w:rsidRPr="27C8E574" w:rsidR="6ABDEB84">
        <w:rPr>
          <w:rFonts w:ascii="Times New Roman" w:hAnsi="Times New Roman" w:eastAsia="Times New Roman" w:cs="Times New Roman"/>
          <w:color w:val="000000" w:themeColor="text1"/>
          <w:sz w:val="24"/>
          <w:szCs w:val="24"/>
          <w:lang w:val="en-US"/>
        </w:rPr>
        <w:t xml:space="preserve">2]); 116 carriers of a pathological </w:t>
      </w:r>
      <w:r w:rsidRPr="27C8E574" w:rsidR="6ABDEB84">
        <w:rPr>
          <w:rFonts w:ascii="Times New Roman" w:hAnsi="Times New Roman" w:eastAsia="Times New Roman" w:cs="Times New Roman"/>
          <w:i/>
          <w:iCs/>
          <w:color w:val="000000" w:themeColor="text1"/>
          <w:sz w:val="24"/>
          <w:szCs w:val="24"/>
          <w:lang w:val="en-US"/>
        </w:rPr>
        <w:t>ATXN3</w:t>
      </w:r>
      <w:r w:rsidRPr="27C8E574" w:rsidR="6ABDEB84">
        <w:rPr>
          <w:rFonts w:ascii="Times New Roman" w:hAnsi="Times New Roman" w:eastAsia="Times New Roman" w:cs="Times New Roman"/>
          <w:color w:val="000000" w:themeColor="text1"/>
          <w:sz w:val="24"/>
          <w:szCs w:val="24"/>
          <w:lang w:val="en-US"/>
        </w:rPr>
        <w:t xml:space="preserve"> expansion, incl</w:t>
      </w:r>
      <w:r w:rsidR="00E81BC2">
        <w:rPr>
          <w:rFonts w:ascii="Times New Roman" w:hAnsi="Times New Roman" w:eastAsia="Times New Roman" w:cs="Times New Roman"/>
          <w:color w:val="000000" w:themeColor="text1"/>
          <w:sz w:val="24"/>
          <w:szCs w:val="24"/>
          <w:lang w:val="en-US"/>
        </w:rPr>
        <w:t>uding 80 ataxic subjects (7 [6;</w:t>
      </w:r>
      <w:r w:rsidRPr="27C8E574" w:rsidR="6ABDEB84">
        <w:rPr>
          <w:rFonts w:ascii="Times New Roman" w:hAnsi="Times New Roman" w:eastAsia="Times New Roman" w:cs="Times New Roman"/>
          <w:color w:val="000000" w:themeColor="text1"/>
          <w:sz w:val="24"/>
          <w:szCs w:val="24"/>
          <w:lang w:val="en-US"/>
        </w:rPr>
        <w:t xml:space="preserve">9]) and </w:t>
      </w:r>
      <w:r w:rsidR="00E81BC2">
        <w:rPr>
          <w:rFonts w:ascii="Times New Roman" w:hAnsi="Times New Roman" w:eastAsia="Times New Roman" w:cs="Times New Roman"/>
          <w:color w:val="000000" w:themeColor="text1"/>
          <w:sz w:val="24"/>
          <w:szCs w:val="24"/>
          <w:lang w:val="en-US"/>
        </w:rPr>
        <w:t>36 preataxic individuals (1 [0;</w:t>
      </w:r>
      <w:r w:rsidRPr="27C8E574" w:rsidR="6ABDEB84">
        <w:rPr>
          <w:rFonts w:ascii="Times New Roman" w:hAnsi="Times New Roman" w:eastAsia="Times New Roman" w:cs="Times New Roman"/>
          <w:color w:val="000000" w:themeColor="text1"/>
          <w:sz w:val="24"/>
          <w:szCs w:val="24"/>
          <w:lang w:val="en-US"/>
        </w:rPr>
        <w:t xml:space="preserve">2]). </w:t>
      </w:r>
      <w:r w:rsidR="00BE6CC5">
        <w:rPr>
          <w:rFonts w:ascii="Times New Roman" w:hAnsi="Times New Roman" w:eastAsia="Times New Roman" w:cs="Times New Roman"/>
          <w:color w:val="000000" w:themeColor="text1"/>
          <w:sz w:val="24"/>
          <w:szCs w:val="24"/>
          <w:lang w:val="en-US"/>
        </w:rPr>
        <w:t>In addition</w:t>
      </w:r>
      <w:r w:rsidR="00920472">
        <w:rPr>
          <w:rFonts w:ascii="Times New Roman" w:hAnsi="Times New Roman" w:eastAsia="Times New Roman" w:cs="Times New Roman"/>
          <w:color w:val="000000" w:themeColor="text1"/>
          <w:sz w:val="24"/>
          <w:szCs w:val="24"/>
          <w:lang w:val="en-US"/>
        </w:rPr>
        <w:t>,</w:t>
      </w:r>
      <w:r w:rsidR="00BE6CC5">
        <w:rPr>
          <w:rFonts w:ascii="Times New Roman" w:hAnsi="Times New Roman" w:eastAsia="Times New Roman" w:cs="Times New Roman"/>
          <w:color w:val="000000" w:themeColor="text1"/>
          <w:sz w:val="24"/>
          <w:szCs w:val="24"/>
          <w:lang w:val="en-US"/>
        </w:rPr>
        <w:t xml:space="preserve"> we enrolled 39 controls.</w:t>
      </w:r>
      <w:r w:rsidR="00920472">
        <w:rPr>
          <w:rFonts w:ascii="Times New Roman" w:hAnsi="Times New Roman" w:eastAsia="Times New Roman" w:cs="Times New Roman"/>
          <w:color w:val="000000" w:themeColor="text1"/>
          <w:sz w:val="24"/>
          <w:szCs w:val="24"/>
          <w:lang w:val="en-US"/>
        </w:rPr>
        <w:t xml:space="preserve"> </w:t>
      </w:r>
      <w:r w:rsidRPr="27C8E574" w:rsidR="6ABDEB84">
        <w:rPr>
          <w:rFonts w:ascii="Times New Roman" w:hAnsi="Times New Roman" w:eastAsia="Times New Roman" w:cs="Times New Roman"/>
          <w:color w:val="000000" w:themeColor="text1"/>
          <w:sz w:val="24"/>
          <w:szCs w:val="24"/>
          <w:lang w:val="en-US"/>
        </w:rPr>
        <w:t xml:space="preserve">Plasma NfL levels were significantly higher in preataxic individuals than controls, despite similar mean age </w:t>
      </w:r>
      <w:r w:rsidR="00CB633F">
        <w:rPr>
          <w:rFonts w:ascii="Times New Roman" w:hAnsi="Times New Roman" w:eastAsia="Times New Roman" w:cs="Times New Roman"/>
          <w:color w:val="000000" w:themeColor="text1"/>
          <w:sz w:val="24"/>
          <w:szCs w:val="24"/>
          <w:lang w:val="en-US"/>
        </w:rPr>
        <w:t>(</w:t>
      </w:r>
      <w:r w:rsidRPr="27C8E574" w:rsidR="00CB633F">
        <w:rPr>
          <w:rFonts w:ascii="Times New Roman" w:hAnsi="Times New Roman" w:eastAsia="Times New Roman" w:cs="Times New Roman"/>
          <w:color w:val="000000" w:themeColor="text1"/>
          <w:sz w:val="24"/>
          <w:szCs w:val="24"/>
          <w:lang w:val="en-US"/>
        </w:rPr>
        <w:t>controls</w:t>
      </w:r>
      <w:r w:rsidR="00CB633F">
        <w:rPr>
          <w:rFonts w:ascii="Times New Roman" w:hAnsi="Times New Roman" w:eastAsia="Times New Roman" w:cs="Times New Roman"/>
          <w:color w:val="000000" w:themeColor="text1"/>
          <w:sz w:val="24"/>
          <w:szCs w:val="24"/>
          <w:lang w:val="en-US"/>
        </w:rPr>
        <w:t>:</w:t>
      </w:r>
      <w:r w:rsidRPr="27C8E574" w:rsidR="00CB633F">
        <w:rPr>
          <w:rFonts w:ascii="Times New Roman" w:hAnsi="Times New Roman" w:eastAsia="Times New Roman" w:cs="Times New Roman"/>
          <w:color w:val="000000" w:themeColor="text1"/>
          <w:sz w:val="24"/>
          <w:szCs w:val="24"/>
          <w:lang w:val="en-US"/>
        </w:rPr>
        <w:t xml:space="preserve"> </w:t>
      </w:r>
      <w:r w:rsidRPr="27C8E574" w:rsidR="6ABDEB84">
        <w:rPr>
          <w:rFonts w:ascii="Times New Roman" w:hAnsi="Times New Roman" w:eastAsia="Times New Roman" w:cs="Times New Roman"/>
          <w:color w:val="000000" w:themeColor="text1"/>
          <w:sz w:val="24"/>
          <w:szCs w:val="24"/>
          <w:lang w:val="en-US"/>
        </w:rPr>
        <w:t>5.7 pg/mL</w:t>
      </w:r>
      <w:r w:rsidR="00CB633F">
        <w:rPr>
          <w:rFonts w:ascii="Times New Roman" w:hAnsi="Times New Roman" w:eastAsia="Times New Roman" w:cs="Times New Roman"/>
          <w:color w:val="000000" w:themeColor="text1"/>
          <w:sz w:val="24"/>
          <w:szCs w:val="24"/>
          <w:lang w:val="en-US"/>
        </w:rPr>
        <w:t>,</w:t>
      </w:r>
      <w:r w:rsidRPr="00CB633F" w:rsidR="00CB633F">
        <w:rPr>
          <w:rFonts w:ascii="Times New Roman" w:hAnsi="Times New Roman" w:eastAsia="Times New Roman" w:cs="Times New Roman"/>
          <w:color w:val="000000" w:themeColor="text1"/>
          <w:sz w:val="24"/>
          <w:szCs w:val="24"/>
          <w:lang w:val="en-US"/>
        </w:rPr>
        <w:t xml:space="preserve"> </w:t>
      </w:r>
      <w:r w:rsidR="00CB633F">
        <w:rPr>
          <w:rFonts w:ascii="Times New Roman" w:hAnsi="Times New Roman" w:eastAsia="Times New Roman" w:cs="Times New Roman"/>
          <w:color w:val="000000" w:themeColor="text1"/>
          <w:sz w:val="24"/>
          <w:szCs w:val="24"/>
          <w:lang w:val="en-US"/>
        </w:rPr>
        <w:t>SCA1</w:t>
      </w:r>
      <w:r w:rsidR="00CB633F">
        <w:rPr>
          <w:rFonts w:ascii="Times New Roman" w:hAnsi="Times New Roman" w:eastAsia="Times New Roman" w:cs="Times New Roman"/>
          <w:color w:val="000000" w:themeColor="text1"/>
          <w:sz w:val="24"/>
          <w:szCs w:val="24"/>
          <w:lang w:val="en-US"/>
        </w:rPr>
        <w:t>:</w:t>
      </w:r>
      <w:r w:rsidR="00E90121">
        <w:rPr>
          <w:rFonts w:ascii="Times New Roman" w:hAnsi="Times New Roman" w:eastAsia="Times New Roman" w:cs="Times New Roman"/>
          <w:color w:val="000000" w:themeColor="text1"/>
          <w:sz w:val="24"/>
          <w:szCs w:val="24"/>
          <w:lang w:val="en-US"/>
        </w:rPr>
        <w:t xml:space="preserve"> 18.0 pg/mL (P &lt;</w:t>
      </w:r>
      <w:r w:rsidRPr="27C8E574" w:rsidR="6ABDEB84">
        <w:rPr>
          <w:rFonts w:ascii="Times New Roman" w:hAnsi="Times New Roman" w:eastAsia="Times New Roman" w:cs="Times New Roman"/>
          <w:color w:val="000000" w:themeColor="text1"/>
          <w:sz w:val="24"/>
          <w:szCs w:val="24"/>
          <w:lang w:val="en-US"/>
        </w:rPr>
        <w:t>0.00</w:t>
      </w:r>
      <w:r w:rsidR="00E90121">
        <w:rPr>
          <w:rFonts w:ascii="Times New Roman" w:hAnsi="Times New Roman" w:eastAsia="Times New Roman" w:cs="Times New Roman"/>
          <w:color w:val="000000" w:themeColor="text1"/>
          <w:sz w:val="24"/>
          <w:szCs w:val="24"/>
          <w:lang w:val="en-US"/>
        </w:rPr>
        <w:t>01)</w:t>
      </w:r>
      <w:r w:rsidR="00CB633F">
        <w:rPr>
          <w:rFonts w:ascii="Times New Roman" w:hAnsi="Times New Roman" w:eastAsia="Times New Roman" w:cs="Times New Roman"/>
          <w:color w:val="000000" w:themeColor="text1"/>
          <w:sz w:val="24"/>
          <w:szCs w:val="24"/>
          <w:lang w:val="en-US"/>
        </w:rPr>
        <w:t>,</w:t>
      </w:r>
      <w:r w:rsidR="00E90121">
        <w:rPr>
          <w:rFonts w:ascii="Times New Roman" w:hAnsi="Times New Roman" w:eastAsia="Times New Roman" w:cs="Times New Roman"/>
          <w:color w:val="000000" w:themeColor="text1"/>
          <w:sz w:val="24"/>
          <w:szCs w:val="24"/>
          <w:lang w:val="en-US"/>
        </w:rPr>
        <w:t xml:space="preserve"> </w:t>
      </w:r>
      <w:r w:rsidR="00CB633F">
        <w:rPr>
          <w:rFonts w:ascii="Times New Roman" w:hAnsi="Times New Roman" w:eastAsia="Times New Roman" w:cs="Times New Roman"/>
          <w:color w:val="000000" w:themeColor="text1"/>
          <w:sz w:val="24"/>
          <w:szCs w:val="24"/>
          <w:lang w:val="en-US"/>
        </w:rPr>
        <w:t>SCA3</w:t>
      </w:r>
      <w:r w:rsidR="00CB633F">
        <w:rPr>
          <w:rFonts w:ascii="Times New Roman" w:hAnsi="Times New Roman" w:eastAsia="Times New Roman" w:cs="Times New Roman"/>
          <w:color w:val="000000" w:themeColor="text1"/>
          <w:sz w:val="24"/>
          <w:szCs w:val="24"/>
          <w:lang w:val="en-US"/>
        </w:rPr>
        <w:t>:</w:t>
      </w:r>
      <w:r w:rsidR="00CB633F">
        <w:rPr>
          <w:rFonts w:ascii="Times New Roman" w:hAnsi="Times New Roman" w:eastAsia="Times New Roman" w:cs="Times New Roman"/>
          <w:color w:val="000000" w:themeColor="text1"/>
          <w:sz w:val="24"/>
          <w:szCs w:val="24"/>
          <w:lang w:val="en-US"/>
        </w:rPr>
        <w:t xml:space="preserve"> </w:t>
      </w:r>
      <w:r w:rsidR="00E90121">
        <w:rPr>
          <w:rFonts w:ascii="Times New Roman" w:hAnsi="Times New Roman" w:eastAsia="Times New Roman" w:cs="Times New Roman"/>
          <w:color w:val="000000" w:themeColor="text1"/>
          <w:sz w:val="24"/>
          <w:szCs w:val="24"/>
          <w:lang w:val="en-US"/>
        </w:rPr>
        <w:t>19.8 pg/mL (P&lt;</w:t>
      </w:r>
      <w:r w:rsidRPr="27C8E574" w:rsidR="6ABDEB84">
        <w:rPr>
          <w:rFonts w:ascii="Times New Roman" w:hAnsi="Times New Roman" w:eastAsia="Times New Roman" w:cs="Times New Roman"/>
          <w:color w:val="000000" w:themeColor="text1"/>
          <w:sz w:val="24"/>
          <w:szCs w:val="24"/>
          <w:lang w:val="en-US"/>
        </w:rPr>
        <w:t>0.0001). Preataxic individuals differed from controls by significantly</w:t>
      </w:r>
      <w:r w:rsidR="00E90121">
        <w:rPr>
          <w:rFonts w:ascii="Times New Roman" w:hAnsi="Times New Roman" w:eastAsia="Times New Roman" w:cs="Times New Roman"/>
          <w:color w:val="000000" w:themeColor="text1"/>
          <w:sz w:val="24"/>
          <w:szCs w:val="24"/>
          <w:lang w:val="en-US"/>
        </w:rPr>
        <w:t xml:space="preserve"> more upper motor signs (SCA1 P</w:t>
      </w:r>
      <w:r w:rsidRPr="27C8E574" w:rsidR="6ABDEB84">
        <w:rPr>
          <w:rFonts w:ascii="Times New Roman" w:hAnsi="Times New Roman" w:eastAsia="Times New Roman" w:cs="Times New Roman"/>
          <w:color w:val="000000" w:themeColor="text1"/>
          <w:sz w:val="24"/>
          <w:szCs w:val="24"/>
          <w:lang w:val="en-US"/>
        </w:rPr>
        <w:t>=</w:t>
      </w:r>
      <w:r w:rsidR="00E90121">
        <w:rPr>
          <w:rFonts w:ascii="Times New Roman" w:hAnsi="Times New Roman" w:eastAsia="Times New Roman" w:cs="Times New Roman"/>
          <w:color w:val="000000" w:themeColor="text1"/>
          <w:sz w:val="24"/>
          <w:szCs w:val="24"/>
          <w:lang w:val="en-US"/>
        </w:rPr>
        <w:t>0.0003, SCA3 P=</w:t>
      </w:r>
      <w:r w:rsidRPr="27C8E574" w:rsidR="6ABDEB84">
        <w:rPr>
          <w:rFonts w:ascii="Times New Roman" w:hAnsi="Times New Roman" w:eastAsia="Times New Roman" w:cs="Times New Roman"/>
          <w:color w:val="000000" w:themeColor="text1"/>
          <w:sz w:val="24"/>
          <w:szCs w:val="24"/>
          <w:lang w:val="en-US"/>
        </w:rPr>
        <w:t>0.003) and by the presence of sensor impai</w:t>
      </w:r>
      <w:r w:rsidR="00E90121">
        <w:rPr>
          <w:rFonts w:ascii="Times New Roman" w:hAnsi="Times New Roman" w:eastAsia="Times New Roman" w:cs="Times New Roman"/>
          <w:color w:val="000000" w:themeColor="text1"/>
          <w:sz w:val="24"/>
          <w:szCs w:val="24"/>
          <w:lang w:val="en-US"/>
        </w:rPr>
        <w:t>rment and diplopia in SCA3 (P=</w:t>
      </w:r>
      <w:r w:rsidRPr="27C8E574" w:rsidR="6ABDEB84">
        <w:rPr>
          <w:rFonts w:ascii="Times New Roman" w:hAnsi="Times New Roman" w:eastAsia="Times New Roman" w:cs="Times New Roman"/>
          <w:color w:val="000000" w:themeColor="text1"/>
          <w:sz w:val="24"/>
          <w:szCs w:val="24"/>
          <w:lang w:val="en-US"/>
        </w:rPr>
        <w:t xml:space="preserve">0.0448, and 0.0445 respectively). </w:t>
      </w:r>
      <w:r w:rsidR="005C5960">
        <w:rPr>
          <w:rFonts w:ascii="Times New Roman" w:hAnsi="Times New Roman" w:eastAsia="Times New Roman" w:cs="Times New Roman"/>
          <w:color w:val="000000" w:themeColor="text1"/>
          <w:sz w:val="24"/>
          <w:szCs w:val="24"/>
          <w:lang w:val="en-US"/>
        </w:rPr>
        <w:t>A</w:t>
      </w:r>
      <w:r w:rsidRPr="27C8E574" w:rsidR="6ABDEB84">
        <w:rPr>
          <w:rFonts w:ascii="Times New Roman" w:hAnsi="Times New Roman" w:eastAsia="Times New Roman" w:cs="Times New Roman"/>
          <w:color w:val="000000" w:themeColor="text1"/>
          <w:sz w:val="24"/>
          <w:szCs w:val="24"/>
          <w:lang w:val="en-US"/>
        </w:rPr>
        <w:t xml:space="preserve">taxic participants </w:t>
      </w:r>
      <w:r w:rsidR="005C5960">
        <w:rPr>
          <w:rFonts w:ascii="Times New Roman" w:hAnsi="Times New Roman" w:eastAsia="Times New Roman" w:cs="Times New Roman"/>
          <w:color w:val="000000" w:themeColor="text1"/>
          <w:sz w:val="24"/>
          <w:szCs w:val="24"/>
          <w:lang w:val="en-US"/>
        </w:rPr>
        <w:t>were worse</w:t>
      </w:r>
      <w:r w:rsidRPr="27C8E574" w:rsidR="005C5960">
        <w:rPr>
          <w:rFonts w:ascii="Times New Roman" w:hAnsi="Times New Roman" w:eastAsia="Times New Roman" w:cs="Times New Roman"/>
          <w:color w:val="000000" w:themeColor="text1"/>
          <w:sz w:val="24"/>
          <w:szCs w:val="24"/>
          <w:lang w:val="en-US"/>
        </w:rPr>
        <w:t xml:space="preserve"> </w:t>
      </w:r>
      <w:r w:rsidRPr="27C8E574" w:rsidR="6ABDEB84">
        <w:rPr>
          <w:rFonts w:ascii="Times New Roman" w:hAnsi="Times New Roman" w:eastAsia="Times New Roman" w:cs="Times New Roman"/>
          <w:color w:val="000000" w:themeColor="text1"/>
          <w:sz w:val="24"/>
          <w:szCs w:val="24"/>
          <w:lang w:val="en-US"/>
        </w:rPr>
        <w:t>than preataxic individuals</w:t>
      </w:r>
      <w:r w:rsidR="005C5960">
        <w:rPr>
          <w:rFonts w:ascii="Times New Roman" w:hAnsi="Times New Roman" w:eastAsia="Times New Roman" w:cs="Times New Roman"/>
          <w:color w:val="000000" w:themeColor="text1"/>
          <w:sz w:val="24"/>
          <w:szCs w:val="24"/>
          <w:lang w:val="en-US"/>
        </w:rPr>
        <w:t xml:space="preserve"> for most of the clinical outcomes</w:t>
      </w:r>
      <w:r w:rsidRPr="27C8E574" w:rsidR="6ABDEB84">
        <w:rPr>
          <w:rFonts w:ascii="Times New Roman" w:hAnsi="Times New Roman" w:eastAsia="Times New Roman" w:cs="Times New Roman"/>
          <w:color w:val="000000" w:themeColor="text1"/>
          <w:sz w:val="24"/>
          <w:szCs w:val="24"/>
          <w:lang w:val="en-US"/>
        </w:rPr>
        <w:t xml:space="preserve">. </w:t>
      </w:r>
    </w:p>
    <w:p w:rsidRPr="00FA52CA" w:rsidR="6ABDEB84" w:rsidP="27C8E574" w:rsidRDefault="00152F40" w14:paraId="4C607C89" w14:textId="565D1BBD">
      <w:pPr>
        <w:spacing w:before="120" w:line="360" w:lineRule="auto"/>
        <w:jc w:val="both"/>
        <w:rPr>
          <w:rFonts w:ascii="Times New Roman" w:hAnsi="Times New Roman" w:eastAsia="Times New Roman" w:cs="Times New Roman"/>
          <w:color w:val="000000" w:themeColor="text1"/>
          <w:sz w:val="24"/>
          <w:szCs w:val="24"/>
          <w:lang w:val="en-US"/>
        </w:rPr>
      </w:pPr>
      <w:r w:rsidRPr="00BA2FC4">
        <w:rPr>
          <w:rFonts w:ascii="Open Sans" w:hAnsi="Open Sans" w:cs="Open Sans"/>
          <w:color w:val="505050"/>
          <w:sz w:val="20"/>
          <w:szCs w:val="20"/>
          <w:lang w:val="en-US"/>
        </w:rPr>
        <w:t>Discussion and Conclusion</w:t>
      </w:r>
      <w:r>
        <w:rPr>
          <w:rFonts w:ascii="Times New Roman" w:hAnsi="Times New Roman" w:eastAsia="Times New Roman" w:cs="Times New Roman"/>
          <w:color w:val="000000" w:themeColor="text1"/>
          <w:sz w:val="24"/>
          <w:szCs w:val="24"/>
          <w:lang w:val="en-US"/>
        </w:rPr>
        <w:t xml:space="preserve">: </w:t>
      </w:r>
      <w:r w:rsidRPr="27C8E574" w:rsidR="6ABDEB84">
        <w:rPr>
          <w:rFonts w:ascii="Times New Roman" w:hAnsi="Times New Roman" w:eastAsia="Times New Roman" w:cs="Times New Roman"/>
          <w:color w:val="000000" w:themeColor="text1"/>
          <w:sz w:val="24"/>
          <w:szCs w:val="24"/>
          <w:lang w:val="en-US"/>
        </w:rPr>
        <w:t>READISCA showed the feasibility of harmonized data acquisition in a multi-national network of 200 baseline SCA1, SCA3 and control individuals. NfL alterations, early sensory ataxia and corticospinal signs were quantifiable between preataxic participants and controls. Ataxic patients differed in many parameters from controls and preataxic individuals, with a graded increase of abnormal measures from control to preataxic to ataxic cohorts.</w:t>
      </w:r>
    </w:p>
    <w:p w:rsidR="119BAA2A" w:rsidP="119BAA2A" w:rsidRDefault="119BAA2A" w14:paraId="3DC95BB5" w14:textId="387EDFEA">
      <w:pPr>
        <w:rPr>
          <w:rFonts w:ascii="Calibri" w:hAnsi="Calibri" w:eastAsia="Calibri" w:cs="Calibri"/>
          <w:color w:val="201F1E"/>
          <w:sz w:val="24"/>
          <w:szCs w:val="24"/>
        </w:rPr>
      </w:pPr>
      <w:r w:rsidRPr="119BAA2A">
        <w:rPr>
          <w:rFonts w:ascii="Calibri" w:hAnsi="Calibri" w:eastAsia="Calibri" w:cs="Calibri"/>
          <w:color w:val="201F1E"/>
          <w:sz w:val="24"/>
          <w:szCs w:val="24"/>
          <w:lang w:val="en-US"/>
        </w:rPr>
        <w:t>Acknowledgments: NIH</w:t>
      </w:r>
      <w:r w:rsidR="00B20AC4">
        <w:rPr>
          <w:rFonts w:ascii="Calibri" w:hAnsi="Calibri" w:eastAsia="Calibri" w:cs="Calibri"/>
          <w:color w:val="201F1E"/>
          <w:sz w:val="24"/>
          <w:szCs w:val="24"/>
          <w:lang w:val="en-US"/>
        </w:rPr>
        <w:t>-</w:t>
      </w:r>
      <w:r w:rsidRPr="119BAA2A">
        <w:rPr>
          <w:rFonts w:ascii="Calibri" w:hAnsi="Calibri" w:eastAsia="Calibri" w:cs="Calibri"/>
          <w:color w:val="201F1E"/>
          <w:sz w:val="24"/>
          <w:szCs w:val="24"/>
          <w:lang w:val="en-US"/>
        </w:rPr>
        <w:t>U01</w:t>
      </w:r>
      <w:r w:rsidR="00B20AC4">
        <w:rPr>
          <w:rFonts w:ascii="Calibri" w:hAnsi="Calibri" w:eastAsia="Calibri" w:cs="Calibri"/>
          <w:color w:val="201F1E"/>
          <w:sz w:val="24"/>
          <w:szCs w:val="24"/>
          <w:lang w:val="en-US"/>
        </w:rPr>
        <w:t>-</w:t>
      </w:r>
      <w:r w:rsidRPr="119BAA2A">
        <w:rPr>
          <w:rFonts w:ascii="Calibri" w:hAnsi="Calibri" w:eastAsia="Calibri" w:cs="Calibri"/>
          <w:color w:val="201F1E"/>
          <w:sz w:val="24"/>
          <w:szCs w:val="24"/>
          <w:lang w:val="en-US"/>
        </w:rPr>
        <w:t>NS104326</w:t>
      </w:r>
    </w:p>
    <w:bookmarkEnd w:id="0"/>
    <w:p w:rsidRPr="00FA52CA" w:rsidR="27C8E574" w:rsidP="27C8E574" w:rsidRDefault="27C8E574" w14:paraId="11D4C92F" w14:textId="7255C81F">
      <w:pPr>
        <w:rPr>
          <w:lang w:val="en-US"/>
        </w:rPr>
      </w:pPr>
    </w:p>
    <w:sectPr w:rsidRPr="00FA52CA" w:rsidR="27C8E574">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0B"/>
    <w:multiLevelType w:val="hybridMultilevel"/>
    <w:tmpl w:val="C6CAB62A"/>
    <w:lvl w:ilvl="0" w:tplc="DB84FF64">
      <w:start w:val="1"/>
      <w:numFmt w:val="decimal"/>
      <w:lvlText w:val="%1."/>
      <w:lvlJc w:val="left"/>
      <w:pPr>
        <w:ind w:left="720" w:hanging="360"/>
      </w:pPr>
    </w:lvl>
    <w:lvl w:ilvl="1" w:tplc="6568CE0E">
      <w:start w:val="1"/>
      <w:numFmt w:val="lowerLetter"/>
      <w:lvlText w:val="%2."/>
      <w:lvlJc w:val="left"/>
      <w:pPr>
        <w:ind w:left="1440" w:hanging="360"/>
      </w:pPr>
    </w:lvl>
    <w:lvl w:ilvl="2" w:tplc="6BB8EFA8">
      <w:start w:val="1"/>
      <w:numFmt w:val="lowerRoman"/>
      <w:lvlText w:val="%3."/>
      <w:lvlJc w:val="right"/>
      <w:pPr>
        <w:ind w:left="2160" w:hanging="180"/>
      </w:pPr>
    </w:lvl>
    <w:lvl w:ilvl="3" w:tplc="9CD8981E">
      <w:start w:val="1"/>
      <w:numFmt w:val="decimal"/>
      <w:lvlText w:val="%4."/>
      <w:lvlJc w:val="left"/>
      <w:pPr>
        <w:ind w:left="2880" w:hanging="360"/>
      </w:pPr>
    </w:lvl>
    <w:lvl w:ilvl="4" w:tplc="552C1034">
      <w:start w:val="1"/>
      <w:numFmt w:val="lowerLetter"/>
      <w:lvlText w:val="%5."/>
      <w:lvlJc w:val="left"/>
      <w:pPr>
        <w:ind w:left="3600" w:hanging="360"/>
      </w:pPr>
    </w:lvl>
    <w:lvl w:ilvl="5" w:tplc="DB144D8A">
      <w:start w:val="1"/>
      <w:numFmt w:val="lowerRoman"/>
      <w:lvlText w:val="%6."/>
      <w:lvlJc w:val="right"/>
      <w:pPr>
        <w:ind w:left="4320" w:hanging="180"/>
      </w:pPr>
    </w:lvl>
    <w:lvl w:ilvl="6" w:tplc="34DAF494">
      <w:start w:val="1"/>
      <w:numFmt w:val="decimal"/>
      <w:lvlText w:val="%7."/>
      <w:lvlJc w:val="left"/>
      <w:pPr>
        <w:ind w:left="5040" w:hanging="360"/>
      </w:pPr>
    </w:lvl>
    <w:lvl w:ilvl="7" w:tplc="557AC0B6">
      <w:start w:val="1"/>
      <w:numFmt w:val="lowerLetter"/>
      <w:lvlText w:val="%8."/>
      <w:lvlJc w:val="left"/>
      <w:pPr>
        <w:ind w:left="5760" w:hanging="360"/>
      </w:pPr>
    </w:lvl>
    <w:lvl w:ilvl="8" w:tplc="B9CC8104">
      <w:start w:val="1"/>
      <w:numFmt w:val="lowerRoman"/>
      <w:lvlText w:val="%9."/>
      <w:lvlJc w:val="right"/>
      <w:pPr>
        <w:ind w:left="6480" w:hanging="180"/>
      </w:pPr>
    </w:lvl>
  </w:abstractNum>
  <w:abstractNum w:abstractNumId="1" w15:restartNumberingAfterBreak="0">
    <w:nsid w:val="47472F2A"/>
    <w:multiLevelType w:val="hybridMultilevel"/>
    <w:tmpl w:val="379E36D4"/>
    <w:lvl w:ilvl="0" w:tplc="C0400A5A">
      <w:start w:val="1"/>
      <w:numFmt w:val="decimal"/>
      <w:lvlText w:val="%1."/>
      <w:lvlJc w:val="left"/>
      <w:pPr>
        <w:ind w:left="720" w:hanging="360"/>
      </w:pPr>
    </w:lvl>
    <w:lvl w:ilvl="1" w:tplc="9B046062">
      <w:start w:val="1"/>
      <w:numFmt w:val="lowerLetter"/>
      <w:lvlText w:val="%2."/>
      <w:lvlJc w:val="left"/>
      <w:pPr>
        <w:ind w:left="1440" w:hanging="360"/>
      </w:pPr>
    </w:lvl>
    <w:lvl w:ilvl="2" w:tplc="26724F38">
      <w:start w:val="1"/>
      <w:numFmt w:val="lowerRoman"/>
      <w:lvlText w:val="%3."/>
      <w:lvlJc w:val="right"/>
      <w:pPr>
        <w:ind w:left="2160" w:hanging="180"/>
      </w:pPr>
    </w:lvl>
    <w:lvl w:ilvl="3" w:tplc="76148322">
      <w:start w:val="1"/>
      <w:numFmt w:val="decimal"/>
      <w:lvlText w:val="%4."/>
      <w:lvlJc w:val="left"/>
      <w:pPr>
        <w:ind w:left="2880" w:hanging="360"/>
      </w:pPr>
    </w:lvl>
    <w:lvl w:ilvl="4" w:tplc="37B0C4BC">
      <w:start w:val="1"/>
      <w:numFmt w:val="lowerLetter"/>
      <w:lvlText w:val="%5."/>
      <w:lvlJc w:val="left"/>
      <w:pPr>
        <w:ind w:left="3600" w:hanging="360"/>
      </w:pPr>
    </w:lvl>
    <w:lvl w:ilvl="5" w:tplc="F626A978">
      <w:start w:val="1"/>
      <w:numFmt w:val="lowerRoman"/>
      <w:lvlText w:val="%6."/>
      <w:lvlJc w:val="right"/>
      <w:pPr>
        <w:ind w:left="4320" w:hanging="180"/>
      </w:pPr>
    </w:lvl>
    <w:lvl w:ilvl="6" w:tplc="DF88052A">
      <w:start w:val="1"/>
      <w:numFmt w:val="decimal"/>
      <w:lvlText w:val="%7."/>
      <w:lvlJc w:val="left"/>
      <w:pPr>
        <w:ind w:left="5040" w:hanging="360"/>
      </w:pPr>
    </w:lvl>
    <w:lvl w:ilvl="7" w:tplc="8C9A5728">
      <w:start w:val="1"/>
      <w:numFmt w:val="lowerLetter"/>
      <w:lvlText w:val="%8."/>
      <w:lvlJc w:val="left"/>
      <w:pPr>
        <w:ind w:left="5760" w:hanging="360"/>
      </w:pPr>
    </w:lvl>
    <w:lvl w:ilvl="8" w:tplc="0654469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8D9795"/>
    <w:rsid w:val="00152F40"/>
    <w:rsid w:val="00176355"/>
    <w:rsid w:val="001C3E31"/>
    <w:rsid w:val="001F668A"/>
    <w:rsid w:val="002613AC"/>
    <w:rsid w:val="002D0B95"/>
    <w:rsid w:val="00360B0D"/>
    <w:rsid w:val="004C1C1F"/>
    <w:rsid w:val="00510CD8"/>
    <w:rsid w:val="00522754"/>
    <w:rsid w:val="005C5960"/>
    <w:rsid w:val="005D0519"/>
    <w:rsid w:val="007B7700"/>
    <w:rsid w:val="008718FA"/>
    <w:rsid w:val="008719D9"/>
    <w:rsid w:val="00900857"/>
    <w:rsid w:val="00920472"/>
    <w:rsid w:val="00B20AC4"/>
    <w:rsid w:val="00BA2FC4"/>
    <w:rsid w:val="00BE6CC5"/>
    <w:rsid w:val="00CB633F"/>
    <w:rsid w:val="00CB6C40"/>
    <w:rsid w:val="00E81BC2"/>
    <w:rsid w:val="00E90121"/>
    <w:rsid w:val="00EA3F35"/>
    <w:rsid w:val="00FA52CA"/>
    <w:rsid w:val="00FC12CC"/>
    <w:rsid w:val="119BAA2A"/>
    <w:rsid w:val="27C8E574"/>
    <w:rsid w:val="368D9795"/>
    <w:rsid w:val="47F62378"/>
    <w:rsid w:val="4BFFB93E"/>
    <w:rsid w:val="6ABDE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1522"/>
  <w15:chartTrackingRefBased/>
  <w15:docId w15:val="{3B385115-DD7E-40CC-BE77-5CE9E5B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docdata" w:customStyle="1">
    <w:name w:val="docdata"/>
    <w:basedOn w:val="Policepardfaut"/>
    <w:uiPriority w:val="1"/>
    <w:rsid w:val="6ABDEB84"/>
  </w:style>
  <w:style w:type="character" w:styleId="TitreCar" w:customStyle="1">
    <w:name w:val="Titre Car"/>
    <w:basedOn w:val="Policepardfaut"/>
    <w:link w:val="Titre"/>
    <w:uiPriority w:val="10"/>
    <w:rPr>
      <w:rFonts w:asciiTheme="majorHAnsi" w:hAnsiTheme="majorHAnsi" w:eastAsiaTheme="majorEastAsia"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rsid w:val="00BA2FC4"/>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TEZENAS DU MONTCEL Sophie</dc:creator>
  <keywords/>
  <dc:description/>
  <lastModifiedBy>TEZENAS DU MONTCEL Sophie</lastModifiedBy>
  <revision>42</revision>
  <dcterms:created xsi:type="dcterms:W3CDTF">2022-06-13T08:33:00.0000000Z</dcterms:created>
  <dcterms:modified xsi:type="dcterms:W3CDTF">2022-06-15T16:35:34.2668207Z</dcterms:modified>
</coreProperties>
</file>