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5CE" w:rsidRDefault="008265CE" w:rsidP="008265CE">
      <w:pPr>
        <w:ind w:left="720" w:hanging="360"/>
        <w:jc w:val="center"/>
        <w:rPr>
          <w:rFonts w:ascii="Times New Roman" w:hAnsi="Times New Roman" w:cs="Times New Roman"/>
          <w:b/>
          <w:sz w:val="24"/>
          <w:szCs w:val="24"/>
        </w:rPr>
      </w:pPr>
      <w:bookmarkStart w:id="0" w:name="_Hlk107525587"/>
      <w:r w:rsidRPr="003860CE">
        <w:rPr>
          <w:rFonts w:ascii="Times New Roman" w:hAnsi="Times New Roman" w:cs="Times New Roman"/>
          <w:b/>
          <w:sz w:val="24"/>
          <w:szCs w:val="24"/>
        </w:rPr>
        <w:t>La Théorie Monétaire Moderne : idées fausses, vraies limites et angles morts. Un tour d’horizon des critiques.</w:t>
      </w:r>
    </w:p>
    <w:p w:rsidR="00890B46" w:rsidRDefault="00890B46" w:rsidP="008265CE">
      <w:pPr>
        <w:ind w:left="720" w:hanging="360"/>
        <w:jc w:val="center"/>
        <w:rPr>
          <w:rFonts w:ascii="Times New Roman" w:hAnsi="Times New Roman" w:cs="Times New Roman"/>
          <w:b/>
          <w:sz w:val="24"/>
          <w:szCs w:val="24"/>
        </w:rPr>
      </w:pPr>
    </w:p>
    <w:p w:rsidR="00890B46" w:rsidRDefault="00890B46" w:rsidP="00890B46">
      <w:pPr>
        <w:ind w:left="720" w:hanging="360"/>
        <w:jc w:val="center"/>
        <w:rPr>
          <w:rFonts w:ascii="Times New Roman" w:hAnsi="Times New Roman" w:cs="Times New Roman"/>
          <w:b/>
          <w:sz w:val="24"/>
          <w:szCs w:val="24"/>
        </w:rPr>
      </w:pPr>
      <w:r>
        <w:rPr>
          <w:rFonts w:ascii="Times New Roman" w:hAnsi="Times New Roman" w:cs="Times New Roman"/>
          <w:b/>
          <w:sz w:val="24"/>
          <w:szCs w:val="24"/>
        </w:rPr>
        <w:t>Guillaume L’ŒILLET</w:t>
      </w:r>
      <w:r>
        <w:rPr>
          <w:rStyle w:val="Appelnotedebasdep"/>
          <w:rFonts w:ascii="Times New Roman" w:hAnsi="Times New Roman" w:cs="Times New Roman"/>
          <w:b/>
          <w:sz w:val="24"/>
          <w:szCs w:val="24"/>
        </w:rPr>
        <w:footnoteReference w:id="1"/>
      </w:r>
    </w:p>
    <w:p w:rsidR="00890B46" w:rsidRPr="00CC094E" w:rsidRDefault="00890B46" w:rsidP="00890B46">
      <w:pPr>
        <w:ind w:left="720" w:hanging="360"/>
        <w:jc w:val="center"/>
        <w:rPr>
          <w:rFonts w:ascii="Times New Roman" w:hAnsi="Times New Roman" w:cs="Times New Roman"/>
          <w:b/>
          <w:sz w:val="24"/>
          <w:szCs w:val="24"/>
        </w:rPr>
      </w:pPr>
      <w:r>
        <w:rPr>
          <w:rFonts w:ascii="Times New Roman" w:hAnsi="Times New Roman" w:cs="Times New Roman"/>
          <w:b/>
          <w:sz w:val="24"/>
          <w:szCs w:val="24"/>
        </w:rPr>
        <w:t xml:space="preserve">Univ Rennes </w:t>
      </w:r>
    </w:p>
    <w:p w:rsidR="00890B46" w:rsidRPr="00890B46" w:rsidRDefault="00890B46" w:rsidP="00890B46">
      <w:pPr>
        <w:ind w:left="720" w:hanging="360"/>
        <w:jc w:val="center"/>
        <w:rPr>
          <w:rFonts w:ascii="Times New Roman" w:hAnsi="Times New Roman" w:cs="Times New Roman"/>
          <w:b/>
          <w:sz w:val="24"/>
          <w:szCs w:val="24"/>
        </w:rPr>
      </w:pPr>
      <w:r w:rsidRPr="00890B46">
        <w:rPr>
          <w:rFonts w:ascii="Times New Roman" w:hAnsi="Times New Roman" w:cs="Times New Roman"/>
          <w:b/>
          <w:sz w:val="24"/>
          <w:szCs w:val="24"/>
        </w:rPr>
        <w:t>CNRS, CREM -UMR CNRS 6211</w:t>
      </w:r>
    </w:p>
    <w:p w:rsidR="00890B46" w:rsidRPr="00CC094E" w:rsidRDefault="00890B46" w:rsidP="00890B46">
      <w:pPr>
        <w:ind w:left="720" w:hanging="360"/>
        <w:jc w:val="center"/>
        <w:rPr>
          <w:rFonts w:ascii="Times New Roman" w:hAnsi="Times New Roman" w:cs="Times New Roman"/>
          <w:b/>
          <w:sz w:val="24"/>
          <w:szCs w:val="24"/>
          <w:lang w:val="en-GB"/>
        </w:rPr>
      </w:pPr>
      <w:r>
        <w:rPr>
          <w:rFonts w:ascii="Times New Roman" w:hAnsi="Times New Roman" w:cs="Times New Roman"/>
          <w:b/>
          <w:sz w:val="24"/>
          <w:szCs w:val="24"/>
          <w:lang w:val="en-GB"/>
        </w:rPr>
        <w:t>F-35000 Rennes France</w:t>
      </w:r>
    </w:p>
    <w:p w:rsidR="00890B46" w:rsidRPr="003860CE" w:rsidRDefault="00890B46" w:rsidP="008265CE">
      <w:pPr>
        <w:ind w:left="720" w:hanging="360"/>
        <w:jc w:val="center"/>
        <w:rPr>
          <w:rFonts w:ascii="Times New Roman" w:hAnsi="Times New Roman" w:cs="Times New Roman"/>
          <w:b/>
          <w:sz w:val="24"/>
          <w:szCs w:val="24"/>
        </w:rPr>
      </w:pPr>
    </w:p>
    <w:p w:rsidR="008265CE" w:rsidRPr="003860CE" w:rsidRDefault="008265CE" w:rsidP="008265CE">
      <w:pPr>
        <w:ind w:left="720" w:hanging="360"/>
        <w:jc w:val="center"/>
        <w:rPr>
          <w:rFonts w:ascii="Times New Roman" w:hAnsi="Times New Roman" w:cs="Times New Roman"/>
          <w:sz w:val="24"/>
          <w:szCs w:val="24"/>
        </w:rPr>
      </w:pPr>
      <w:r w:rsidRPr="003860CE">
        <w:rPr>
          <w:rFonts w:ascii="Times New Roman" w:hAnsi="Times New Roman" w:cs="Times New Roman"/>
          <w:sz w:val="24"/>
          <w:szCs w:val="24"/>
        </w:rPr>
        <w:t>Résumé</w:t>
      </w:r>
    </w:p>
    <w:p w:rsidR="008265CE" w:rsidRPr="003860CE" w:rsidRDefault="008265CE" w:rsidP="008265CE">
      <w:pPr>
        <w:jc w:val="both"/>
        <w:rPr>
          <w:rFonts w:ascii="Times New Roman" w:hAnsi="Times New Roman" w:cs="Times New Roman"/>
          <w:i/>
          <w:sz w:val="24"/>
          <w:szCs w:val="24"/>
        </w:rPr>
      </w:pPr>
      <w:r w:rsidRPr="003860CE">
        <w:rPr>
          <w:rFonts w:ascii="Times New Roman" w:hAnsi="Times New Roman" w:cs="Times New Roman"/>
          <w:i/>
          <w:sz w:val="24"/>
          <w:szCs w:val="24"/>
        </w:rPr>
        <w:t xml:space="preserve">Depuis la grande crise financière, la Théorie Moderne de la Monnaie (TMM) suscite l’intérêt des milieux politique, médiatique et académique. Le « moment » keynésien qui a suivi cette crise a sorti d’une relative confidentialité ce courant de pensée qui défend un retour permanent de la dominance budgétaire à rebours du consensus autour d’une politique monétaire indépendante </w:t>
      </w:r>
      <w:r>
        <w:rPr>
          <w:rFonts w:ascii="Times New Roman" w:hAnsi="Times New Roman" w:cs="Times New Roman"/>
          <w:i/>
          <w:sz w:val="24"/>
          <w:szCs w:val="24"/>
        </w:rPr>
        <w:t>du pouvoir politique</w:t>
      </w:r>
      <w:r w:rsidRPr="003860CE">
        <w:rPr>
          <w:rFonts w:ascii="Times New Roman" w:hAnsi="Times New Roman" w:cs="Times New Roman"/>
          <w:i/>
          <w:sz w:val="24"/>
          <w:szCs w:val="24"/>
        </w:rPr>
        <w:t xml:space="preserve">. Toutefois, la TMM fait l’objet de vives attaques de la part d’économistes dits de l’offre, de la synthèse voire même </w:t>
      </w:r>
      <w:proofErr w:type="spellStart"/>
      <w:r w:rsidRPr="003860CE">
        <w:rPr>
          <w:rFonts w:ascii="Times New Roman" w:hAnsi="Times New Roman" w:cs="Times New Roman"/>
          <w:i/>
          <w:sz w:val="24"/>
          <w:szCs w:val="24"/>
        </w:rPr>
        <w:t>post-keynésiens</w:t>
      </w:r>
      <w:proofErr w:type="spellEnd"/>
      <w:r w:rsidRPr="003860CE">
        <w:rPr>
          <w:rFonts w:ascii="Times New Roman" w:hAnsi="Times New Roman" w:cs="Times New Roman"/>
          <w:i/>
          <w:sz w:val="24"/>
          <w:szCs w:val="24"/>
        </w:rPr>
        <w:t xml:space="preserve"> dont la TMM est pourtant réputée proche. Les points de vue les plus virulents</w:t>
      </w:r>
      <w:r>
        <w:rPr>
          <w:rFonts w:ascii="Times New Roman" w:hAnsi="Times New Roman" w:cs="Times New Roman"/>
          <w:i/>
          <w:sz w:val="24"/>
          <w:szCs w:val="24"/>
        </w:rPr>
        <w:t xml:space="preserve"> </w:t>
      </w:r>
      <w:r w:rsidRPr="003860CE">
        <w:rPr>
          <w:rFonts w:ascii="Times New Roman" w:hAnsi="Times New Roman" w:cs="Times New Roman"/>
          <w:i/>
          <w:sz w:val="24"/>
          <w:szCs w:val="24"/>
        </w:rPr>
        <w:t xml:space="preserve">contestent le caractère scientifique de la TMM et la réduisent à un mouvement politique assimilable à l’aile radicale du parti démocrate américain. D’autres critiques plus </w:t>
      </w:r>
      <w:r>
        <w:rPr>
          <w:rFonts w:ascii="Times New Roman" w:hAnsi="Times New Roman" w:cs="Times New Roman"/>
          <w:i/>
          <w:sz w:val="24"/>
          <w:szCs w:val="24"/>
        </w:rPr>
        <w:t>élaborées</w:t>
      </w:r>
      <w:r w:rsidRPr="003860CE">
        <w:rPr>
          <w:rFonts w:ascii="Times New Roman" w:hAnsi="Times New Roman" w:cs="Times New Roman"/>
          <w:i/>
          <w:sz w:val="24"/>
          <w:szCs w:val="24"/>
        </w:rPr>
        <w:t xml:space="preserve"> s’attellent à démontrer les limites théoriques et empiriques des </w:t>
      </w:r>
      <w:r>
        <w:rPr>
          <w:rFonts w:ascii="Times New Roman" w:hAnsi="Times New Roman" w:cs="Times New Roman"/>
          <w:i/>
          <w:sz w:val="24"/>
          <w:szCs w:val="24"/>
        </w:rPr>
        <w:t>préconisat</w:t>
      </w:r>
      <w:r w:rsidRPr="003860CE">
        <w:rPr>
          <w:rFonts w:ascii="Times New Roman" w:hAnsi="Times New Roman" w:cs="Times New Roman"/>
          <w:i/>
          <w:sz w:val="24"/>
          <w:szCs w:val="24"/>
        </w:rPr>
        <w:t xml:space="preserve">ions de la TMM. Cet article propose une synthèse des critiques adressées à la TMM et </w:t>
      </w:r>
      <w:r>
        <w:rPr>
          <w:rFonts w:ascii="Times New Roman" w:hAnsi="Times New Roman" w:cs="Times New Roman"/>
          <w:i/>
          <w:sz w:val="24"/>
          <w:szCs w:val="24"/>
        </w:rPr>
        <w:t>apporte</w:t>
      </w:r>
      <w:r w:rsidRPr="003860CE">
        <w:rPr>
          <w:rFonts w:ascii="Times New Roman" w:hAnsi="Times New Roman" w:cs="Times New Roman"/>
          <w:i/>
          <w:sz w:val="24"/>
          <w:szCs w:val="24"/>
        </w:rPr>
        <w:t xml:space="preserve"> une contribution en questionnant l’économie politique de la théorie. </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Mots clés : Théorie Monétaire Moderne ; Dominance budgétaire ; Monnaie ; Economie politique</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 xml:space="preserve">Codes </w:t>
      </w:r>
      <w:r w:rsidR="00274306" w:rsidRPr="003860CE">
        <w:rPr>
          <w:rFonts w:ascii="Times New Roman" w:hAnsi="Times New Roman" w:cs="Times New Roman"/>
          <w:sz w:val="24"/>
          <w:szCs w:val="24"/>
        </w:rPr>
        <w:t>JEL :</w:t>
      </w:r>
      <w:r w:rsidRPr="003860CE">
        <w:rPr>
          <w:rFonts w:ascii="Times New Roman" w:hAnsi="Times New Roman" w:cs="Times New Roman"/>
          <w:sz w:val="24"/>
          <w:szCs w:val="24"/>
        </w:rPr>
        <w:t xml:space="preserve"> B52 ; E12 ; E52 ; E62 ; E63 ; H62 ; H63 ;</w:t>
      </w:r>
    </w:p>
    <w:bookmarkEnd w:id="0"/>
    <w:p w:rsidR="008265CE" w:rsidRPr="003860CE" w:rsidRDefault="008265CE" w:rsidP="008265CE">
      <w:pPr>
        <w:jc w:val="both"/>
        <w:rPr>
          <w:rFonts w:ascii="Times New Roman" w:hAnsi="Times New Roman" w:cs="Times New Roman"/>
          <w:sz w:val="24"/>
          <w:szCs w:val="24"/>
        </w:rPr>
      </w:pPr>
    </w:p>
    <w:p w:rsidR="008265CE" w:rsidRDefault="008265CE" w:rsidP="008265CE">
      <w:pPr>
        <w:jc w:val="both"/>
        <w:rPr>
          <w:rFonts w:ascii="Times New Roman" w:hAnsi="Times New Roman" w:cs="Times New Roman"/>
          <w:i/>
          <w:sz w:val="24"/>
          <w:szCs w:val="24"/>
        </w:rPr>
      </w:pPr>
    </w:p>
    <w:p w:rsidR="00890B46" w:rsidRDefault="00890B46" w:rsidP="008265CE">
      <w:pPr>
        <w:jc w:val="both"/>
        <w:rPr>
          <w:rFonts w:ascii="Times New Roman" w:hAnsi="Times New Roman" w:cs="Times New Roman"/>
          <w:i/>
          <w:sz w:val="24"/>
          <w:szCs w:val="24"/>
        </w:rPr>
      </w:pPr>
    </w:p>
    <w:p w:rsidR="00890B46" w:rsidRDefault="00890B46" w:rsidP="008265CE">
      <w:pPr>
        <w:jc w:val="both"/>
        <w:rPr>
          <w:rFonts w:ascii="Times New Roman" w:hAnsi="Times New Roman" w:cs="Times New Roman"/>
          <w:i/>
          <w:sz w:val="24"/>
          <w:szCs w:val="24"/>
        </w:rPr>
      </w:pPr>
    </w:p>
    <w:p w:rsidR="00890B46" w:rsidRDefault="00890B46" w:rsidP="008265CE">
      <w:pPr>
        <w:jc w:val="both"/>
        <w:rPr>
          <w:rFonts w:ascii="Times New Roman" w:hAnsi="Times New Roman" w:cs="Times New Roman"/>
          <w:i/>
          <w:sz w:val="24"/>
          <w:szCs w:val="24"/>
        </w:rPr>
      </w:pPr>
    </w:p>
    <w:p w:rsidR="00890B46" w:rsidRDefault="00890B46" w:rsidP="008265CE">
      <w:pPr>
        <w:jc w:val="both"/>
        <w:rPr>
          <w:rFonts w:ascii="Times New Roman" w:hAnsi="Times New Roman" w:cs="Times New Roman"/>
          <w:i/>
          <w:sz w:val="24"/>
          <w:szCs w:val="24"/>
        </w:rPr>
      </w:pPr>
    </w:p>
    <w:p w:rsidR="00890B46" w:rsidRPr="003860CE" w:rsidRDefault="00890B46" w:rsidP="008265CE">
      <w:pPr>
        <w:jc w:val="both"/>
        <w:rPr>
          <w:rFonts w:ascii="Times New Roman" w:hAnsi="Times New Roman" w:cs="Times New Roman"/>
          <w:i/>
          <w:sz w:val="24"/>
          <w:szCs w:val="24"/>
        </w:rPr>
      </w:pPr>
    </w:p>
    <w:p w:rsidR="008265CE" w:rsidRPr="003860CE" w:rsidRDefault="008265CE" w:rsidP="008265CE">
      <w:pPr>
        <w:ind w:left="720" w:hanging="360"/>
        <w:jc w:val="center"/>
        <w:rPr>
          <w:rFonts w:ascii="Times New Roman" w:hAnsi="Times New Roman" w:cs="Times New Roman"/>
          <w:b/>
          <w:sz w:val="24"/>
          <w:szCs w:val="24"/>
          <w:lang w:val="en-GB"/>
        </w:rPr>
      </w:pPr>
      <w:r w:rsidRPr="003860CE">
        <w:rPr>
          <w:rFonts w:ascii="Times New Roman" w:hAnsi="Times New Roman" w:cs="Times New Roman"/>
          <w:b/>
          <w:sz w:val="24"/>
          <w:szCs w:val="24"/>
          <w:lang w:val="en-GB"/>
        </w:rPr>
        <w:lastRenderedPageBreak/>
        <w:t>Modern Monetary Theory: wrong ideas, real limits and blind spots. An overview of the critics</w:t>
      </w:r>
    </w:p>
    <w:p w:rsidR="008265CE" w:rsidRPr="003860CE" w:rsidRDefault="008265CE" w:rsidP="008265CE">
      <w:pPr>
        <w:ind w:left="720" w:hanging="360"/>
        <w:jc w:val="center"/>
        <w:rPr>
          <w:rFonts w:ascii="Times New Roman" w:hAnsi="Times New Roman" w:cs="Times New Roman"/>
          <w:b/>
          <w:sz w:val="24"/>
          <w:szCs w:val="24"/>
          <w:lang w:val="en-GB"/>
        </w:rPr>
      </w:pPr>
      <w:r w:rsidRPr="003860CE">
        <w:rPr>
          <w:rFonts w:ascii="Times New Roman" w:hAnsi="Times New Roman" w:cs="Times New Roman"/>
          <w:b/>
          <w:sz w:val="24"/>
          <w:szCs w:val="24"/>
          <w:lang w:val="en-GB"/>
        </w:rPr>
        <w:t>Abstract</w:t>
      </w:r>
    </w:p>
    <w:p w:rsidR="008265CE" w:rsidRPr="003860CE" w:rsidRDefault="008265CE" w:rsidP="008265CE">
      <w:pPr>
        <w:jc w:val="both"/>
        <w:rPr>
          <w:rFonts w:ascii="Times New Roman" w:hAnsi="Times New Roman" w:cs="Times New Roman"/>
          <w:i/>
          <w:sz w:val="24"/>
          <w:szCs w:val="24"/>
          <w:lang w:val="en-GB"/>
        </w:rPr>
      </w:pPr>
      <w:r w:rsidRPr="003860CE">
        <w:rPr>
          <w:rFonts w:ascii="Times New Roman" w:hAnsi="Times New Roman" w:cs="Times New Roman"/>
          <w:i/>
          <w:sz w:val="24"/>
          <w:szCs w:val="24"/>
          <w:lang w:val="en-GB"/>
        </w:rPr>
        <w:t xml:space="preserve">Since the great financial crisis, the Modern Monetary Theory (MMT) rouses interests in political, media and academic area. In the ensuing Keynesian moment, the MMT has emerged from the confidentiality to advocate a permanent fiscal dominance in opposition to the consensus built toward a </w:t>
      </w:r>
      <w:r>
        <w:rPr>
          <w:rFonts w:ascii="Times New Roman" w:hAnsi="Times New Roman" w:cs="Times New Roman"/>
          <w:i/>
          <w:sz w:val="24"/>
          <w:szCs w:val="24"/>
          <w:lang w:val="en-GB"/>
        </w:rPr>
        <w:t xml:space="preserve">politically </w:t>
      </w:r>
      <w:r w:rsidRPr="003860CE">
        <w:rPr>
          <w:rFonts w:ascii="Times New Roman" w:hAnsi="Times New Roman" w:cs="Times New Roman"/>
          <w:i/>
          <w:sz w:val="24"/>
          <w:szCs w:val="24"/>
          <w:lang w:val="en-GB"/>
        </w:rPr>
        <w:t>independent monetary policy. MMT has</w:t>
      </w:r>
      <w:r>
        <w:rPr>
          <w:rFonts w:ascii="Times New Roman" w:hAnsi="Times New Roman" w:cs="Times New Roman"/>
          <w:i/>
          <w:sz w:val="24"/>
          <w:szCs w:val="24"/>
          <w:lang w:val="en-GB"/>
        </w:rPr>
        <w:t xml:space="preserve"> however</w:t>
      </w:r>
      <w:r w:rsidRPr="003860CE">
        <w:rPr>
          <w:rFonts w:ascii="Times New Roman" w:hAnsi="Times New Roman" w:cs="Times New Roman"/>
          <w:i/>
          <w:sz w:val="24"/>
          <w:szCs w:val="24"/>
          <w:lang w:val="en-GB"/>
        </w:rPr>
        <w:t xml:space="preserve"> been widely criticised by mainstream economists but also by the post-</w:t>
      </w:r>
      <w:proofErr w:type="spellStart"/>
      <w:r w:rsidRPr="003860CE">
        <w:rPr>
          <w:rFonts w:ascii="Times New Roman" w:hAnsi="Times New Roman" w:cs="Times New Roman"/>
          <w:i/>
          <w:sz w:val="24"/>
          <w:szCs w:val="24"/>
          <w:lang w:val="en-GB"/>
        </w:rPr>
        <w:t>keynesian</w:t>
      </w:r>
      <w:proofErr w:type="spellEnd"/>
      <w:r w:rsidRPr="003860CE">
        <w:rPr>
          <w:rFonts w:ascii="Times New Roman" w:hAnsi="Times New Roman" w:cs="Times New Roman"/>
          <w:i/>
          <w:sz w:val="24"/>
          <w:szCs w:val="24"/>
          <w:lang w:val="en-GB"/>
        </w:rPr>
        <w:t xml:space="preserve"> school from which it comes. The most vehement attacks to deny the scientific nature of the theory and to confine it to a political movement belonging to the left wing of the US democrats.  More sophisticated critics tackle theorical foundation and empirical evidences of the MMT to contest their recommendations. This paper provides a</w:t>
      </w:r>
      <w:r>
        <w:rPr>
          <w:rFonts w:ascii="Times New Roman" w:hAnsi="Times New Roman" w:cs="Times New Roman"/>
          <w:i/>
          <w:sz w:val="24"/>
          <w:szCs w:val="24"/>
          <w:lang w:val="en-GB"/>
        </w:rPr>
        <w:t xml:space="preserve">n overview </w:t>
      </w:r>
      <w:r w:rsidRPr="003860CE">
        <w:rPr>
          <w:rFonts w:ascii="Times New Roman" w:hAnsi="Times New Roman" w:cs="Times New Roman"/>
          <w:i/>
          <w:sz w:val="24"/>
          <w:szCs w:val="24"/>
          <w:lang w:val="en-GB"/>
        </w:rPr>
        <w:t>of those critical points of view and contributes to the chorus of criticism by raising a failing political economy.</w:t>
      </w:r>
    </w:p>
    <w:p w:rsidR="008265CE" w:rsidRPr="003860CE" w:rsidRDefault="00274306" w:rsidP="008265CE">
      <w:pPr>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Keywords:</w:t>
      </w:r>
      <w:r w:rsidR="008265CE" w:rsidRPr="003860CE">
        <w:rPr>
          <w:rFonts w:ascii="Times New Roman" w:hAnsi="Times New Roman" w:cs="Times New Roman"/>
          <w:sz w:val="24"/>
          <w:szCs w:val="24"/>
          <w:lang w:val="en-GB"/>
        </w:rPr>
        <w:t xml:space="preserve"> Modern Monetary </w:t>
      </w:r>
      <w:proofErr w:type="gramStart"/>
      <w:r w:rsidR="008265CE" w:rsidRPr="003860CE">
        <w:rPr>
          <w:rFonts w:ascii="Times New Roman" w:hAnsi="Times New Roman" w:cs="Times New Roman"/>
          <w:sz w:val="24"/>
          <w:szCs w:val="24"/>
          <w:lang w:val="en-GB"/>
        </w:rPr>
        <w:t>Theory ;</w:t>
      </w:r>
      <w:proofErr w:type="gramEnd"/>
      <w:r w:rsidR="008265CE" w:rsidRPr="003860CE">
        <w:rPr>
          <w:rFonts w:ascii="Times New Roman" w:hAnsi="Times New Roman" w:cs="Times New Roman"/>
          <w:sz w:val="24"/>
          <w:szCs w:val="24"/>
          <w:lang w:val="en-GB"/>
        </w:rPr>
        <w:t xml:space="preserve"> Fiscal dominance ; Monetary economics; Political Economy; </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JEL Classification : B52 ; E12 ; E52 ; E62 ; E63 ; H62 ; H63 ;</w:t>
      </w:r>
    </w:p>
    <w:p w:rsidR="008265CE" w:rsidRPr="003860CE" w:rsidRDefault="008265CE" w:rsidP="008265CE">
      <w:pPr>
        <w:jc w:val="both"/>
        <w:rPr>
          <w:rFonts w:ascii="Times New Roman" w:hAnsi="Times New Roman" w:cs="Times New Roman"/>
          <w:sz w:val="24"/>
          <w:szCs w:val="24"/>
        </w:rPr>
      </w:pPr>
    </w:p>
    <w:p w:rsidR="008265CE" w:rsidRDefault="008265CE"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90B46" w:rsidRDefault="00890B46"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90B46">
      <w:pPr>
        <w:pStyle w:val="Paragraphedeliste"/>
        <w:rPr>
          <w:rFonts w:ascii="Times New Roman" w:hAnsi="Times New Roman" w:cs="Times New Roman"/>
          <w:b/>
          <w:sz w:val="24"/>
          <w:szCs w:val="24"/>
        </w:rPr>
      </w:pPr>
      <w:bookmarkStart w:id="1" w:name="_GoBack"/>
      <w:bookmarkEnd w:id="1"/>
      <w:r w:rsidRPr="003860CE">
        <w:rPr>
          <w:rFonts w:ascii="Times New Roman" w:hAnsi="Times New Roman" w:cs="Times New Roman"/>
          <w:b/>
          <w:sz w:val="24"/>
          <w:szCs w:val="24"/>
        </w:rPr>
        <w:lastRenderedPageBreak/>
        <w:t>INTRODUCTION</w:t>
      </w:r>
    </w:p>
    <w:p w:rsidR="008265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Depuis 2008, les principales économies avancées ont vécu un tournant keynésien dans la mise en œuvre de leurs politiques économiques pour répondre aux chocs majeurs qu’ont constitué la grande crise financière entre 2008 et 2010 puis l’épidémie de COVID-19 à partir de 2020. Dans le premier cas, les gouvernements ont cherché à compenser l’atonie de la demande privée liée à une incertitude élevée et à un processus de désendettement massif des agents économiques. Dans le second cas, les gouvernements ont tout simplement pris le relais des agents économiques privés contraints d’interrompre partiellement leur activité pour des motifs sanitaires. Dans les deux cas, la politique budgétaire a relégué la politique monétaire au second plan car son efficacité et son rôle semblaient limités dans la réponse à apporter aux chocs. Cette période a également porté une remise en cause plus fondamentale du consensus de politique monétaire fondé sur la relation entre monnaie et inflation puisque la politique de taux bas couplée à l’assouplissement quantitatif n’a pas immédiatement ramené les économies autour de leur cible d’inflation</w:t>
      </w:r>
      <w:r w:rsidRPr="003860CE">
        <w:rPr>
          <w:rStyle w:val="Appeldenotedefin"/>
          <w:rFonts w:ascii="Times New Roman" w:hAnsi="Times New Roman" w:cs="Times New Roman"/>
          <w:sz w:val="24"/>
          <w:szCs w:val="24"/>
        </w:rPr>
        <w:endnoteReference w:id="1"/>
      </w:r>
      <w:r w:rsidRPr="003860CE">
        <w:rPr>
          <w:rFonts w:ascii="Times New Roman" w:hAnsi="Times New Roman" w:cs="Times New Roman"/>
          <w:sz w:val="24"/>
          <w:szCs w:val="24"/>
        </w:rPr>
        <w:t xml:space="preserve">. Un nouveau régime de dominance budgétaire semble avoir pris la place du régime de dominance monétaire. </w:t>
      </w:r>
    </w:p>
    <w:p w:rsidR="008265CE" w:rsidRPr="003860CE" w:rsidRDefault="008265CE" w:rsidP="008265CE">
      <w:pPr>
        <w:ind w:firstLine="708"/>
        <w:jc w:val="both"/>
        <w:rPr>
          <w:rFonts w:ascii="Times New Roman" w:hAnsi="Times New Roman" w:cs="Times New Roman"/>
          <w:sz w:val="24"/>
          <w:szCs w:val="24"/>
        </w:rPr>
      </w:pPr>
      <w:r>
        <w:rPr>
          <w:rFonts w:ascii="Times New Roman" w:hAnsi="Times New Roman" w:cs="Times New Roman"/>
          <w:sz w:val="24"/>
          <w:szCs w:val="24"/>
        </w:rPr>
        <w:t xml:space="preserve">Ce « moment » keynésien a mis en lumière les travaux de la Théorie Moderne de la Monnaie (TMM) contestant les principes du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-mix orthodoxe reposant sur la « divine coïncidence ». Ainsi, la TMM a permis de relativiser les préoccupations autour de la soutenabilité budgétaire conduisant à l’adoption de règles contraignantes susceptibles d’entraver la </w:t>
      </w:r>
      <w:proofErr w:type="spellStart"/>
      <w:r>
        <w:rPr>
          <w:rFonts w:ascii="Times New Roman" w:hAnsi="Times New Roman" w:cs="Times New Roman"/>
          <w:sz w:val="24"/>
          <w:szCs w:val="24"/>
        </w:rPr>
        <w:t>pro-cyclicité</w:t>
      </w:r>
      <w:proofErr w:type="spellEnd"/>
      <w:r>
        <w:rPr>
          <w:rFonts w:ascii="Times New Roman" w:hAnsi="Times New Roman" w:cs="Times New Roman"/>
          <w:sz w:val="24"/>
          <w:szCs w:val="24"/>
        </w:rPr>
        <w:t xml:space="preserve"> des politiques budgétaires, ou d’empêcher les dépenses publiques d’investissement. La TMM a également replacé la politique monétaire dans une mission auxiliaire par rapport à la politique budgétaire, seul véritable outil de stabilisation macroéconomique permettant de réguler la demande globale. En somme, la TMM a redéfini une hiérarchie des objectifs de politiques économiques en y plaçant au sommet le plein-emploi au détriment de la stabilité des prix jusqu’alors considérée comme la clé de voûte de la stabilité macroéconomique.</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La TMM développe un cadre macroéconomique d’inspiration keynésienne</w:t>
      </w:r>
      <w:r w:rsidRPr="003860CE">
        <w:rPr>
          <w:rStyle w:val="Appeldenotedefin"/>
          <w:rFonts w:ascii="Times New Roman" w:hAnsi="Times New Roman" w:cs="Times New Roman"/>
          <w:sz w:val="24"/>
          <w:szCs w:val="24"/>
        </w:rPr>
        <w:endnoteReference w:id="2"/>
      </w:r>
      <w:r w:rsidRPr="003860CE">
        <w:rPr>
          <w:rFonts w:ascii="Times New Roman" w:hAnsi="Times New Roman" w:cs="Times New Roman"/>
          <w:sz w:val="24"/>
          <w:szCs w:val="24"/>
        </w:rPr>
        <w:t xml:space="preserve"> formalisant la dominance budgétaire. Dans celui-ci, le gouvernement d’un pays souverain sur le plan monétaire est en mesure d’atteindre l’objectif de plein-emploi à travers le soutien de la demande effective compatible avec la quantité d’emplois correspondante. Le gouvernement peut s’appuyer sur une banque centrale qui ajuste l’offre de monnaie en fonction de ses besoins. Ainsi, le gouvernement qui pilote la stabilisation macroéconomique en ajustant le solde budgétaire selon les fluctuations réelles ne connaît ni contrainte de financement ni insoutenabilité budgétaire. Les dépenses publiques permettent de pallier une dépense privée qui se contracte pendant une phase de ralentissement et les taxes visent à contenir les pressions inflationnistes durant les périodes d’expansion. Le gouvernement doit donc dépenser pour collecter des taxes et non l’inverse pour assurer l’équilibre financier. La politique monétaire n’a pas de rôle actif de stabilisation économique par le biais du taux d’intérêt. Elle accompagne la politique budgétaire en finançant le déficit budgétaire par la création monétaire même si elle doit toutefois s’assurer que le taux d’intérêt demeure à un faible niveau. Ce </w:t>
      </w:r>
      <w:proofErr w:type="spellStart"/>
      <w:r w:rsidRPr="003860CE">
        <w:rPr>
          <w:rFonts w:ascii="Times New Roman" w:hAnsi="Times New Roman" w:cs="Times New Roman"/>
          <w:sz w:val="24"/>
          <w:szCs w:val="24"/>
        </w:rPr>
        <w:t>policy</w:t>
      </w:r>
      <w:proofErr w:type="spellEnd"/>
      <w:r w:rsidRPr="003860CE">
        <w:rPr>
          <w:rFonts w:ascii="Times New Roman" w:hAnsi="Times New Roman" w:cs="Times New Roman"/>
          <w:sz w:val="24"/>
          <w:szCs w:val="24"/>
        </w:rPr>
        <w:t>-mix est mis en œuvre par une entité publique consolidée associant le Trésor et la banque centrale.</w:t>
      </w:r>
      <w:r w:rsidRPr="003860CE">
        <w:rPr>
          <w:rFonts w:ascii="Times New Roman" w:hAnsi="Times New Roman" w:cs="Times New Roman"/>
          <w:color w:val="FF0000"/>
          <w:sz w:val="24"/>
          <w:szCs w:val="24"/>
        </w:rPr>
        <w:t xml:space="preserv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Cette contestation s’est tout d’abord traduite par une exposition médiatique croissante d’économistes </w:t>
      </w:r>
      <w:proofErr w:type="spellStart"/>
      <w:r w:rsidRPr="003860CE">
        <w:rPr>
          <w:rFonts w:ascii="Times New Roman" w:hAnsi="Times New Roman" w:cs="Times New Roman"/>
          <w:sz w:val="24"/>
          <w:szCs w:val="24"/>
        </w:rPr>
        <w:t>post-keynésiens</w:t>
      </w:r>
      <w:proofErr w:type="spellEnd"/>
      <w:r w:rsidRPr="003860CE">
        <w:rPr>
          <w:rFonts w:ascii="Times New Roman" w:hAnsi="Times New Roman" w:cs="Times New Roman"/>
          <w:sz w:val="24"/>
          <w:szCs w:val="24"/>
        </w:rPr>
        <w:t xml:space="preserve"> liés à la TMM développant des théories considérées hétérodoxes mais paradoxalement appliquées en temps de crise. La curiosité du débat public </w:t>
      </w:r>
      <w:r w:rsidRPr="003860CE">
        <w:rPr>
          <w:rFonts w:ascii="Times New Roman" w:hAnsi="Times New Roman" w:cs="Times New Roman"/>
          <w:sz w:val="24"/>
          <w:szCs w:val="24"/>
        </w:rPr>
        <w:lastRenderedPageBreak/>
        <w:t xml:space="preserve">pour ces thèses a favorisé l’émergence de figures comme Stéphanie </w:t>
      </w:r>
      <w:proofErr w:type="spellStart"/>
      <w:r w:rsidRPr="003860CE">
        <w:rPr>
          <w:rFonts w:ascii="Times New Roman" w:hAnsi="Times New Roman" w:cs="Times New Roman"/>
          <w:sz w:val="24"/>
          <w:szCs w:val="24"/>
        </w:rPr>
        <w:t>Kelton</w:t>
      </w:r>
      <w:proofErr w:type="spellEnd"/>
      <w:r w:rsidRPr="003860CE">
        <w:rPr>
          <w:rFonts w:ascii="Times New Roman" w:hAnsi="Times New Roman" w:cs="Times New Roman"/>
          <w:sz w:val="24"/>
          <w:szCs w:val="24"/>
        </w:rPr>
        <w:t xml:space="preserve"> aux USA dont la présence dans les médias s’est intensifiée et les contributions ont permis de diffuser la TMM au-delà du cercle académique et des frontières nord-américaines. Parallèlement, une des propositions phares du programme concernant la garantie d’emploi (</w:t>
      </w:r>
      <w:r w:rsidRPr="003860CE">
        <w:rPr>
          <w:rFonts w:ascii="Times New Roman" w:hAnsi="Times New Roman" w:cs="Times New Roman"/>
          <w:i/>
          <w:sz w:val="24"/>
          <w:szCs w:val="24"/>
        </w:rPr>
        <w:t xml:space="preserve">Job </w:t>
      </w:r>
      <w:proofErr w:type="spellStart"/>
      <w:r w:rsidRPr="003860CE">
        <w:rPr>
          <w:rFonts w:ascii="Times New Roman" w:hAnsi="Times New Roman" w:cs="Times New Roman"/>
          <w:i/>
          <w:sz w:val="24"/>
          <w:szCs w:val="24"/>
        </w:rPr>
        <w:t>guarantee</w:t>
      </w:r>
      <w:proofErr w:type="spellEnd"/>
      <w:r w:rsidRPr="003860CE">
        <w:rPr>
          <w:rFonts w:ascii="Times New Roman" w:hAnsi="Times New Roman" w:cs="Times New Roman"/>
          <w:sz w:val="24"/>
          <w:szCs w:val="24"/>
        </w:rPr>
        <w:t>) a connu le même sort en faisant l’objet d’une publication à destination d’une audience plus large (</w:t>
      </w:r>
      <w:proofErr w:type="spellStart"/>
      <w:r w:rsidRPr="003860CE">
        <w:rPr>
          <w:rFonts w:ascii="Times New Roman" w:hAnsi="Times New Roman" w:cs="Times New Roman"/>
          <w:sz w:val="24"/>
          <w:szCs w:val="24"/>
        </w:rPr>
        <w:t>Tcherneva</w:t>
      </w:r>
      <w:proofErr w:type="spellEnd"/>
      <w:r w:rsidRPr="003860CE">
        <w:rPr>
          <w:rFonts w:ascii="Times New Roman" w:hAnsi="Times New Roman" w:cs="Times New Roman"/>
          <w:sz w:val="24"/>
          <w:szCs w:val="24"/>
        </w:rPr>
        <w:t>, 2020).   D’un point de vue plus strictement académique, la TMM occupe une place croissante dans les revues (post) keynésiennes</w:t>
      </w:r>
      <w:r w:rsidRPr="003860CE">
        <w:rPr>
          <w:rStyle w:val="Appeldenotedefin"/>
          <w:rFonts w:ascii="Times New Roman" w:hAnsi="Times New Roman" w:cs="Times New Roman"/>
          <w:sz w:val="24"/>
          <w:szCs w:val="24"/>
        </w:rPr>
        <w:endnoteReference w:id="3"/>
      </w:r>
      <w:r w:rsidRPr="003860CE">
        <w:rPr>
          <w:rFonts w:ascii="Times New Roman" w:hAnsi="Times New Roman" w:cs="Times New Roman"/>
          <w:sz w:val="24"/>
          <w:szCs w:val="24"/>
        </w:rPr>
        <w:t>. Des personnalités plus orthodoxes de la sphère académique et bien connues du grand public discutent les préconisations de la TMM dans les colonnes de journaux importants</w:t>
      </w:r>
      <w:r w:rsidRPr="003860CE">
        <w:rPr>
          <w:rStyle w:val="Appeldenotedefin"/>
          <w:rFonts w:ascii="Times New Roman" w:hAnsi="Times New Roman" w:cs="Times New Roman"/>
          <w:sz w:val="24"/>
          <w:szCs w:val="24"/>
        </w:rPr>
        <w:endnoteReference w:id="4"/>
      </w:r>
      <w:r w:rsidRPr="003860CE">
        <w:rPr>
          <w:rFonts w:ascii="Times New Roman" w:hAnsi="Times New Roman" w:cs="Times New Roman"/>
          <w:sz w:val="24"/>
          <w:szCs w:val="24"/>
        </w:rPr>
        <w:t xml:space="preserve"> ou lors de colloques marquants réunissant la communauté</w:t>
      </w:r>
      <w:r w:rsidRPr="003860CE">
        <w:rPr>
          <w:rStyle w:val="Appeldenotedefin"/>
          <w:rFonts w:ascii="Times New Roman" w:hAnsi="Times New Roman" w:cs="Times New Roman"/>
          <w:sz w:val="24"/>
          <w:szCs w:val="24"/>
        </w:rPr>
        <w:endnoteReference w:id="5"/>
      </w:r>
      <w:r w:rsidRPr="003860CE">
        <w:rPr>
          <w:rFonts w:ascii="Times New Roman" w:hAnsi="Times New Roman" w:cs="Times New Roman"/>
          <w:sz w:val="24"/>
          <w:szCs w:val="24"/>
        </w:rPr>
        <w:t xml:space="preserve">.  La parution d’un manuel de Macroéconomie par Mitchell, Wray and Watts (2018) a permis de développer la pensée de la MMT à partir d’une critique approfondie de la théorie orthodoxe habituellement enseignée. La frange </w:t>
      </w:r>
      <w:r>
        <w:rPr>
          <w:rFonts w:ascii="Times New Roman" w:hAnsi="Times New Roman" w:cs="Times New Roman"/>
          <w:sz w:val="24"/>
          <w:szCs w:val="24"/>
        </w:rPr>
        <w:t xml:space="preserve">la plus </w:t>
      </w:r>
      <w:r w:rsidRPr="003860CE">
        <w:rPr>
          <w:rFonts w:ascii="Times New Roman" w:hAnsi="Times New Roman" w:cs="Times New Roman"/>
          <w:sz w:val="24"/>
          <w:szCs w:val="24"/>
        </w:rPr>
        <w:t xml:space="preserve">progressiste du parti démocrate américain s’est ensuite emparée de la TMM pour peser dans les débats internes et réinstaurer une vision keynésienne plus « traditionnelle » afin de reconquérir une partie de l’électorat perdu en 2016. </w:t>
      </w:r>
      <w:r>
        <w:rPr>
          <w:rFonts w:ascii="Times New Roman" w:hAnsi="Times New Roman" w:cs="Times New Roman"/>
          <w:sz w:val="24"/>
          <w:szCs w:val="24"/>
        </w:rPr>
        <w:t>La présence de</w:t>
      </w:r>
      <w:r w:rsidRPr="003860CE">
        <w:rPr>
          <w:rFonts w:ascii="Times New Roman" w:hAnsi="Times New Roman" w:cs="Times New Roman"/>
          <w:sz w:val="24"/>
          <w:szCs w:val="24"/>
        </w:rPr>
        <w:t xml:space="preserve"> Bernie Sanders </w:t>
      </w:r>
      <w:r>
        <w:rPr>
          <w:rFonts w:ascii="Times New Roman" w:hAnsi="Times New Roman" w:cs="Times New Roman"/>
          <w:sz w:val="24"/>
          <w:szCs w:val="24"/>
        </w:rPr>
        <w:t xml:space="preserve">comme dernier candidat en lice face à Joe Biden </w:t>
      </w:r>
      <w:r w:rsidRPr="003860CE">
        <w:rPr>
          <w:rFonts w:ascii="Times New Roman" w:hAnsi="Times New Roman" w:cs="Times New Roman"/>
          <w:sz w:val="24"/>
          <w:szCs w:val="24"/>
        </w:rPr>
        <w:t xml:space="preserve">lors de la dernière primaire </w:t>
      </w:r>
      <w:r>
        <w:rPr>
          <w:rFonts w:ascii="Times New Roman" w:hAnsi="Times New Roman" w:cs="Times New Roman"/>
          <w:sz w:val="24"/>
          <w:szCs w:val="24"/>
        </w:rPr>
        <w:t>démocrate illustre cette évolution</w:t>
      </w:r>
      <w:r w:rsidRPr="003860CE">
        <w:rPr>
          <w:rFonts w:ascii="Times New Roman" w:hAnsi="Times New Roman" w:cs="Times New Roman"/>
          <w:sz w:val="24"/>
          <w:szCs w:val="24"/>
        </w:rPr>
        <w:t xml:space="preserve">. </w:t>
      </w:r>
      <w:r>
        <w:rPr>
          <w:rFonts w:ascii="Times New Roman" w:hAnsi="Times New Roman" w:cs="Times New Roman"/>
          <w:sz w:val="24"/>
          <w:szCs w:val="24"/>
        </w:rPr>
        <w:t>C</w:t>
      </w:r>
      <w:r w:rsidRPr="003860CE">
        <w:rPr>
          <w:rFonts w:ascii="Times New Roman" w:hAnsi="Times New Roman" w:cs="Times New Roman"/>
          <w:sz w:val="24"/>
          <w:szCs w:val="24"/>
        </w:rPr>
        <w:t>ette ligne réhabilitant la dépense publique a</w:t>
      </w:r>
      <w:r>
        <w:rPr>
          <w:rFonts w:ascii="Times New Roman" w:hAnsi="Times New Roman" w:cs="Times New Roman"/>
          <w:sz w:val="24"/>
          <w:szCs w:val="24"/>
        </w:rPr>
        <w:t xml:space="preserve"> probablement </w:t>
      </w:r>
      <w:r w:rsidRPr="003860CE">
        <w:rPr>
          <w:rFonts w:ascii="Times New Roman" w:hAnsi="Times New Roman" w:cs="Times New Roman"/>
          <w:sz w:val="24"/>
          <w:szCs w:val="24"/>
        </w:rPr>
        <w:t xml:space="preserve">influencé le nouveau Président </w:t>
      </w:r>
      <w:r>
        <w:rPr>
          <w:rFonts w:ascii="Times New Roman" w:hAnsi="Times New Roman" w:cs="Times New Roman"/>
          <w:sz w:val="24"/>
          <w:szCs w:val="24"/>
        </w:rPr>
        <w:t xml:space="preserve">américain </w:t>
      </w:r>
      <w:r w:rsidRPr="003860CE">
        <w:rPr>
          <w:rFonts w:ascii="Times New Roman" w:hAnsi="Times New Roman" w:cs="Times New Roman"/>
          <w:sz w:val="24"/>
          <w:szCs w:val="24"/>
        </w:rPr>
        <w:t xml:space="preserve">dans </w:t>
      </w:r>
      <w:r>
        <w:rPr>
          <w:rFonts w:ascii="Times New Roman" w:hAnsi="Times New Roman" w:cs="Times New Roman"/>
          <w:sz w:val="24"/>
          <w:szCs w:val="24"/>
        </w:rPr>
        <w:t>le plan de relance post-</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w:t>
      </w:r>
      <w:proofErr w:type="spellStart"/>
      <w:r w:rsidRPr="0029054E">
        <w:rPr>
          <w:rFonts w:ascii="Times New Roman" w:hAnsi="Times New Roman" w:cs="Times New Roman"/>
          <w:i/>
          <w:sz w:val="24"/>
          <w:szCs w:val="24"/>
        </w:rPr>
        <w:t>Build</w:t>
      </w:r>
      <w:proofErr w:type="spellEnd"/>
      <w:r w:rsidRPr="0029054E">
        <w:rPr>
          <w:rFonts w:ascii="Times New Roman" w:hAnsi="Times New Roman" w:cs="Times New Roman"/>
          <w:i/>
          <w:sz w:val="24"/>
          <w:szCs w:val="24"/>
        </w:rPr>
        <w:t xml:space="preserve"> Back </w:t>
      </w:r>
      <w:proofErr w:type="spellStart"/>
      <w:r w:rsidRPr="0029054E">
        <w:rPr>
          <w:rFonts w:ascii="Times New Roman" w:hAnsi="Times New Roman" w:cs="Times New Roman"/>
          <w:i/>
          <w:sz w:val="24"/>
          <w:szCs w:val="24"/>
        </w:rPr>
        <w:t>B</w:t>
      </w:r>
      <w:r>
        <w:rPr>
          <w:rFonts w:ascii="Times New Roman" w:hAnsi="Times New Roman" w:cs="Times New Roman"/>
          <w:i/>
          <w:sz w:val="24"/>
          <w:szCs w:val="24"/>
        </w:rPr>
        <w:t>e</w:t>
      </w:r>
      <w:r w:rsidRPr="0029054E">
        <w:rPr>
          <w:rFonts w:ascii="Times New Roman" w:hAnsi="Times New Roman" w:cs="Times New Roman"/>
          <w:i/>
          <w:sz w:val="24"/>
          <w:szCs w:val="24"/>
        </w:rPr>
        <w:t>tter</w:t>
      </w:r>
      <w:proofErr w:type="spellEnd"/>
      <w:r w:rsidRPr="0029054E">
        <w:rPr>
          <w:rFonts w:ascii="Times New Roman" w:hAnsi="Times New Roman" w:cs="Times New Roman"/>
          <w:i/>
          <w:sz w:val="24"/>
          <w:szCs w:val="24"/>
        </w:rPr>
        <w:t xml:space="preserve"> </w:t>
      </w:r>
      <w:proofErr w:type="spellStart"/>
      <w:r w:rsidRPr="0029054E">
        <w:rPr>
          <w:rFonts w:ascii="Times New Roman" w:hAnsi="Times New Roman" w:cs="Times New Roman"/>
          <w:i/>
          <w:sz w:val="24"/>
          <w:szCs w:val="24"/>
        </w:rPr>
        <w:t>Act</w:t>
      </w:r>
      <w:proofErr w:type="spellEnd"/>
      <w:r>
        <w:rPr>
          <w:rFonts w:ascii="Times New Roman" w:hAnsi="Times New Roman" w:cs="Times New Roman"/>
          <w:i/>
          <w:sz w:val="24"/>
          <w:szCs w:val="24"/>
        </w:rPr>
        <w:t xml:space="preserve"> </w:t>
      </w:r>
      <w:r w:rsidRPr="0029054E">
        <w:rPr>
          <w:rFonts w:ascii="Times New Roman" w:hAnsi="Times New Roman" w:cs="Times New Roman"/>
          <w:sz w:val="24"/>
          <w:szCs w:val="24"/>
        </w:rPr>
        <w:t>voté en novembre 2021 et s’élevant à</w:t>
      </w:r>
      <w:r>
        <w:rPr>
          <w:rFonts w:ascii="Times New Roman" w:hAnsi="Times New Roman" w:cs="Times New Roman"/>
          <w:sz w:val="24"/>
          <w:szCs w:val="24"/>
        </w:rPr>
        <w:t xml:space="preserve"> 1900 milliards de dollars</w:t>
      </w:r>
      <w:r w:rsidRPr="003860CE">
        <w:rPr>
          <w:rFonts w:ascii="Times New Roman" w:hAnsi="Times New Roman" w:cs="Times New Roman"/>
          <w:sz w:val="24"/>
          <w:szCs w:val="24"/>
        </w:rPr>
        <w:t>.</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La TMM n’a pas été épargnée par la critique, dans la sphère académique particulièrement. Alors que des attaques prévisibles ont été formulées par les tenants d’une vision plus classique de la macroéconomie (</w:t>
      </w:r>
      <w:proofErr w:type="spellStart"/>
      <w:r w:rsidRPr="003860CE">
        <w:rPr>
          <w:rFonts w:ascii="Times New Roman" w:hAnsi="Times New Roman" w:cs="Times New Roman"/>
          <w:sz w:val="24"/>
          <w:szCs w:val="24"/>
        </w:rPr>
        <w:t>Rogoff</w:t>
      </w:r>
      <w:proofErr w:type="spellEnd"/>
      <w:r w:rsidRPr="003860CE">
        <w:rPr>
          <w:rFonts w:ascii="Times New Roman" w:hAnsi="Times New Roman" w:cs="Times New Roman"/>
          <w:sz w:val="24"/>
          <w:szCs w:val="24"/>
        </w:rPr>
        <w:t xml:space="preserve">, 2019, Edwards, 2019) ou proche de la synthèse (Krugman, 2019, Summers 2019), des voix dissonantes de la famille </w:t>
      </w:r>
      <w:proofErr w:type="spellStart"/>
      <w:r w:rsidRPr="003860CE">
        <w:rPr>
          <w:rFonts w:ascii="Times New Roman" w:hAnsi="Times New Roman" w:cs="Times New Roman"/>
          <w:sz w:val="24"/>
          <w:szCs w:val="24"/>
        </w:rPr>
        <w:t>post-Keynésienne</w:t>
      </w:r>
      <w:proofErr w:type="spellEnd"/>
      <w:r w:rsidRPr="003860CE">
        <w:rPr>
          <w:rFonts w:ascii="Times New Roman" w:hAnsi="Times New Roman" w:cs="Times New Roman"/>
          <w:sz w:val="24"/>
          <w:szCs w:val="24"/>
        </w:rPr>
        <w:t xml:space="preserve"> variant d’un ton « amical » (Lavoie, 2013) à une opposition plus marquée (Epstein, 2019 et </w:t>
      </w:r>
      <w:proofErr w:type="spellStart"/>
      <w:r w:rsidRPr="003860CE">
        <w:rPr>
          <w:rFonts w:ascii="Times New Roman" w:hAnsi="Times New Roman" w:cs="Times New Roman"/>
          <w:sz w:val="24"/>
          <w:szCs w:val="24"/>
        </w:rPr>
        <w:t>Palley</w:t>
      </w:r>
      <w:proofErr w:type="spellEnd"/>
      <w:r w:rsidRPr="003860CE">
        <w:rPr>
          <w:rFonts w:ascii="Times New Roman" w:hAnsi="Times New Roman" w:cs="Times New Roman"/>
          <w:sz w:val="24"/>
          <w:szCs w:val="24"/>
        </w:rPr>
        <w:t xml:space="preserve">, 2015a, 2015b, 2019a, 2019b, 2020) se sont fait entendre. A maintes reprises, la MMT a riposté </w:t>
      </w:r>
      <w:r>
        <w:rPr>
          <w:rFonts w:ascii="Times New Roman" w:hAnsi="Times New Roman" w:cs="Times New Roman"/>
          <w:sz w:val="24"/>
          <w:szCs w:val="24"/>
        </w:rPr>
        <w:t>afin de préciser sa théorie</w:t>
      </w:r>
      <w:r w:rsidRPr="003860CE">
        <w:rPr>
          <w:rFonts w:ascii="Times New Roman" w:hAnsi="Times New Roman" w:cs="Times New Roman"/>
          <w:sz w:val="24"/>
          <w:szCs w:val="24"/>
        </w:rPr>
        <w:t xml:space="preserve"> (</w:t>
      </w:r>
      <w:proofErr w:type="spellStart"/>
      <w:r w:rsidRPr="003860CE">
        <w:rPr>
          <w:rFonts w:ascii="Times New Roman" w:hAnsi="Times New Roman" w:cs="Times New Roman"/>
          <w:sz w:val="24"/>
          <w:szCs w:val="24"/>
        </w:rPr>
        <w:t>Fullwiler</w:t>
      </w:r>
      <w:proofErr w:type="spellEnd"/>
      <w:r w:rsidRPr="003860CE">
        <w:rPr>
          <w:rFonts w:ascii="Times New Roman" w:hAnsi="Times New Roman" w:cs="Times New Roman"/>
          <w:sz w:val="24"/>
          <w:szCs w:val="24"/>
        </w:rPr>
        <w:t xml:space="preserve"> et al., 2012 ; </w:t>
      </w:r>
      <w:proofErr w:type="spellStart"/>
      <w:r w:rsidRPr="003860CE">
        <w:rPr>
          <w:rFonts w:ascii="Times New Roman" w:hAnsi="Times New Roman" w:cs="Times New Roman"/>
          <w:sz w:val="24"/>
          <w:szCs w:val="24"/>
        </w:rPr>
        <w:t>Tymoigne</w:t>
      </w:r>
      <w:proofErr w:type="spellEnd"/>
      <w:r w:rsidRPr="003860CE">
        <w:rPr>
          <w:rFonts w:ascii="Times New Roman" w:hAnsi="Times New Roman" w:cs="Times New Roman"/>
          <w:sz w:val="24"/>
          <w:szCs w:val="24"/>
        </w:rPr>
        <w:t xml:space="preserve"> and Wray, 2015 ; </w:t>
      </w:r>
      <w:proofErr w:type="spellStart"/>
      <w:r w:rsidRPr="003860CE">
        <w:rPr>
          <w:rFonts w:ascii="Times New Roman" w:hAnsi="Times New Roman" w:cs="Times New Roman"/>
          <w:sz w:val="24"/>
          <w:szCs w:val="24"/>
        </w:rPr>
        <w:t>Fullbrooke</w:t>
      </w:r>
      <w:proofErr w:type="spellEnd"/>
      <w:r w:rsidRPr="003860CE">
        <w:rPr>
          <w:rFonts w:ascii="Times New Roman" w:hAnsi="Times New Roman" w:cs="Times New Roman"/>
          <w:sz w:val="24"/>
          <w:szCs w:val="24"/>
        </w:rPr>
        <w:t xml:space="preserve"> et Morgan, 2020 ; </w:t>
      </w:r>
      <w:proofErr w:type="spellStart"/>
      <w:r w:rsidRPr="003860CE">
        <w:rPr>
          <w:rFonts w:ascii="Times New Roman" w:hAnsi="Times New Roman" w:cs="Times New Roman"/>
          <w:sz w:val="24"/>
          <w:szCs w:val="24"/>
        </w:rPr>
        <w:t>Tymoigne</w:t>
      </w:r>
      <w:proofErr w:type="spellEnd"/>
      <w:r w:rsidRPr="003860CE">
        <w:rPr>
          <w:rFonts w:ascii="Times New Roman" w:hAnsi="Times New Roman" w:cs="Times New Roman"/>
          <w:sz w:val="24"/>
          <w:szCs w:val="24"/>
        </w:rPr>
        <w:t xml:space="preserve">, 2021). Si la TMM est parvenue à donner une certaine consistance scientifique à son discours, elle peine à convaincre quant à la stabilité macroéconomique et à la généralisation du modèle de </w:t>
      </w:r>
      <w:proofErr w:type="spellStart"/>
      <w:r w:rsidRPr="003860CE">
        <w:rPr>
          <w:rFonts w:ascii="Times New Roman" w:hAnsi="Times New Roman" w:cs="Times New Roman"/>
          <w:sz w:val="24"/>
          <w:szCs w:val="24"/>
        </w:rPr>
        <w:t>policy</w:t>
      </w:r>
      <w:proofErr w:type="spellEnd"/>
      <w:r w:rsidRPr="003860CE">
        <w:rPr>
          <w:rFonts w:ascii="Times New Roman" w:hAnsi="Times New Roman" w:cs="Times New Roman"/>
          <w:sz w:val="24"/>
          <w:szCs w:val="24"/>
        </w:rPr>
        <w:t>-mix défendu. Elle souffre en outre d’un défaut de réflexion du point de vue de son application concrète renforçant les doutes existants.</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r>
      <w:r>
        <w:rPr>
          <w:rFonts w:ascii="Times New Roman" w:hAnsi="Times New Roman" w:cs="Times New Roman"/>
          <w:sz w:val="24"/>
          <w:szCs w:val="24"/>
        </w:rPr>
        <w:t>L</w:t>
      </w:r>
      <w:r w:rsidRPr="003860CE">
        <w:rPr>
          <w:rFonts w:ascii="Times New Roman" w:hAnsi="Times New Roman" w:cs="Times New Roman"/>
          <w:sz w:val="24"/>
          <w:szCs w:val="24"/>
        </w:rPr>
        <w:t xml:space="preserve">es </w:t>
      </w:r>
      <w:r>
        <w:rPr>
          <w:rFonts w:ascii="Times New Roman" w:hAnsi="Times New Roman" w:cs="Times New Roman"/>
          <w:sz w:val="24"/>
          <w:szCs w:val="24"/>
        </w:rPr>
        <w:t>deux</w:t>
      </w:r>
      <w:r w:rsidRPr="003860CE">
        <w:rPr>
          <w:rFonts w:ascii="Times New Roman" w:hAnsi="Times New Roman" w:cs="Times New Roman"/>
          <w:sz w:val="24"/>
          <w:szCs w:val="24"/>
        </w:rPr>
        <w:t xml:space="preserve"> sections qui suivent </w:t>
      </w:r>
      <w:r>
        <w:rPr>
          <w:rFonts w:ascii="Times New Roman" w:hAnsi="Times New Roman" w:cs="Times New Roman"/>
          <w:sz w:val="24"/>
          <w:szCs w:val="24"/>
        </w:rPr>
        <w:t>synthétisent l</w:t>
      </w:r>
      <w:r w:rsidRPr="003860CE">
        <w:rPr>
          <w:rFonts w:ascii="Times New Roman" w:hAnsi="Times New Roman" w:cs="Times New Roman"/>
          <w:sz w:val="24"/>
          <w:szCs w:val="24"/>
        </w:rPr>
        <w:t xml:space="preserve">es principales critiques adressées à la TMM. La </w:t>
      </w:r>
      <w:r>
        <w:rPr>
          <w:rFonts w:ascii="Times New Roman" w:hAnsi="Times New Roman" w:cs="Times New Roman"/>
          <w:sz w:val="24"/>
          <w:szCs w:val="24"/>
        </w:rPr>
        <w:t xml:space="preserve">troisième et </w:t>
      </w:r>
      <w:r w:rsidRPr="003860CE">
        <w:rPr>
          <w:rFonts w:ascii="Times New Roman" w:hAnsi="Times New Roman" w:cs="Times New Roman"/>
          <w:sz w:val="24"/>
          <w:szCs w:val="24"/>
        </w:rPr>
        <w:t xml:space="preserve">dernière section </w:t>
      </w:r>
      <w:r>
        <w:rPr>
          <w:rFonts w:ascii="Times New Roman" w:hAnsi="Times New Roman" w:cs="Times New Roman"/>
          <w:sz w:val="24"/>
          <w:szCs w:val="24"/>
        </w:rPr>
        <w:t xml:space="preserve">apporte une contribution critique en discutant certaines insuffisances </w:t>
      </w:r>
      <w:r w:rsidRPr="003860CE">
        <w:rPr>
          <w:rFonts w:ascii="Times New Roman" w:hAnsi="Times New Roman" w:cs="Times New Roman"/>
          <w:sz w:val="24"/>
          <w:szCs w:val="24"/>
        </w:rPr>
        <w:t xml:space="preserve">de l’économie politique de la TMM.  </w:t>
      </w: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center"/>
        <w:rPr>
          <w:rFonts w:ascii="Times New Roman" w:hAnsi="Times New Roman" w:cs="Times New Roman"/>
          <w:i/>
          <w:sz w:val="24"/>
          <w:szCs w:val="24"/>
        </w:rPr>
      </w:pPr>
      <w:r w:rsidRPr="003860CE">
        <w:rPr>
          <w:rFonts w:ascii="Times New Roman" w:hAnsi="Times New Roman" w:cs="Times New Roman"/>
          <w:b/>
          <w:sz w:val="24"/>
          <w:szCs w:val="24"/>
        </w:rPr>
        <w:t>LA TMM N’EST PAS UN TRACT POLITIQUE POUR UN CAMP PROGRESSISTE EN PANNE D’IDÉES</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La TMM est souvent critiquée pour la dimension politique qu’elle revêt et qui constituerait sa véritable motivation comme le postulent </w:t>
      </w:r>
      <w:proofErr w:type="spellStart"/>
      <w:r w:rsidRPr="003860CE">
        <w:rPr>
          <w:rFonts w:ascii="Times New Roman" w:hAnsi="Times New Roman" w:cs="Times New Roman"/>
          <w:sz w:val="24"/>
          <w:szCs w:val="24"/>
        </w:rPr>
        <w:t>Drumetz</w:t>
      </w:r>
      <w:proofErr w:type="spellEnd"/>
      <w:r w:rsidRPr="003860CE">
        <w:rPr>
          <w:rFonts w:ascii="Times New Roman" w:hAnsi="Times New Roman" w:cs="Times New Roman"/>
          <w:sz w:val="24"/>
          <w:szCs w:val="24"/>
        </w:rPr>
        <w:t xml:space="preserve"> et </w:t>
      </w:r>
      <w:proofErr w:type="spellStart"/>
      <w:r w:rsidRPr="003860CE">
        <w:rPr>
          <w:rFonts w:ascii="Times New Roman" w:hAnsi="Times New Roman" w:cs="Times New Roman"/>
          <w:sz w:val="24"/>
          <w:szCs w:val="24"/>
        </w:rPr>
        <w:t>Pfsiter</w:t>
      </w:r>
      <w:proofErr w:type="spellEnd"/>
      <w:r w:rsidRPr="003860CE">
        <w:rPr>
          <w:rFonts w:ascii="Times New Roman" w:hAnsi="Times New Roman" w:cs="Times New Roman"/>
          <w:sz w:val="24"/>
          <w:szCs w:val="24"/>
        </w:rPr>
        <w:t xml:space="preserve"> (2021). Cette perception s’explique tout d’abord par le profond désaccord théorique que suscitent les préconisations de la TMM dans la sphère académique si l’on se réfère au sondage mené auprès du panel d’économistes de </w:t>
      </w:r>
      <w:r w:rsidRPr="003860CE">
        <w:rPr>
          <w:rFonts w:ascii="Times New Roman" w:hAnsi="Times New Roman" w:cs="Times New Roman"/>
          <w:i/>
          <w:sz w:val="24"/>
          <w:szCs w:val="24"/>
        </w:rPr>
        <w:t xml:space="preserve">l’Initiative on Global </w:t>
      </w:r>
      <w:proofErr w:type="spellStart"/>
      <w:r w:rsidRPr="003860CE">
        <w:rPr>
          <w:rFonts w:ascii="Times New Roman" w:hAnsi="Times New Roman" w:cs="Times New Roman"/>
          <w:i/>
          <w:sz w:val="24"/>
          <w:szCs w:val="24"/>
        </w:rPr>
        <w:t>Markets</w:t>
      </w:r>
      <w:proofErr w:type="spellEnd"/>
      <w:r w:rsidRPr="003860CE">
        <w:rPr>
          <w:rFonts w:ascii="Times New Roman" w:hAnsi="Times New Roman" w:cs="Times New Roman"/>
          <w:sz w:val="24"/>
          <w:szCs w:val="24"/>
        </w:rPr>
        <w:t xml:space="preserve"> de l’Université de Chicago</w:t>
      </w:r>
      <w:r w:rsidRPr="003860CE">
        <w:rPr>
          <w:rStyle w:val="Appeldenotedefin"/>
          <w:rFonts w:ascii="Times New Roman" w:hAnsi="Times New Roman" w:cs="Times New Roman"/>
          <w:sz w:val="24"/>
          <w:szCs w:val="24"/>
        </w:rPr>
        <w:endnoteReference w:id="6"/>
      </w:r>
      <w:r w:rsidRPr="003860CE">
        <w:rPr>
          <w:rFonts w:ascii="Times New Roman" w:hAnsi="Times New Roman" w:cs="Times New Roman"/>
          <w:sz w:val="24"/>
          <w:szCs w:val="24"/>
        </w:rPr>
        <w:t xml:space="preserve">. A la proposition : </w:t>
      </w:r>
      <w:r w:rsidRPr="003860CE">
        <w:rPr>
          <w:rFonts w:ascii="Times New Roman" w:hAnsi="Times New Roman" w:cs="Times New Roman"/>
          <w:i/>
          <w:sz w:val="24"/>
          <w:szCs w:val="24"/>
        </w:rPr>
        <w:t xml:space="preserve">« Les pays pouvant emprunter dans leur propre monnaie ne devraient pas se </w:t>
      </w:r>
      <w:r w:rsidRPr="003860CE">
        <w:rPr>
          <w:rFonts w:ascii="Times New Roman" w:hAnsi="Times New Roman" w:cs="Times New Roman"/>
          <w:i/>
          <w:sz w:val="24"/>
          <w:szCs w:val="24"/>
        </w:rPr>
        <w:lastRenderedPageBreak/>
        <w:t>soucier des déficits budgétaires puisqu’ils peuvent toujours créer de la monnaie pour financer leur dette »</w:t>
      </w:r>
      <w:r w:rsidRPr="003860CE">
        <w:rPr>
          <w:rFonts w:ascii="Times New Roman" w:hAnsi="Times New Roman" w:cs="Times New Roman"/>
          <w:sz w:val="24"/>
          <w:szCs w:val="24"/>
        </w:rPr>
        <w:t xml:space="preserve">, 36% des membres du panel se sont déclarés en désaccord et 52% fortement en désaccord. Des économistes de l’offre voient dans la TMM une impasse conduisant à des épisodes d’hyperinflation ou de défaut comme Edwards </w:t>
      </w:r>
      <w:r>
        <w:rPr>
          <w:rFonts w:ascii="Times New Roman" w:hAnsi="Times New Roman" w:cs="Times New Roman"/>
          <w:sz w:val="24"/>
          <w:szCs w:val="24"/>
        </w:rPr>
        <w:t>le suggère</w:t>
      </w:r>
      <w:r w:rsidRPr="003860CE">
        <w:rPr>
          <w:rFonts w:ascii="Times New Roman" w:hAnsi="Times New Roman" w:cs="Times New Roman"/>
          <w:sz w:val="24"/>
          <w:szCs w:val="24"/>
        </w:rPr>
        <w:t xml:space="preserve"> en Amérique Latine. Des économistes néo-keynésiens comme Summers (2019) ou Krugman (2019), favorables aux déficits publics, ont également exprimé leur désaccord en qualifiant respectivement la TMM de « recette pour le désastre » et de théorie « stupide » (</w:t>
      </w:r>
      <w:proofErr w:type="spellStart"/>
      <w:r w:rsidRPr="003860CE">
        <w:rPr>
          <w:rFonts w:ascii="Times New Roman" w:hAnsi="Times New Roman" w:cs="Times New Roman"/>
          <w:i/>
          <w:sz w:val="24"/>
          <w:szCs w:val="24"/>
        </w:rPr>
        <w:t>wonkish</w:t>
      </w:r>
      <w:proofErr w:type="spellEnd"/>
      <w:r w:rsidRPr="003860CE">
        <w:rPr>
          <w:rFonts w:ascii="Times New Roman" w:hAnsi="Times New Roman" w:cs="Times New Roman"/>
          <w:sz w:val="24"/>
          <w:szCs w:val="24"/>
        </w:rPr>
        <w:t xml:space="preserve">). </w:t>
      </w:r>
      <w:proofErr w:type="spellStart"/>
      <w:r w:rsidRPr="003860CE">
        <w:rPr>
          <w:rFonts w:ascii="Times New Roman" w:hAnsi="Times New Roman" w:cs="Times New Roman"/>
          <w:sz w:val="24"/>
          <w:szCs w:val="24"/>
        </w:rPr>
        <w:t>Buiter</w:t>
      </w:r>
      <w:proofErr w:type="spellEnd"/>
      <w:r w:rsidRPr="003860CE">
        <w:rPr>
          <w:rFonts w:ascii="Times New Roman" w:hAnsi="Times New Roman" w:cs="Times New Roman"/>
          <w:sz w:val="24"/>
          <w:szCs w:val="24"/>
        </w:rPr>
        <w:t xml:space="preserve"> et Mann (2019), tout en reconnaissant certains fondements théoriques, regrettent quant à eux le simplisme des propositions « de gauche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Le caractère scientifique de la TMM est, d’autre part, remis en question sur la forme que prend la diffusion de ses idées. Selon Hartley (2020), la TMM n’est pas une théorie scientifique falsifiable et ses contributeurs se contentent de colloques internes plus proches de « conventions politiques »</w:t>
      </w:r>
      <w:r w:rsidRPr="003860CE">
        <w:rPr>
          <w:rStyle w:val="Appeldenotedefin"/>
          <w:rFonts w:ascii="Times New Roman" w:hAnsi="Times New Roman" w:cs="Times New Roman"/>
          <w:sz w:val="24"/>
          <w:szCs w:val="24"/>
        </w:rPr>
        <w:endnoteReference w:id="7"/>
      </w:r>
      <w:r w:rsidRPr="003860CE">
        <w:rPr>
          <w:rFonts w:ascii="Times New Roman" w:hAnsi="Times New Roman" w:cs="Times New Roman"/>
          <w:sz w:val="24"/>
          <w:szCs w:val="24"/>
        </w:rPr>
        <w:t>. Krugman (2019) qui a souhaité engager un dialogue avec les partisans de la TMM lui reproche une instabilité théorique néfaste pour la discussion scientifique</w:t>
      </w:r>
      <w:r w:rsidRPr="003860CE">
        <w:rPr>
          <w:rStyle w:val="Appeldenotedefin"/>
          <w:rFonts w:ascii="Times New Roman" w:hAnsi="Times New Roman" w:cs="Times New Roman"/>
          <w:sz w:val="24"/>
          <w:szCs w:val="24"/>
        </w:rPr>
        <w:endnoteReference w:id="8"/>
      </w:r>
      <w:r w:rsidRPr="003860CE">
        <w:rPr>
          <w:rFonts w:ascii="Times New Roman" w:hAnsi="Times New Roman" w:cs="Times New Roman"/>
          <w:sz w:val="24"/>
          <w:szCs w:val="24"/>
        </w:rPr>
        <w:t xml:space="preserv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Toutefois, l</w:t>
      </w:r>
      <w:r>
        <w:rPr>
          <w:rFonts w:ascii="Times New Roman" w:hAnsi="Times New Roman" w:cs="Times New Roman"/>
          <w:sz w:val="24"/>
          <w:szCs w:val="24"/>
        </w:rPr>
        <w:t>a réduction</w:t>
      </w:r>
      <w:r w:rsidRPr="003860CE">
        <w:rPr>
          <w:rFonts w:ascii="Times New Roman" w:hAnsi="Times New Roman" w:cs="Times New Roman"/>
          <w:sz w:val="24"/>
          <w:szCs w:val="24"/>
        </w:rPr>
        <w:t xml:space="preserve"> de la TMM à un simple tract politique semble excessive pour deux raisons. Premièrement, les travaux de la TMM présentent une certaine cohérence interne. En s’appuyant sur une conception </w:t>
      </w:r>
      <w:proofErr w:type="spellStart"/>
      <w:r w:rsidRPr="003860CE">
        <w:rPr>
          <w:rFonts w:ascii="Times New Roman" w:hAnsi="Times New Roman" w:cs="Times New Roman"/>
          <w:sz w:val="24"/>
          <w:szCs w:val="24"/>
        </w:rPr>
        <w:t>chartaliste</w:t>
      </w:r>
      <w:proofErr w:type="spellEnd"/>
      <w:r w:rsidRPr="003860CE">
        <w:rPr>
          <w:rFonts w:ascii="Times New Roman" w:hAnsi="Times New Roman" w:cs="Times New Roman"/>
          <w:sz w:val="24"/>
          <w:szCs w:val="24"/>
        </w:rPr>
        <w:t xml:space="preserve"> de la monnaie et en considérant un environnement politique totalement souverain, la TMM décline un cadre macroéconomique dans lequel un Gouvernement pilote la politique économique en appliquant un programme de dépenses publiques visant à atteindre les objectifs sociaux validés démocratiquement. La TMM voit en l’État le seul agent économique disposant du pouvoir de création monétaire illimité, de la légitimité de la collecte de l’impôt (dans cette monnaie) et d’une durée de vie infinie facilitant l’endettement au long cours. En cela, la TMM repose sur une vision keynésienne selon laquelle seul l’État est en mesure de se substituer aux agents privés pour dépenser et investir en cas de pessimisme des agents privés</w:t>
      </w:r>
      <w:r w:rsidRPr="003860CE">
        <w:rPr>
          <w:rStyle w:val="Appeldenotedefin"/>
          <w:rFonts w:ascii="Times New Roman" w:hAnsi="Times New Roman" w:cs="Times New Roman"/>
          <w:sz w:val="24"/>
          <w:szCs w:val="24"/>
        </w:rPr>
        <w:endnoteReference w:id="9"/>
      </w:r>
      <w:r w:rsidRPr="003860CE">
        <w:rPr>
          <w:rFonts w:ascii="Times New Roman" w:hAnsi="Times New Roman" w:cs="Times New Roman"/>
          <w:sz w:val="24"/>
          <w:szCs w:val="24"/>
        </w:rPr>
        <w:t>. On retrouve au cœur de cette théorie le principe de dominance budgétaire où la gestion monétaire est au service des orientations budgétaires. C’est sur la base de ce cadre théorique se nourrissant d’influences passées qu’il convient de formuler un point de vue critique en analysant ses failles, ses limites et ses risques afin d’alimenter la controverse scientifique. Toutefois, les sources d’inspiration de la TMM et ses préconisations politiques certes éloignées de la pensée dominante ne justifient pas de la réduire au statut de programme politique.</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Les évènements des quinze dernières années ont précipité l’instauration de la dominance budgétaire dans les politiques économiques. Depuis 2008 et le déclenchement de la crise financière, la politique monétaire a été « capturée » par la politique budgétaire afin de redresser des économies bloquées dans une trappe à liquidité. Cette hiérarchie a été prolongée avec la crise sanitaire qui a poussé les gouvernements à compenser une mise à l’arrêt forcée d’une partie </w:t>
      </w:r>
      <w:r>
        <w:rPr>
          <w:rFonts w:ascii="Times New Roman" w:hAnsi="Times New Roman" w:cs="Times New Roman"/>
          <w:sz w:val="24"/>
          <w:szCs w:val="24"/>
        </w:rPr>
        <w:t>de l’économie</w:t>
      </w:r>
      <w:r w:rsidRPr="003860CE">
        <w:rPr>
          <w:rFonts w:ascii="Times New Roman" w:hAnsi="Times New Roman" w:cs="Times New Roman"/>
          <w:sz w:val="24"/>
          <w:szCs w:val="24"/>
        </w:rPr>
        <w:t>. Enfin, les préconisations de la TMM sont mobilisées dans la réflexion autour de financement de grands plans d’investissement que le secteur privé ne parviendrait pas à assumer seul (infrastructures, transition écologique</w:t>
      </w:r>
      <w:r w:rsidRPr="003860CE">
        <w:rPr>
          <w:rStyle w:val="Appeldenotedefin"/>
          <w:rFonts w:ascii="Times New Roman" w:hAnsi="Times New Roman" w:cs="Times New Roman"/>
          <w:sz w:val="24"/>
          <w:szCs w:val="24"/>
        </w:rPr>
        <w:endnoteReference w:id="10"/>
      </w:r>
      <w:r w:rsidRPr="003860CE">
        <w:rPr>
          <w:rFonts w:ascii="Times New Roman" w:hAnsi="Times New Roman" w:cs="Times New Roman"/>
          <w:sz w:val="24"/>
          <w:szCs w:val="24"/>
        </w:rPr>
        <w:t xml:space="preserve">). Ces trois séquences légitiment donc une théorie économique qui ne relève pas de la dimension électorale même si elle est « exploitée » à cette fin par des dirigeants </w:t>
      </w:r>
      <w:r>
        <w:rPr>
          <w:rFonts w:ascii="Times New Roman" w:hAnsi="Times New Roman" w:cs="Times New Roman"/>
          <w:sz w:val="24"/>
          <w:szCs w:val="24"/>
        </w:rPr>
        <w:t xml:space="preserve">politiques </w:t>
      </w:r>
      <w:r w:rsidRPr="003860CE">
        <w:rPr>
          <w:rFonts w:ascii="Times New Roman" w:hAnsi="Times New Roman" w:cs="Times New Roman"/>
          <w:sz w:val="24"/>
          <w:szCs w:val="24"/>
        </w:rPr>
        <w:t>confrontés à diverses problématiques, ou aspirant à l’être. Une telle combinaison de politiques économiques s’impose donc dans des circonstances particulières, sans nécessairement s’écarter des recommandations orthodoxes : lorsque la politique monétaire est devenue inopérante</w:t>
      </w:r>
      <w:r>
        <w:rPr>
          <w:rFonts w:ascii="Times New Roman" w:hAnsi="Times New Roman" w:cs="Times New Roman"/>
          <w:sz w:val="24"/>
          <w:szCs w:val="24"/>
        </w:rPr>
        <w:t> ;</w:t>
      </w:r>
      <w:r w:rsidRPr="003860CE">
        <w:rPr>
          <w:rFonts w:ascii="Times New Roman" w:hAnsi="Times New Roman" w:cs="Times New Roman"/>
          <w:sz w:val="24"/>
          <w:szCs w:val="24"/>
        </w:rPr>
        <w:t xml:space="preserve"> </w:t>
      </w:r>
      <w:r>
        <w:rPr>
          <w:rFonts w:ascii="Times New Roman" w:hAnsi="Times New Roman" w:cs="Times New Roman"/>
          <w:sz w:val="24"/>
          <w:szCs w:val="24"/>
        </w:rPr>
        <w:t>l</w:t>
      </w:r>
      <w:r w:rsidRPr="003860CE">
        <w:rPr>
          <w:rFonts w:ascii="Times New Roman" w:hAnsi="Times New Roman" w:cs="Times New Roman"/>
          <w:sz w:val="24"/>
          <w:szCs w:val="24"/>
        </w:rPr>
        <w:t xml:space="preserve">orsqu’un choc exogène provoque une </w:t>
      </w:r>
      <w:r w:rsidRPr="003860CE">
        <w:rPr>
          <w:rFonts w:ascii="Times New Roman" w:hAnsi="Times New Roman" w:cs="Times New Roman"/>
          <w:sz w:val="24"/>
          <w:szCs w:val="24"/>
        </w:rPr>
        <w:lastRenderedPageBreak/>
        <w:t>interruption de l’activité économique et des flux de revenus associés</w:t>
      </w:r>
      <w:r>
        <w:rPr>
          <w:rFonts w:ascii="Times New Roman" w:hAnsi="Times New Roman" w:cs="Times New Roman"/>
          <w:sz w:val="24"/>
          <w:szCs w:val="24"/>
        </w:rPr>
        <w:t> ;</w:t>
      </w:r>
      <w:r w:rsidRPr="003860CE">
        <w:rPr>
          <w:rFonts w:ascii="Times New Roman" w:hAnsi="Times New Roman" w:cs="Times New Roman"/>
          <w:sz w:val="24"/>
          <w:szCs w:val="24"/>
        </w:rPr>
        <w:t xml:space="preserve"> lorsque </w:t>
      </w:r>
      <w:r>
        <w:rPr>
          <w:rFonts w:ascii="Times New Roman" w:hAnsi="Times New Roman" w:cs="Times New Roman"/>
          <w:sz w:val="24"/>
          <w:szCs w:val="24"/>
        </w:rPr>
        <w:t>le rendement privé d’un investissement est insuffisant, lointain ou incertain</w:t>
      </w:r>
      <w:r w:rsidRPr="003860CE">
        <w:rPr>
          <w:rFonts w:ascii="Times New Roman" w:hAnsi="Times New Roman" w:cs="Times New Roman"/>
          <w:sz w:val="24"/>
          <w:szCs w:val="24"/>
        </w:rPr>
        <w:t xml:space="preserve"> en dépit de </w:t>
      </w:r>
      <w:r>
        <w:rPr>
          <w:rFonts w:ascii="Times New Roman" w:hAnsi="Times New Roman" w:cs="Times New Roman"/>
          <w:sz w:val="24"/>
          <w:szCs w:val="24"/>
        </w:rPr>
        <w:t>sa</w:t>
      </w:r>
      <w:r w:rsidRPr="003860CE">
        <w:rPr>
          <w:rFonts w:ascii="Times New Roman" w:hAnsi="Times New Roman" w:cs="Times New Roman"/>
          <w:sz w:val="24"/>
          <w:szCs w:val="24"/>
        </w:rPr>
        <w:t xml:space="preserve"> rentabilité sociale. Il convient en revanche de s’interroger sur le caractère permanent de la dominance budgétaire.</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Une seconde raison conduisant à relativiser la dimension idéologique de la TMM tient aux faits politiques et économiques. Bien que la TMM puise ses fondements dans la théorie keynésienne et fournit des préconisations en ligne avec les programmes progressistes et travaillistes, des gouvernements libéraux et conservateurs n’hésitent pas ponctuellement à creuser le déficit budgétaire et à augmenter la dette publique lorsque les évènements l’imposent. Si les représentants de ces partis se déclarent hostiles au financement monétaire de la dette publique à cause des conséquences négatives pour son électorat</w:t>
      </w:r>
      <w:r w:rsidRPr="003860CE">
        <w:rPr>
          <w:rStyle w:val="Appeldenotedefin"/>
          <w:rFonts w:ascii="Times New Roman" w:hAnsi="Times New Roman" w:cs="Times New Roman"/>
          <w:sz w:val="24"/>
          <w:szCs w:val="24"/>
        </w:rPr>
        <w:endnoteReference w:id="11"/>
      </w:r>
      <w:r w:rsidRPr="003860CE">
        <w:rPr>
          <w:rFonts w:ascii="Times New Roman" w:hAnsi="Times New Roman" w:cs="Times New Roman"/>
          <w:sz w:val="24"/>
          <w:szCs w:val="24"/>
        </w:rPr>
        <w:t xml:space="preserve"> (inflation, taux bas, défaut éventuel), la pratique vient parfois démentir le discours. Le cas américain est particulièrement éclairant puisque les déficits publics se sont répétés et la dette publique fédérale a cru continuellement indépendamment des majorités politiques en place comme le montrent les données reportées dans les graphiques 1 et 2. Ainsi, les présidents républicains ont contribué à l’accroissement de la dette fédérale, en particulier lors des mandats Reagan</w:t>
      </w:r>
      <w:r w:rsidRPr="003860CE">
        <w:rPr>
          <w:rStyle w:val="Appeldenotedefin"/>
          <w:rFonts w:ascii="Times New Roman" w:hAnsi="Times New Roman" w:cs="Times New Roman"/>
          <w:sz w:val="24"/>
          <w:szCs w:val="24"/>
        </w:rPr>
        <w:endnoteReference w:id="12"/>
      </w:r>
      <w:r w:rsidRPr="003860CE">
        <w:rPr>
          <w:rFonts w:ascii="Times New Roman" w:hAnsi="Times New Roman" w:cs="Times New Roman"/>
          <w:sz w:val="24"/>
          <w:szCs w:val="24"/>
        </w:rPr>
        <w:t>, Bush (père et fils), Trump et Ford quand les démocrates ont été plus modérés. Ces déficits s’expliquent toutefois plus largement par des allégements d’impôts même si la dépense publique a cru à des montants records sous les présidences Trump et Nixon</w:t>
      </w:r>
      <w:r w:rsidRPr="003860CE">
        <w:rPr>
          <w:rStyle w:val="Appeldenotedefin"/>
          <w:rFonts w:ascii="Times New Roman" w:hAnsi="Times New Roman" w:cs="Times New Roman"/>
          <w:sz w:val="24"/>
          <w:szCs w:val="24"/>
        </w:rPr>
        <w:endnoteReference w:id="13"/>
      </w:r>
      <w:r w:rsidRPr="003860CE">
        <w:rPr>
          <w:rFonts w:ascii="Times New Roman" w:hAnsi="Times New Roman" w:cs="Times New Roman"/>
          <w:sz w:val="24"/>
          <w:szCs w:val="24"/>
        </w:rPr>
        <w:t xml:space="preserv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Deux autres cas peuvent être mentionnés. Tout d’abord, le cas du Royaume-Uni présente certaines similarités avec les Etats-Unis. Après la seconde guerre mondiale, le Royaume-Uni est parvenu à réduire le ratio dette publique sur PIB tout en connaissant une situation de déficits publics permanente au gré des alternances politiques (figure 2). Après une stabilisation de ce ratio pendant les années 90, ce dernier a augmenté sous les effets de la crise financière de 2008 puis de la crise sanitaire. Si le gouvernement travailliste de Gordon Brown (2007-2010) a subi la plus forte augmentation du ratio, les cabinets conservateurs qui ont suivi (Cameron, May puis Johnson) n’ont pas inversé la tendance. On note d’ailleurs que la réélection des conservateurs en 2019 après la finalisation du Brexit s’est faite sur une plateforme programmatique très volontariste mêlant hausse des dépenses publiques et allègements fiscaux comme pour signifier une liberté retrouvée hors de l’Union Européenne. Le second cas concerne le Japon </w:t>
      </w:r>
      <w:r>
        <w:rPr>
          <w:rFonts w:ascii="Times New Roman" w:hAnsi="Times New Roman" w:cs="Times New Roman"/>
          <w:sz w:val="24"/>
          <w:szCs w:val="24"/>
        </w:rPr>
        <w:t>souv</w:t>
      </w:r>
      <w:r w:rsidRPr="003860CE">
        <w:rPr>
          <w:rFonts w:ascii="Times New Roman" w:hAnsi="Times New Roman" w:cs="Times New Roman"/>
          <w:sz w:val="24"/>
          <w:szCs w:val="24"/>
        </w:rPr>
        <w:t>ent utilisé comme illustration de la TMM. Après la crise financière qui a frappé le pays au début des années 90, les gouvernements qui se sont succédé ont massivement employé cette combinaison de politiques économiques. En proie à la déflation, les gouvernements ont systématiquement voté des budgets déficitaires après 1992 conduisant la dette publique vers un niveau jamais atteint</w:t>
      </w:r>
      <w:r>
        <w:rPr>
          <w:rFonts w:ascii="Times New Roman" w:hAnsi="Times New Roman" w:cs="Times New Roman"/>
          <w:sz w:val="24"/>
          <w:szCs w:val="24"/>
        </w:rPr>
        <w:t>,</w:t>
      </w:r>
      <w:r w:rsidRPr="003860CE">
        <w:rPr>
          <w:rFonts w:ascii="Times New Roman" w:hAnsi="Times New Roman" w:cs="Times New Roman"/>
          <w:sz w:val="24"/>
          <w:szCs w:val="24"/>
        </w:rPr>
        <w:t xml:space="preserve"> au-delà de 250% de PIB. Durant cette période, la majorité politique était quasi-systématiquement détenue par le Parti Libéral Démocrate japonais qui, malgré une diversité de courants, est identifié comme un parti conservateur.</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Ces exemples pourraient être interprétés comme une validation de la thèse centrale de la TMM selon laquelle le gouvernement peut connaître un besoin de financement structurel sans que la soutenabilité de sa dette ne soit remise en cause. Néanmoins, ces situations n’éliminent pas les risques macroéconomiques associés à un stimulus permanent de l’économie</w:t>
      </w:r>
      <w:r>
        <w:rPr>
          <w:rFonts w:ascii="Times New Roman" w:hAnsi="Times New Roman" w:cs="Times New Roman"/>
          <w:sz w:val="24"/>
          <w:szCs w:val="24"/>
        </w:rPr>
        <w:t xml:space="preserve"> </w:t>
      </w:r>
      <w:r w:rsidRPr="003860CE">
        <w:rPr>
          <w:rFonts w:ascii="Times New Roman" w:hAnsi="Times New Roman" w:cs="Times New Roman"/>
          <w:sz w:val="24"/>
          <w:szCs w:val="24"/>
        </w:rPr>
        <w:t>comme des pressions inflationnistes ou l’instabilité financière. En outre, des interrogations ont été soulevées quant à la généralisation de la recette à tous les pays. Les pays disposant d’une monnaie internationalement utilisée, au premier rang desquels les Etats-Unis, ont un avantage évident dans l’application des préconisations de la TMM.</w:t>
      </w:r>
    </w:p>
    <w:p w:rsidR="008265CE" w:rsidRPr="003860CE" w:rsidRDefault="008265CE" w:rsidP="008265CE">
      <w:pPr>
        <w:pStyle w:val="Lgende"/>
        <w:keepNext/>
        <w:rPr>
          <w:rFonts w:ascii="Times New Roman" w:hAnsi="Times New Roman" w:cs="Times New Roman"/>
          <w:b/>
          <w:i w:val="0"/>
          <w:color w:val="000000" w:themeColor="text1"/>
          <w:sz w:val="24"/>
          <w:szCs w:val="24"/>
        </w:rPr>
      </w:pPr>
      <w:r w:rsidRPr="003860CE">
        <w:rPr>
          <w:rFonts w:ascii="Times New Roman" w:hAnsi="Times New Roman" w:cs="Times New Roman"/>
          <w:b/>
          <w:i w:val="0"/>
          <w:color w:val="000000" w:themeColor="text1"/>
          <w:sz w:val="24"/>
          <w:szCs w:val="24"/>
        </w:rPr>
        <w:lastRenderedPageBreak/>
        <w:t xml:space="preserve">Figure </w:t>
      </w:r>
      <w:r w:rsidRPr="003860CE">
        <w:rPr>
          <w:rFonts w:ascii="Times New Roman" w:hAnsi="Times New Roman" w:cs="Times New Roman"/>
          <w:b/>
          <w:i w:val="0"/>
          <w:color w:val="000000" w:themeColor="text1"/>
          <w:sz w:val="24"/>
          <w:szCs w:val="24"/>
        </w:rPr>
        <w:fldChar w:fldCharType="begin"/>
      </w:r>
      <w:r w:rsidRPr="003860CE">
        <w:rPr>
          <w:rFonts w:ascii="Times New Roman" w:hAnsi="Times New Roman" w:cs="Times New Roman"/>
          <w:b/>
          <w:i w:val="0"/>
          <w:color w:val="000000" w:themeColor="text1"/>
          <w:sz w:val="24"/>
          <w:szCs w:val="24"/>
        </w:rPr>
        <w:instrText xml:space="preserve"> SEQ Figure \* ARABIC </w:instrText>
      </w:r>
      <w:r w:rsidRPr="003860CE">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3860CE">
        <w:rPr>
          <w:rFonts w:ascii="Times New Roman" w:hAnsi="Times New Roman" w:cs="Times New Roman"/>
          <w:b/>
          <w:i w:val="0"/>
          <w:color w:val="000000" w:themeColor="text1"/>
          <w:sz w:val="24"/>
          <w:szCs w:val="24"/>
        </w:rPr>
        <w:fldChar w:fldCharType="end"/>
      </w:r>
      <w:r w:rsidRPr="003860CE">
        <w:rPr>
          <w:rFonts w:ascii="Times New Roman" w:hAnsi="Times New Roman" w:cs="Times New Roman"/>
          <w:b/>
          <w:i w:val="0"/>
          <w:color w:val="000000" w:themeColor="text1"/>
          <w:sz w:val="24"/>
          <w:szCs w:val="24"/>
        </w:rPr>
        <w:t xml:space="preserve"> Dette publique brute du gouvernement général en % du PIB</w:t>
      </w:r>
    </w:p>
    <w:p w:rsidR="008265CE" w:rsidRPr="003860CE" w:rsidRDefault="008265CE" w:rsidP="008265CE">
      <w:pPr>
        <w:jc w:val="center"/>
        <w:rPr>
          <w:rFonts w:ascii="Times New Roman" w:hAnsi="Times New Roman" w:cs="Times New Roman"/>
          <w:sz w:val="24"/>
          <w:szCs w:val="24"/>
        </w:rPr>
      </w:pPr>
      <w:r w:rsidRPr="003860CE">
        <w:rPr>
          <w:noProof/>
          <w:sz w:val="24"/>
          <w:szCs w:val="24"/>
        </w:rPr>
        <w:drawing>
          <wp:inline distT="0" distB="0" distL="0" distR="0" wp14:anchorId="1359D17C" wp14:editId="77C64ACD">
            <wp:extent cx="5400000" cy="3420000"/>
            <wp:effectExtent l="0" t="0" r="10795" b="9525"/>
            <wp:docPr id="1" name="Graphique 1">
              <a:extLst xmlns:a="http://schemas.openxmlformats.org/drawingml/2006/main">
                <a:ext uri="{FF2B5EF4-FFF2-40B4-BE49-F238E27FC236}">
                  <a16:creationId xmlns:a16="http://schemas.microsoft.com/office/drawing/2014/main" id="{6DBFA24A-3D3E-4BB8-BB97-F823CC026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65CE" w:rsidRPr="00C47C33" w:rsidRDefault="008265CE" w:rsidP="008265CE">
      <w:pPr>
        <w:rPr>
          <w:lang w:val="en-GB"/>
        </w:rPr>
      </w:pPr>
      <w:proofErr w:type="gramStart"/>
      <w:r w:rsidRPr="003860CE">
        <w:rPr>
          <w:rFonts w:ascii="Times New Roman" w:hAnsi="Times New Roman" w:cs="Times New Roman"/>
          <w:i/>
          <w:sz w:val="24"/>
          <w:szCs w:val="24"/>
          <w:lang w:val="en-GB"/>
        </w:rPr>
        <w:t>Source :</w:t>
      </w:r>
      <w:proofErr w:type="gramEnd"/>
      <w:r w:rsidRPr="003860CE">
        <w:rPr>
          <w:rFonts w:ascii="Times New Roman" w:hAnsi="Times New Roman" w:cs="Times New Roman"/>
          <w:i/>
          <w:sz w:val="24"/>
          <w:szCs w:val="24"/>
          <w:lang w:val="en-GB"/>
        </w:rPr>
        <w:t xml:space="preserve"> OCDE, National Accounts at a glance</w:t>
      </w:r>
    </w:p>
    <w:p w:rsidR="00B265A0" w:rsidRPr="003F5ADF" w:rsidRDefault="00B265A0" w:rsidP="008265CE">
      <w:pPr>
        <w:pStyle w:val="Lgende"/>
        <w:keepNext/>
        <w:rPr>
          <w:rFonts w:ascii="Times New Roman" w:hAnsi="Times New Roman" w:cs="Times New Roman"/>
          <w:b/>
          <w:i w:val="0"/>
          <w:color w:val="000000" w:themeColor="text1"/>
          <w:sz w:val="24"/>
          <w:szCs w:val="24"/>
          <w:lang w:val="en-GB"/>
        </w:rPr>
      </w:pPr>
    </w:p>
    <w:p w:rsidR="008265CE" w:rsidRPr="003860CE" w:rsidRDefault="008265CE" w:rsidP="008265CE">
      <w:pPr>
        <w:pStyle w:val="Lgende"/>
        <w:keepNext/>
        <w:rPr>
          <w:rFonts w:ascii="Times New Roman" w:hAnsi="Times New Roman" w:cs="Times New Roman"/>
          <w:b/>
          <w:i w:val="0"/>
          <w:color w:val="000000" w:themeColor="text1"/>
          <w:sz w:val="24"/>
          <w:szCs w:val="24"/>
        </w:rPr>
      </w:pPr>
      <w:r w:rsidRPr="003860CE">
        <w:rPr>
          <w:rFonts w:ascii="Times New Roman" w:hAnsi="Times New Roman" w:cs="Times New Roman"/>
          <w:b/>
          <w:i w:val="0"/>
          <w:color w:val="000000" w:themeColor="text1"/>
          <w:sz w:val="24"/>
          <w:szCs w:val="24"/>
        </w:rPr>
        <w:t xml:space="preserve">Figure </w:t>
      </w:r>
      <w:r w:rsidRPr="003860CE">
        <w:rPr>
          <w:rFonts w:ascii="Times New Roman" w:hAnsi="Times New Roman" w:cs="Times New Roman"/>
          <w:b/>
          <w:i w:val="0"/>
          <w:color w:val="000000" w:themeColor="text1"/>
          <w:sz w:val="24"/>
          <w:szCs w:val="24"/>
        </w:rPr>
        <w:fldChar w:fldCharType="begin"/>
      </w:r>
      <w:r w:rsidRPr="003860CE">
        <w:rPr>
          <w:rFonts w:ascii="Times New Roman" w:hAnsi="Times New Roman" w:cs="Times New Roman"/>
          <w:b/>
          <w:i w:val="0"/>
          <w:color w:val="000000" w:themeColor="text1"/>
          <w:sz w:val="24"/>
          <w:szCs w:val="24"/>
        </w:rPr>
        <w:instrText xml:space="preserve"> SEQ Figure \* ARABIC </w:instrText>
      </w:r>
      <w:r w:rsidRPr="003860CE">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2</w:t>
      </w:r>
      <w:r w:rsidRPr="003860CE">
        <w:rPr>
          <w:rFonts w:ascii="Times New Roman" w:hAnsi="Times New Roman" w:cs="Times New Roman"/>
          <w:b/>
          <w:i w:val="0"/>
          <w:color w:val="000000" w:themeColor="text1"/>
          <w:sz w:val="24"/>
          <w:szCs w:val="24"/>
        </w:rPr>
        <w:fldChar w:fldCharType="end"/>
      </w:r>
      <w:r w:rsidRPr="003860CE">
        <w:rPr>
          <w:rFonts w:ascii="Times New Roman" w:hAnsi="Times New Roman" w:cs="Times New Roman"/>
          <w:b/>
          <w:i w:val="0"/>
          <w:color w:val="000000" w:themeColor="text1"/>
          <w:sz w:val="24"/>
          <w:szCs w:val="24"/>
        </w:rPr>
        <w:t xml:space="preserve"> Solde financier des Administrations publiques en % du PIB</w:t>
      </w:r>
    </w:p>
    <w:p w:rsidR="008265CE" w:rsidRPr="003860CE" w:rsidRDefault="008265CE" w:rsidP="008265CE">
      <w:pPr>
        <w:jc w:val="center"/>
        <w:rPr>
          <w:rFonts w:ascii="Times New Roman" w:hAnsi="Times New Roman" w:cs="Times New Roman"/>
          <w:b/>
          <w:sz w:val="24"/>
          <w:szCs w:val="24"/>
        </w:rPr>
      </w:pPr>
      <w:r w:rsidRPr="003860CE">
        <w:rPr>
          <w:noProof/>
          <w:sz w:val="24"/>
          <w:szCs w:val="24"/>
        </w:rPr>
        <w:drawing>
          <wp:inline distT="0" distB="0" distL="0" distR="0" wp14:anchorId="0D3082A0" wp14:editId="190FFA30">
            <wp:extent cx="5400000" cy="3420000"/>
            <wp:effectExtent l="0" t="0" r="10795" b="9525"/>
            <wp:docPr id="3" name="Graphique 3">
              <a:extLst xmlns:a="http://schemas.openxmlformats.org/drawingml/2006/main">
                <a:ext uri="{FF2B5EF4-FFF2-40B4-BE49-F238E27FC236}">
                  <a16:creationId xmlns:a16="http://schemas.microsoft.com/office/drawing/2014/main" id="{8176B01B-CFE0-492C-95A5-5DF635894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5CE" w:rsidRPr="003860CE" w:rsidRDefault="008265CE" w:rsidP="008265CE">
      <w:pPr>
        <w:rPr>
          <w:rFonts w:ascii="Times New Roman" w:hAnsi="Times New Roman" w:cs="Times New Roman"/>
          <w:i/>
          <w:sz w:val="24"/>
          <w:szCs w:val="24"/>
        </w:rPr>
      </w:pPr>
      <w:r w:rsidRPr="003860CE">
        <w:rPr>
          <w:rFonts w:ascii="Times New Roman" w:hAnsi="Times New Roman" w:cs="Times New Roman"/>
          <w:i/>
          <w:sz w:val="24"/>
          <w:szCs w:val="24"/>
        </w:rPr>
        <w:t>Source : OCDE, Perspectives économiques</w:t>
      </w:r>
    </w:p>
    <w:p w:rsidR="008265CE" w:rsidRDefault="008265CE" w:rsidP="008265CE">
      <w:pPr>
        <w:jc w:val="center"/>
        <w:rPr>
          <w:rFonts w:ascii="Times New Roman" w:hAnsi="Times New Roman" w:cs="Times New Roman"/>
          <w:b/>
          <w:sz w:val="24"/>
          <w:szCs w:val="24"/>
        </w:rPr>
      </w:pPr>
    </w:p>
    <w:p w:rsidR="008265CE" w:rsidRPr="003860CE" w:rsidRDefault="008265CE" w:rsidP="008265CE">
      <w:pPr>
        <w:jc w:val="center"/>
        <w:rPr>
          <w:rFonts w:ascii="Times New Roman" w:hAnsi="Times New Roman" w:cs="Times New Roman"/>
          <w:b/>
          <w:sz w:val="24"/>
          <w:szCs w:val="24"/>
        </w:rPr>
      </w:pPr>
      <w:r w:rsidRPr="003860CE">
        <w:rPr>
          <w:rFonts w:ascii="Times New Roman" w:hAnsi="Times New Roman" w:cs="Times New Roman"/>
          <w:b/>
          <w:sz w:val="24"/>
          <w:szCs w:val="24"/>
        </w:rPr>
        <w:lastRenderedPageBreak/>
        <w:t>LES RISQUES MACRO</w:t>
      </w:r>
      <w:r>
        <w:rPr>
          <w:rFonts w:ascii="Times New Roman" w:hAnsi="Times New Roman" w:cs="Times New Roman"/>
          <w:b/>
          <w:sz w:val="24"/>
          <w:szCs w:val="24"/>
        </w:rPr>
        <w:t>É</w:t>
      </w:r>
      <w:r w:rsidRPr="003860CE">
        <w:rPr>
          <w:rFonts w:ascii="Times New Roman" w:hAnsi="Times New Roman" w:cs="Times New Roman"/>
          <w:b/>
          <w:sz w:val="24"/>
          <w:szCs w:val="24"/>
        </w:rPr>
        <w:t>CONOMIQUES DE LA DOMINANCE BUDG</w:t>
      </w:r>
      <w:r>
        <w:rPr>
          <w:rFonts w:ascii="Times New Roman" w:hAnsi="Times New Roman" w:cs="Times New Roman"/>
          <w:b/>
          <w:sz w:val="24"/>
          <w:szCs w:val="24"/>
        </w:rPr>
        <w:t>É</w:t>
      </w:r>
      <w:r w:rsidRPr="003860CE">
        <w:rPr>
          <w:rFonts w:ascii="Times New Roman" w:hAnsi="Times New Roman" w:cs="Times New Roman"/>
          <w:b/>
          <w:sz w:val="24"/>
          <w:szCs w:val="24"/>
        </w:rPr>
        <w:t>TAIRE</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En dépit de sa cohérence interne, la TMM</w:t>
      </w:r>
      <w:r>
        <w:rPr>
          <w:rFonts w:ascii="Times New Roman" w:hAnsi="Times New Roman" w:cs="Times New Roman"/>
          <w:sz w:val="24"/>
          <w:szCs w:val="24"/>
        </w:rPr>
        <w:t xml:space="preserve"> présente des limites évidentes inhérentes à l’instauration</w:t>
      </w:r>
      <w:r w:rsidRPr="003860CE">
        <w:rPr>
          <w:rFonts w:ascii="Times New Roman" w:hAnsi="Times New Roman" w:cs="Times New Roman"/>
          <w:sz w:val="24"/>
          <w:szCs w:val="24"/>
        </w:rPr>
        <w:t xml:space="preserve"> d’un régime permanent de dominance budgétaire</w:t>
      </w:r>
      <w:r>
        <w:rPr>
          <w:rFonts w:ascii="Times New Roman" w:hAnsi="Times New Roman" w:cs="Times New Roman"/>
          <w:sz w:val="24"/>
          <w:szCs w:val="24"/>
        </w:rPr>
        <w:t xml:space="preserve">.  Ces risques sont soulignés par des économistes orthodoxes et, de manière plus surprenante, par certains </w:t>
      </w:r>
      <w:proofErr w:type="spellStart"/>
      <w:r>
        <w:rPr>
          <w:rFonts w:ascii="Times New Roman" w:hAnsi="Times New Roman" w:cs="Times New Roman"/>
          <w:sz w:val="24"/>
          <w:szCs w:val="24"/>
        </w:rPr>
        <w:t>post-keynésiens</w:t>
      </w:r>
      <w:proofErr w:type="spellEnd"/>
      <w:r>
        <w:rPr>
          <w:rFonts w:ascii="Times New Roman" w:hAnsi="Times New Roman" w:cs="Times New Roman"/>
          <w:sz w:val="24"/>
          <w:szCs w:val="24"/>
        </w:rPr>
        <w:t xml:space="preserve"> qui voient dans la TMM une simplification excessive de l’analyse keynésienne originelle source d’inflation, d’instabilité financière et limitée à quelques économies développées.</w:t>
      </w:r>
    </w:p>
    <w:p w:rsidR="008265CE" w:rsidRPr="003860CE" w:rsidRDefault="008265CE" w:rsidP="008265CE">
      <w:pPr>
        <w:ind w:firstLine="708"/>
        <w:jc w:val="center"/>
        <w:rPr>
          <w:rFonts w:ascii="Times New Roman" w:hAnsi="Times New Roman" w:cs="Times New Roman"/>
          <w:i/>
          <w:sz w:val="24"/>
          <w:szCs w:val="24"/>
        </w:rPr>
      </w:pPr>
      <w:r w:rsidRPr="003860CE">
        <w:rPr>
          <w:rFonts w:ascii="Times New Roman" w:hAnsi="Times New Roman" w:cs="Times New Roman"/>
          <w:i/>
          <w:sz w:val="24"/>
          <w:szCs w:val="24"/>
        </w:rPr>
        <w:t>La menace inflationniste</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 xml:space="preserve">La question de l’inflation revient systématiquement dans les </w:t>
      </w:r>
      <w:r>
        <w:rPr>
          <w:rFonts w:ascii="Times New Roman" w:hAnsi="Times New Roman" w:cs="Times New Roman"/>
          <w:sz w:val="24"/>
          <w:szCs w:val="24"/>
        </w:rPr>
        <w:t>reproches</w:t>
      </w:r>
      <w:r w:rsidRPr="003860CE">
        <w:rPr>
          <w:rFonts w:ascii="Times New Roman" w:hAnsi="Times New Roman" w:cs="Times New Roman"/>
          <w:sz w:val="24"/>
          <w:szCs w:val="24"/>
        </w:rPr>
        <w:t xml:space="preserve"> adressés </w:t>
      </w:r>
      <w:r>
        <w:rPr>
          <w:rFonts w:ascii="Times New Roman" w:hAnsi="Times New Roman" w:cs="Times New Roman"/>
          <w:sz w:val="24"/>
          <w:szCs w:val="24"/>
        </w:rPr>
        <w:t>aux partisans de</w:t>
      </w:r>
      <w:r w:rsidRPr="003860CE">
        <w:rPr>
          <w:rFonts w:ascii="Times New Roman" w:hAnsi="Times New Roman" w:cs="Times New Roman"/>
          <w:sz w:val="24"/>
          <w:szCs w:val="24"/>
        </w:rPr>
        <w:t xml:space="preserve"> la TMM. L’approche monétariste trouve dans le financement monétaire du déficit le coupable idéal pour expliquer les pressions inflationnistes. L’excès de liquidité pousse les agents économiques à dépenser les encaisses réelles jugées excédentaires entraînant une hausse de la demande globale à la source de la hausse des prix. La réponse de la TMM est connue : le stimulus budgétaire et la création monétaire associée visent à combler un déficit de demande afin de la rendre compatible avec le niveau de plein emploi. Il s’agit donc de remobiliser des capacités de production inutilisées, ce qui n’est pas inflationniste aux yeux des keynésiens. Seuls les stimuli budgétaires tentant d’amener le chômage en-dessous d’un niveau incompressible le seraient en provoquant des tensions salariales à la hausse. La courbe de Phillips qui n’est pas précisée dans la modélisation de la TMM prendrait donc la forme d’un « L » dans le plan chômage-inflation (figure 3). La stabilité des prix serait seulement menacée au voisinage du taux de chômage incompressible (correspondant au plein emploi), c’est-à-dire dans la partie verticale en cas de stimulus additionnel qui pourrait en outre déclencher une hausse des anticipations d’inflation</w:t>
      </w:r>
      <w:r w:rsidRPr="003860CE">
        <w:rPr>
          <w:rStyle w:val="Appeldenotedefin"/>
          <w:rFonts w:ascii="Times New Roman" w:hAnsi="Times New Roman" w:cs="Times New Roman"/>
          <w:sz w:val="24"/>
          <w:szCs w:val="24"/>
        </w:rPr>
        <w:endnoteReference w:id="14"/>
      </w:r>
      <w:r w:rsidRPr="003860CE">
        <w:rPr>
          <w:rFonts w:ascii="Times New Roman" w:hAnsi="Times New Roman" w:cs="Times New Roman"/>
          <w:sz w:val="24"/>
          <w:szCs w:val="24"/>
        </w:rPr>
        <w:t>.</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 xml:space="preserve"> </w:t>
      </w:r>
      <w:r w:rsidRPr="003860CE">
        <w:rPr>
          <w:rFonts w:ascii="Times New Roman" w:hAnsi="Times New Roman" w:cs="Times New Roman"/>
          <w:sz w:val="24"/>
          <w:szCs w:val="24"/>
        </w:rPr>
        <w:tab/>
        <w:t xml:space="preserve">Pour contrer le risque inflationniste, la TMM s’en remet à une hausse des taxes visant à « refroidir » l’économie. Il nous apparaît toutefois que le réglage fin par les taxes se heurtent à trois limites importantes rendant aléatoire la maîtrise de l’inflation. Premièrement, le niveau de plein-emploi est imparfaitement décrit dans la TMM et aucun indicateur officiel n’est mobilisé pour le caractériser. Une approximation par un taux de chômage frictionnel serait vraisemblablement satisfaisante mais n’existe pas car il faudrait distinguer les chômeurs en véritable transition d’emplois </w:t>
      </w:r>
      <w:r>
        <w:rPr>
          <w:rFonts w:ascii="Times New Roman" w:hAnsi="Times New Roman" w:cs="Times New Roman"/>
          <w:sz w:val="24"/>
          <w:szCs w:val="24"/>
        </w:rPr>
        <w:t>et les chômeurs</w:t>
      </w:r>
      <w:r w:rsidRPr="003860CE">
        <w:rPr>
          <w:rFonts w:ascii="Times New Roman" w:hAnsi="Times New Roman" w:cs="Times New Roman"/>
          <w:sz w:val="24"/>
          <w:szCs w:val="24"/>
        </w:rPr>
        <w:t xml:space="preserve"> ne cherchant pas activement un emploi. Ainsi sur le plan agrégé, il existe un véritable risque de surchauffe de l’économie. Deuxièmement, si l’analyse macroéconomique repose sur une certaine cohérence théorique faisant du plein emploi le pivot de la politique fiscale, elle se heurte à une hétérogénéité sectorielle compliquant le pilotage de la politique budgétaire. On pourrait ainsi observer des situations de tension de recrutement dans certains secteurs avec des hausses de salaire tandis que des travailleurs avec des compétences spécifiques peuvent rester inemployés dans des secteurs en récession ou en déclin où les offres d’emplois se raréfient. Ces éléments d’ordre structurel ne peuvent être éliminés par le seul creusement du déficit budgétaire. Troisièmement, la dominance budgétaire implique d’activer le levier de l’impôt pour freiner la demande agrégée plutôt que le taux d’intérêt de court terme censé rester proche de zéro. Toutefois, cette action, en apparence simple dans les termes de la TMM</w:t>
      </w:r>
      <w:r>
        <w:rPr>
          <w:rFonts w:ascii="Times New Roman" w:hAnsi="Times New Roman" w:cs="Times New Roman"/>
          <w:sz w:val="24"/>
          <w:szCs w:val="24"/>
        </w:rPr>
        <w:t>,</w:t>
      </w:r>
      <w:r w:rsidRPr="003860CE">
        <w:rPr>
          <w:rFonts w:ascii="Times New Roman" w:hAnsi="Times New Roman" w:cs="Times New Roman"/>
          <w:sz w:val="24"/>
          <w:szCs w:val="24"/>
        </w:rPr>
        <w:t xml:space="preserve"> risque de se heurter à deux problèmes. Le premier concerne la nature des taxes, la base fiscale ciblée et donc les effets redistributifs possibles qui auront une incidence macroéconomique.</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Sur ce sujet, les promoteurs de la TMM ne précisent pas si les nouveaux impôts levés doivent viser l’ensemble des revenus ou plutôt contribuer à réduire les inégalités en accentuant la pression fiscale sur les plus riches par exemple en ciblant les revenus </w:t>
      </w:r>
      <w:r w:rsidRPr="003860CE">
        <w:rPr>
          <w:rFonts w:ascii="Times New Roman" w:hAnsi="Times New Roman" w:cs="Times New Roman"/>
          <w:sz w:val="24"/>
          <w:szCs w:val="24"/>
        </w:rPr>
        <w:lastRenderedPageBreak/>
        <w:t>du capital</w:t>
      </w:r>
      <w:r w:rsidRPr="003860CE">
        <w:rPr>
          <w:rStyle w:val="Appeldenotedefin"/>
          <w:rFonts w:ascii="Times New Roman" w:hAnsi="Times New Roman" w:cs="Times New Roman"/>
          <w:sz w:val="24"/>
          <w:szCs w:val="24"/>
        </w:rPr>
        <w:endnoteReference w:id="15"/>
      </w:r>
      <w:r w:rsidRPr="003860CE">
        <w:rPr>
          <w:rFonts w:ascii="Times New Roman" w:hAnsi="Times New Roman" w:cs="Times New Roman"/>
          <w:sz w:val="24"/>
          <w:szCs w:val="24"/>
        </w:rPr>
        <w:t xml:space="preserve">. L’effet de freinage recherché n’est donc pas garanti et dépend de l’option fiscale retenue par les décideurs. Le second problème renvoie à la conception de l’école du Choix Public suggérant que la décision impopulaire de relever les taxes n’aboutisse pas pour des raisons politiques notamment en période électorale. A nouveau, la dominance fiscale, en l’absence de contraintes budgétaires ou d’agencements institutionnels spécifiques, pourrait être un régime inefficace pour contenir les pressions inflationnistes. </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 xml:space="preserve">Une autre menace inflationniste est liée à la conséquence probable sur le taux de change d’un tel régime de dominance budgétaire. En privilégiant un régime de change purement flottant, la TMM s’expose à un risque de dépréciation de la monnaie domestique si le reste du monde ne souhaite pas accumuler d’actifs émis dans la monnaie du gouvernement. La dépréciation de la monnaie aura un effet mécaniquement inflationniste sur les biens et services importés non-substituables comme des matières premières, provoquant ainsi un choc d’offre </w:t>
      </w:r>
      <w:r>
        <w:rPr>
          <w:rFonts w:ascii="Times New Roman" w:hAnsi="Times New Roman" w:cs="Times New Roman"/>
          <w:sz w:val="24"/>
          <w:szCs w:val="24"/>
        </w:rPr>
        <w:t>négatif</w:t>
      </w:r>
      <w:r w:rsidRPr="003860CE">
        <w:rPr>
          <w:rFonts w:ascii="Times New Roman" w:hAnsi="Times New Roman" w:cs="Times New Roman"/>
          <w:sz w:val="24"/>
          <w:szCs w:val="24"/>
        </w:rPr>
        <w:t xml:space="preserve"> que la politique budgétaire ne pourrait résoudre.</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Dès lors, la perspective d’une dynamique </w:t>
      </w:r>
      <w:proofErr w:type="spellStart"/>
      <w:r w:rsidRPr="003860CE">
        <w:rPr>
          <w:rFonts w:ascii="Times New Roman" w:hAnsi="Times New Roman" w:cs="Times New Roman"/>
          <w:sz w:val="24"/>
          <w:szCs w:val="24"/>
        </w:rPr>
        <w:t>hyperinflationniste</w:t>
      </w:r>
      <w:proofErr w:type="spellEnd"/>
      <w:r w:rsidRPr="003860CE">
        <w:rPr>
          <w:rStyle w:val="Appeldenotedefin"/>
          <w:rFonts w:ascii="Times New Roman" w:hAnsi="Times New Roman" w:cs="Times New Roman"/>
          <w:sz w:val="24"/>
          <w:szCs w:val="24"/>
        </w:rPr>
        <w:endnoteReference w:id="16"/>
      </w:r>
      <w:r w:rsidRPr="003860CE">
        <w:rPr>
          <w:rFonts w:ascii="Times New Roman" w:hAnsi="Times New Roman" w:cs="Times New Roman"/>
          <w:sz w:val="24"/>
          <w:szCs w:val="24"/>
        </w:rPr>
        <w:t xml:space="preserve"> demeure possible si les agents économiques</w:t>
      </w:r>
      <w:r>
        <w:rPr>
          <w:rFonts w:ascii="Times New Roman" w:hAnsi="Times New Roman" w:cs="Times New Roman"/>
          <w:sz w:val="24"/>
          <w:szCs w:val="24"/>
        </w:rPr>
        <w:t>,</w:t>
      </w:r>
      <w:r w:rsidRPr="003860CE">
        <w:rPr>
          <w:rFonts w:ascii="Times New Roman" w:hAnsi="Times New Roman" w:cs="Times New Roman"/>
          <w:sz w:val="24"/>
          <w:szCs w:val="24"/>
        </w:rPr>
        <w:t xml:space="preserve"> conscients des effets inflationnistes d’une telle politique</w:t>
      </w:r>
      <w:r>
        <w:rPr>
          <w:rFonts w:ascii="Times New Roman" w:hAnsi="Times New Roman" w:cs="Times New Roman"/>
          <w:sz w:val="24"/>
          <w:szCs w:val="24"/>
        </w:rPr>
        <w:t>,</w:t>
      </w:r>
      <w:r w:rsidRPr="003860CE">
        <w:rPr>
          <w:rFonts w:ascii="Times New Roman" w:hAnsi="Times New Roman" w:cs="Times New Roman"/>
          <w:sz w:val="24"/>
          <w:szCs w:val="24"/>
        </w:rPr>
        <w:t xml:space="preserve"> finissent par « fuir devant la monnaie ». On retrouve ici une explication plus classique de l’inflation et de sa dynamique qui serait hors de contrôle du gouvernement, spécifiquement dans un tel régime où la politique monétaire n’est plus mobilisée. Dans un monde ouvert marqué par des innovations technologiques sur la monnaie, il devient plus facile de substituer la monnaie locale par des devises voire </w:t>
      </w:r>
      <w:r>
        <w:rPr>
          <w:rFonts w:ascii="Times New Roman" w:hAnsi="Times New Roman" w:cs="Times New Roman"/>
          <w:sz w:val="24"/>
          <w:szCs w:val="24"/>
        </w:rPr>
        <w:t xml:space="preserve">maintenant </w:t>
      </w:r>
      <w:r w:rsidRPr="003860CE">
        <w:rPr>
          <w:rFonts w:ascii="Times New Roman" w:hAnsi="Times New Roman" w:cs="Times New Roman"/>
          <w:sz w:val="24"/>
          <w:szCs w:val="24"/>
        </w:rPr>
        <w:t>par des crypto-monnaies contribuant ainsi à la dépréciation de la monnaie domestique. La seule « force de rappel » que mentionne la TMM est le paiement des taxes dans la monnaie officielle. Pour autant, ses promoteurs ne suggèrent pas d’augmenter les taxes pour limiter ce phénomène de désaffection, mais comptent sur une relative stabilité comportementale des agents économiques.</w:t>
      </w:r>
    </w:p>
    <w:p w:rsidR="008265CE" w:rsidRPr="003860CE" w:rsidRDefault="008265CE" w:rsidP="008265CE">
      <w:pPr>
        <w:jc w:val="both"/>
        <w:rPr>
          <w:rFonts w:ascii="Times New Roman" w:hAnsi="Times New Roman" w:cs="Times New Roman"/>
          <w:sz w:val="24"/>
          <w:szCs w:val="24"/>
        </w:rPr>
      </w:pPr>
      <w:r w:rsidRPr="003860CE">
        <w:rPr>
          <w:noProof/>
          <w:sz w:val="24"/>
          <w:szCs w:val="24"/>
        </w:rPr>
        <mc:AlternateContent>
          <mc:Choice Requires="wps">
            <w:drawing>
              <wp:anchor distT="0" distB="0" distL="114300" distR="114300" simplePos="0" relativeHeight="251660288" behindDoc="0" locked="0" layoutInCell="1" allowOverlap="1" wp14:anchorId="14FDB08C" wp14:editId="636AABAC">
                <wp:simplePos x="0" y="0"/>
                <wp:positionH relativeFrom="column">
                  <wp:posOffset>168984</wp:posOffset>
                </wp:positionH>
                <wp:positionV relativeFrom="paragraph">
                  <wp:posOffset>183672</wp:posOffset>
                </wp:positionV>
                <wp:extent cx="5433060" cy="201880"/>
                <wp:effectExtent l="0" t="0" r="0" b="8255"/>
                <wp:wrapNone/>
                <wp:docPr id="16" name="Zone de texte 16"/>
                <wp:cNvGraphicFramePr/>
                <a:graphic xmlns:a="http://schemas.openxmlformats.org/drawingml/2006/main">
                  <a:graphicData uri="http://schemas.microsoft.com/office/word/2010/wordprocessingShape">
                    <wps:wsp>
                      <wps:cNvSpPr txBox="1"/>
                      <wps:spPr>
                        <a:xfrm>
                          <a:off x="0" y="0"/>
                          <a:ext cx="5433060" cy="201880"/>
                        </a:xfrm>
                        <a:prstGeom prst="rect">
                          <a:avLst/>
                        </a:prstGeom>
                        <a:solidFill>
                          <a:prstClr val="white"/>
                        </a:solidFill>
                        <a:ln>
                          <a:noFill/>
                        </a:ln>
                      </wps:spPr>
                      <wps:txbx>
                        <w:txbxContent>
                          <w:p w:rsidR="008265CE" w:rsidRPr="006A1890" w:rsidRDefault="008265CE" w:rsidP="008265CE">
                            <w:pPr>
                              <w:pStyle w:val="Lgende"/>
                              <w:rPr>
                                <w:rFonts w:ascii="Times New Roman" w:hAnsi="Times New Roman" w:cs="Times New Roman"/>
                                <w:b/>
                                <w:i w:val="0"/>
                                <w:noProof/>
                                <w:color w:val="auto"/>
                                <w:sz w:val="22"/>
                              </w:rPr>
                            </w:pPr>
                            <w:r w:rsidRPr="006A1890">
                              <w:rPr>
                                <w:rFonts w:ascii="Times New Roman" w:hAnsi="Times New Roman" w:cs="Times New Roman"/>
                                <w:b/>
                                <w:i w:val="0"/>
                                <w:color w:val="auto"/>
                                <w:sz w:val="22"/>
                              </w:rPr>
                              <w:t xml:space="preserve">Figure </w:t>
                            </w:r>
                            <w:r>
                              <w:rPr>
                                <w:rFonts w:ascii="Times New Roman" w:hAnsi="Times New Roman" w:cs="Times New Roman"/>
                                <w:b/>
                                <w:i w:val="0"/>
                                <w:color w:val="auto"/>
                                <w:sz w:val="22"/>
                              </w:rPr>
                              <w:t>3</w:t>
                            </w:r>
                            <w:r w:rsidRPr="006A1890">
                              <w:rPr>
                                <w:rFonts w:ascii="Times New Roman" w:hAnsi="Times New Roman" w:cs="Times New Roman"/>
                                <w:b/>
                                <w:i w:val="0"/>
                                <w:color w:val="auto"/>
                                <w:sz w:val="22"/>
                              </w:rPr>
                              <w:t xml:space="preserve"> Une courbe de Phillips de la TMM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DB08C" id="_x0000_t202" coordsize="21600,21600" o:spt="202" path="m,l,21600r21600,l21600,xe">
                <v:stroke joinstyle="miter"/>
                <v:path gradientshapeok="t" o:connecttype="rect"/>
              </v:shapetype>
              <v:shape id="Zone de texte 16" o:spid="_x0000_s1026" type="#_x0000_t202" style="position:absolute;left:0;text-align:left;margin-left:13.3pt;margin-top:14.45pt;width:427.8pt;height:1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P8NAIAAGcEAAAOAAAAZHJzL2Uyb0RvYy54bWysVFFr2zAQfh/sPwi9L07aLZQQp2QpGYPQ&#10;FtJS2Jsiy7FA1mmSEjv79ftkx+nW7WnsRT7dnU76vu/O89u2NuyofNBkcz4ZjTlTVlKh7T7nz0/r&#10;DzechShsIQxZlfOTCvx28f7dvHEzdUUVmUJ5hiI2zBqX8ypGN8uyICtVizAipyyCJflaRGz9Piu8&#10;aFC9NtnVeDzNGvKF8yRVCPDe9UG+6OqXpZLxoSyDiszkHG+L3eq7dZfWbDEXs70XrtLy/AzxD6+o&#10;hba49FLqTkTBDl7/UarW0lOgMo4k1RmVpZaqwwA0k/EbNNtKONVhATnBXWgK/6+svD8+eqYLaDfl&#10;zIoaGn2DUqxQLKo2KgY/SGpcmCF365Ad28/U4sDgD3Am7G3p6/QFKoY46D5dKEYpJuH89PH6ejxF&#10;SCIGyDc3nQbZ62nnQ/yiqGbJyLmHhB2z4rgJES9B6pCSLgtkdLHWxqRNCqyMZ0cBuZtKR5XeiBO/&#10;ZRmbci2lU304ebIEsYeSrNju2jPuHRUnwPbUd09wcq1x0UaE+Cg82gVwMALxAUtpqMk5nS3OKvI/&#10;/uZP+VARUc4atF/Ow/eD8Ioz89VC39Srg+EHYzcY9lCvCBAnGC4nOxMHfDSDWXqqXzAZy3QLQsJK&#10;3JXzOJir2A8BJkuq5bJLQkc6ETd262QqPRD61L4I785ypJ64p6ExxeyNKn1uT+/yEKnUnWSJ0J7F&#10;M8/o5k6X8+Slcfl132W9/h8WPwEAAP//AwBQSwMEFAAGAAgAAAAhAOsl2+/dAAAACAEAAA8AAABk&#10;cnMvZG93bnJldi54bWxMj8FOwzAMhu9IvENkJC6IpeRQSmk6wQY3OGxMO2eN11ZrnKpJ1+7tMSd2&#10;sqz/1+fPxXJ2nTjjEFpPGp4WCQikytuWag27n8/HDESIhqzpPKGGCwZYlrc3hcmtn2iD522sBUMo&#10;5EZDE2OfSxmqBp0JC98jcXb0gzOR16GWdjATw10nVZKk0pmW+EJjelw1WJ22o9OQrodx2tDqYb37&#10;+DLffa3275e91vd389sriIhz/C/Dnz6rQ8lOBz+SDaLToNKUmzyzFxCcZ5lSIA4MT55BloW8fqD8&#10;BQAA//8DAFBLAQItABQABgAIAAAAIQC2gziS/gAAAOEBAAATAAAAAAAAAAAAAAAAAAAAAABbQ29u&#10;dGVudF9UeXBlc10ueG1sUEsBAi0AFAAGAAgAAAAhADj9If/WAAAAlAEAAAsAAAAAAAAAAAAAAAAA&#10;LwEAAF9yZWxzLy5yZWxzUEsBAi0AFAAGAAgAAAAhADMBY/w0AgAAZwQAAA4AAAAAAAAAAAAAAAAA&#10;LgIAAGRycy9lMm9Eb2MueG1sUEsBAi0AFAAGAAgAAAAhAOsl2+/dAAAACAEAAA8AAAAAAAAAAAAA&#10;AAAAjgQAAGRycy9kb3ducmV2LnhtbFBLBQYAAAAABAAEAPMAAACYBQAAAAA=&#10;" stroked="f">
                <v:textbox inset="0,0,0,0">
                  <w:txbxContent>
                    <w:p w:rsidR="008265CE" w:rsidRPr="006A1890" w:rsidRDefault="008265CE" w:rsidP="008265CE">
                      <w:pPr>
                        <w:pStyle w:val="Lgende"/>
                        <w:rPr>
                          <w:rFonts w:ascii="Times New Roman" w:hAnsi="Times New Roman" w:cs="Times New Roman"/>
                          <w:b/>
                          <w:i w:val="0"/>
                          <w:noProof/>
                          <w:color w:val="auto"/>
                          <w:sz w:val="22"/>
                        </w:rPr>
                      </w:pPr>
                      <w:r w:rsidRPr="006A1890">
                        <w:rPr>
                          <w:rFonts w:ascii="Times New Roman" w:hAnsi="Times New Roman" w:cs="Times New Roman"/>
                          <w:b/>
                          <w:i w:val="0"/>
                          <w:color w:val="auto"/>
                          <w:sz w:val="22"/>
                        </w:rPr>
                        <w:t xml:space="preserve">Figure </w:t>
                      </w:r>
                      <w:r>
                        <w:rPr>
                          <w:rFonts w:ascii="Times New Roman" w:hAnsi="Times New Roman" w:cs="Times New Roman"/>
                          <w:b/>
                          <w:i w:val="0"/>
                          <w:color w:val="auto"/>
                          <w:sz w:val="22"/>
                        </w:rPr>
                        <w:t>3</w:t>
                      </w:r>
                      <w:r w:rsidRPr="006A1890">
                        <w:rPr>
                          <w:rFonts w:ascii="Times New Roman" w:hAnsi="Times New Roman" w:cs="Times New Roman"/>
                          <w:b/>
                          <w:i w:val="0"/>
                          <w:color w:val="auto"/>
                          <w:sz w:val="22"/>
                        </w:rPr>
                        <w:t xml:space="preserve"> Une courbe de Phillips de la TMM</w:t>
                      </w:r>
                    </w:p>
                  </w:txbxContent>
                </v:textbox>
              </v:shape>
            </w:pict>
          </mc:Fallback>
        </mc:AlternateContent>
      </w: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r w:rsidRPr="003860CE">
        <w:rPr>
          <w:noProof/>
          <w:sz w:val="24"/>
          <w:szCs w:val="24"/>
        </w:rPr>
        <mc:AlternateContent>
          <mc:Choice Requires="wpg">
            <w:drawing>
              <wp:anchor distT="0" distB="0" distL="114300" distR="114300" simplePos="0" relativeHeight="251659264" behindDoc="0" locked="0" layoutInCell="1" allowOverlap="1" wp14:anchorId="0E48C3E6" wp14:editId="188FFCF0">
                <wp:simplePos x="0" y="0"/>
                <wp:positionH relativeFrom="margin">
                  <wp:posOffset>49530</wp:posOffset>
                </wp:positionH>
                <wp:positionV relativeFrom="paragraph">
                  <wp:posOffset>6985</wp:posOffset>
                </wp:positionV>
                <wp:extent cx="5433237" cy="3838354"/>
                <wp:effectExtent l="0" t="0" r="0" b="0"/>
                <wp:wrapNone/>
                <wp:docPr id="2" name="Groupe 2"/>
                <wp:cNvGraphicFramePr/>
                <a:graphic xmlns:a="http://schemas.openxmlformats.org/drawingml/2006/main">
                  <a:graphicData uri="http://schemas.microsoft.com/office/word/2010/wordprocessingGroup">
                    <wpg:wgp>
                      <wpg:cNvGrpSpPr/>
                      <wpg:grpSpPr>
                        <a:xfrm>
                          <a:off x="0" y="0"/>
                          <a:ext cx="5433237" cy="3838354"/>
                          <a:chOff x="53163" y="106325"/>
                          <a:chExt cx="5433237" cy="3838461"/>
                        </a:xfrm>
                      </wpg:grpSpPr>
                      <wps:wsp>
                        <wps:cNvPr id="7" name="Connecteur droit avec flèche 7"/>
                        <wps:cNvCnPr/>
                        <wps:spPr>
                          <a:xfrm>
                            <a:off x="744280" y="2860158"/>
                            <a:ext cx="3763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Connecteur droit avec flèche 8"/>
                        <wps:cNvCnPr/>
                        <wps:spPr>
                          <a:xfrm flipV="1">
                            <a:off x="744280" y="170121"/>
                            <a:ext cx="0" cy="2690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Zone de texte 9"/>
                        <wps:cNvSpPr txBox="1"/>
                        <wps:spPr>
                          <a:xfrm>
                            <a:off x="53163" y="106325"/>
                            <a:ext cx="903768" cy="276447"/>
                          </a:xfrm>
                          <a:prstGeom prst="rect">
                            <a:avLst/>
                          </a:prstGeom>
                          <a:solidFill>
                            <a:schemeClr val="lt1">
                              <a:alpha val="0"/>
                            </a:schemeClr>
                          </a:solidFill>
                          <a:ln w="6350">
                            <a:noFill/>
                          </a:ln>
                        </wps:spPr>
                        <wps:txbx>
                          <w:txbxContent>
                            <w:p w:rsidR="008265CE" w:rsidRPr="001E4734" w:rsidRDefault="008265CE" w:rsidP="008265CE">
                              <w:pPr>
                                <w:rPr>
                                  <w:rFonts w:ascii="Times New Roman" w:hAnsi="Times New Roman" w:cs="Times New Roman"/>
                                  <w:sz w:val="20"/>
                                </w:rPr>
                              </w:pPr>
                              <w:r w:rsidRPr="001E4734">
                                <w:rPr>
                                  <w:rFonts w:ascii="Times New Roman" w:hAnsi="Times New Roman" w:cs="Times New Roman"/>
                                  <w:sz w:val="20"/>
                                </w:rPr>
                                <w:t>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7"/>
                        <wps:cNvSpPr txBox="1"/>
                        <wps:spPr>
                          <a:xfrm>
                            <a:off x="4582795" y="2488018"/>
                            <a:ext cx="903605" cy="648585"/>
                          </a:xfrm>
                          <a:prstGeom prst="rect">
                            <a:avLst/>
                          </a:prstGeom>
                          <a:solidFill>
                            <a:schemeClr val="lt1">
                              <a:alpha val="0"/>
                            </a:schemeClr>
                          </a:solidFill>
                          <a:ln w="6350">
                            <a:noFill/>
                          </a:ln>
                        </wps:spPr>
                        <wps:txbx>
                          <w:txbxContent>
                            <w:p w:rsidR="008265CE" w:rsidRPr="001E4734" w:rsidRDefault="008265CE" w:rsidP="008265CE">
                              <w:pPr>
                                <w:pStyle w:val="NormalWeb"/>
                                <w:spacing w:before="0" w:beforeAutospacing="0" w:after="160" w:afterAutospacing="0" w:line="256" w:lineRule="auto"/>
                                <w:rPr>
                                  <w:rFonts w:eastAsia="Calibri"/>
                                  <w:sz w:val="20"/>
                                  <w:szCs w:val="20"/>
                                </w:rPr>
                              </w:pPr>
                              <w:r w:rsidRPr="001E4734">
                                <w:rPr>
                                  <w:rFonts w:eastAsia="Calibri"/>
                                  <w:sz w:val="20"/>
                                  <w:szCs w:val="20"/>
                                </w:rPr>
                                <w:t xml:space="preserve">Taux de </w:t>
                              </w:r>
                            </w:p>
                            <w:p w:rsidR="008265CE" w:rsidRPr="001E4734" w:rsidRDefault="008265CE" w:rsidP="008265CE">
                              <w:pPr>
                                <w:pStyle w:val="NormalWeb"/>
                                <w:spacing w:before="0" w:beforeAutospacing="0" w:after="160" w:afterAutospacing="0" w:line="256" w:lineRule="auto"/>
                                <w:rPr>
                                  <w:sz w:val="20"/>
                                  <w:szCs w:val="20"/>
                                </w:rPr>
                              </w:pPr>
                              <w:r w:rsidRPr="001E4734">
                                <w:rPr>
                                  <w:sz w:val="20"/>
                                  <w:szCs w:val="20"/>
                                </w:rPr>
                                <w:t>chômage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Connecteur droit 11"/>
                        <wps:cNvCnPr/>
                        <wps:spPr>
                          <a:xfrm flipH="1">
                            <a:off x="1881963" y="2445488"/>
                            <a:ext cx="2445489" cy="0"/>
                          </a:xfrm>
                          <a:prstGeom prst="line">
                            <a:avLst/>
                          </a:prstGeom>
                        </wps:spPr>
                        <wps:style>
                          <a:lnRef idx="3">
                            <a:schemeClr val="dk1"/>
                          </a:lnRef>
                          <a:fillRef idx="0">
                            <a:schemeClr val="dk1"/>
                          </a:fillRef>
                          <a:effectRef idx="2">
                            <a:schemeClr val="dk1"/>
                          </a:effectRef>
                          <a:fontRef idx="minor">
                            <a:schemeClr val="tx1"/>
                          </a:fontRef>
                        </wps:style>
                        <wps:bodyPr/>
                      </wps:wsp>
                      <wps:wsp>
                        <wps:cNvPr id="13" name="Connecteur droit 13"/>
                        <wps:cNvCnPr/>
                        <wps:spPr>
                          <a:xfrm flipV="1">
                            <a:off x="1892596" y="467772"/>
                            <a:ext cx="0" cy="1977399"/>
                          </a:xfrm>
                          <a:prstGeom prst="line">
                            <a:avLst/>
                          </a:prstGeom>
                        </wps:spPr>
                        <wps:style>
                          <a:lnRef idx="3">
                            <a:schemeClr val="dk1"/>
                          </a:lnRef>
                          <a:fillRef idx="0">
                            <a:schemeClr val="dk1"/>
                          </a:fillRef>
                          <a:effectRef idx="2">
                            <a:schemeClr val="dk1"/>
                          </a:effectRef>
                          <a:fontRef idx="minor">
                            <a:schemeClr val="tx1"/>
                          </a:fontRef>
                        </wps:style>
                        <wps:bodyPr/>
                      </wps:wsp>
                      <wps:wsp>
                        <wps:cNvPr id="14" name="Zone de texte 7"/>
                        <wps:cNvSpPr txBox="1"/>
                        <wps:spPr>
                          <a:xfrm>
                            <a:off x="1306751" y="2932264"/>
                            <a:ext cx="1361979" cy="1012522"/>
                          </a:xfrm>
                          <a:prstGeom prst="rect">
                            <a:avLst/>
                          </a:prstGeom>
                          <a:solidFill>
                            <a:schemeClr val="lt1">
                              <a:alpha val="0"/>
                            </a:schemeClr>
                          </a:solidFill>
                          <a:ln w="6350">
                            <a:noFill/>
                          </a:ln>
                        </wps:spPr>
                        <wps:txbx>
                          <w:txbxContent>
                            <w:p w:rsidR="008265CE" w:rsidRPr="001E4734" w:rsidRDefault="008265CE" w:rsidP="008265CE">
                              <w:pPr>
                                <w:pStyle w:val="NormalWeb"/>
                                <w:spacing w:before="0" w:beforeAutospacing="0" w:after="160" w:afterAutospacing="0"/>
                                <w:jc w:val="center"/>
                                <w:rPr>
                                  <w:sz w:val="20"/>
                                </w:rPr>
                              </w:pPr>
                              <w:r w:rsidRPr="001E4734">
                                <w:rPr>
                                  <w:sz w:val="20"/>
                                </w:rPr>
                                <w:t>Taux de chômage</w:t>
                              </w:r>
                            </w:p>
                            <w:p w:rsidR="008265CE" w:rsidRPr="001E4734" w:rsidRDefault="008265CE" w:rsidP="008265CE">
                              <w:pPr>
                                <w:pStyle w:val="NormalWeb"/>
                                <w:spacing w:before="0" w:beforeAutospacing="0" w:after="160" w:afterAutospacing="0"/>
                                <w:jc w:val="center"/>
                                <w:rPr>
                                  <w:sz w:val="20"/>
                                </w:rPr>
                              </w:pPr>
                              <w:r>
                                <w:rPr>
                                  <w:sz w:val="20"/>
                                </w:rPr>
                                <w:t>i</w:t>
                              </w:r>
                              <w:r w:rsidRPr="001E4734">
                                <w:rPr>
                                  <w:sz w:val="20"/>
                                </w:rPr>
                                <w:t xml:space="preserve">ncompressible </w:t>
                              </w:r>
                            </w:p>
                            <w:p w:rsidR="008265CE" w:rsidRPr="001E4734" w:rsidRDefault="008265CE" w:rsidP="008265CE">
                              <w:pPr>
                                <w:pStyle w:val="NormalWeb"/>
                                <w:spacing w:before="0" w:beforeAutospacing="0" w:after="160" w:afterAutospacing="0"/>
                                <w:jc w:val="center"/>
                                <w:rPr>
                                  <w:sz w:val="20"/>
                                </w:rPr>
                              </w:pPr>
                              <w:r w:rsidRPr="001E4734">
                                <w:rPr>
                                  <w:sz w:val="20"/>
                                </w:rPr>
                                <w:t xml:space="preserve">ou </w:t>
                              </w:r>
                            </w:p>
                            <w:p w:rsidR="008265CE" w:rsidRPr="001E4734" w:rsidRDefault="008265CE" w:rsidP="008265CE">
                              <w:pPr>
                                <w:pStyle w:val="NormalWeb"/>
                                <w:spacing w:before="0" w:beforeAutospacing="0" w:after="160" w:afterAutospacing="0"/>
                                <w:jc w:val="center"/>
                                <w:rPr>
                                  <w:sz w:val="20"/>
                                </w:rPr>
                              </w:pPr>
                              <w:r w:rsidRPr="001E4734">
                                <w:rPr>
                                  <w:sz w:val="20"/>
                                </w:rPr>
                                <w:t>plein-emploi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Connecteur droit 15"/>
                        <wps:cNvCnPr/>
                        <wps:spPr>
                          <a:xfrm>
                            <a:off x="1892596" y="2402958"/>
                            <a:ext cx="0" cy="478091"/>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E48C3E6" id="Groupe 2" o:spid="_x0000_s1027" style="position:absolute;left:0;text-align:left;margin-left:3.9pt;margin-top:.55pt;width:427.8pt;height:302.25pt;z-index:251659264;mso-position-horizontal-relative:margin;mso-height-relative:margin" coordorigin="531,1063" coordsize="54332,3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4fCgUAALwXAAAOAAAAZHJzL2Uyb0RvYy54bWzsWN1u2zYYvR+wdyB0v1jUv4w4RZY03YCg&#10;DZZuBXbHSJQtjCI1ko6dPdHeYy+2jxQpO66dZtlatF0QQJHM/8Pzne+Qxy/WHUO3VKpW8FmAj8IA&#10;UV6JuuXzWfDz24vvigApTXhNmOB0FtxRFbw4+fab41U/pZFYCFZTiaATrqarfhYstO6nk4mqFrQj&#10;6kj0lENhI2RHNHzK+aSWZAW9d2wShWE2WQlZ91JUVCn49XwoDE5s/01DK/2maRTViM0CmJu2T2mf&#10;N+Y5OTkm07kk/aKt3DTIE2bRkZbDoGNX50QTtJTte111bSWFEo0+qkQ3EU3TVtSuAVaDw53VvJJi&#10;2du1zKereT/CBNDu4PTkbqvXt1cStfUsiALESQdbZEelKDLYrPr5FKq8kv11fyXdD/Phyyx33cjO&#10;/IeFoLVF9W5Ela41quDHNInjKM4DVEFZXMBfmgy4VwvYHNMujXEWBwjKcZjFUeqLXx7qIsmwqTPx&#10;M5iYiY7zWvVAJrXBS/07vK4XpKd2G5QBw+EFCxrwOhOcA8/oUqJailYjcksr1LC//gQSo9zM00wI&#10;Wp5xh6GaKoBzD4B5kkQF8BSQiIosxGkxQOGxjPMsLgEfi6Vl7wgBmfZS6VdUdMi8zAKlJWnnC+3m&#10;JyS2DCW3l0oP2PkGZiKMm6cmLXvJa6TvemCCli3hc0Yd1KYKAO0nb9/0HaND859oAzyCzRyGsRFM&#10;z5hEtwRir/7NbxjjUNM0aVrGxkahndvBRq6uaUZtVD+24Vjbjii4Hht2LRdy36h67afaDPX9qoe1&#10;mmXfiPrObqWFA6g2bPFH5xyI6WM4Z0nzMOeAn23/i98sF75b7MN5iCOLAyDuohB4aUI4ysowhHje&#10;jr9n8u2j+tdFvtKT71fI5KimSAMxKCq3BM4kCaTX3wsrA074Dkjdfs33XCuBYRnQ3RIuz5LkA3yT&#10;oMAPyZsSrK0vQHGMDuzIDNNOGVm/IINceWkda9pcc68TxtFqFmRxOkgXF6b3ISb2CKVe36xtmrUx&#10;tdEQJMXgSVRfXbSg25dE6SsiwYRAuIGx0m/g0TABYwn3FqCFkH/s+93Uh1wHpQFagamBJPD7kkga&#10;IPYjhyxY4iQxLsh+JGkewYfcLrnZLuHL7kyAdmOwcH1lX019zfxrI0X3DvzXqRkVigivYGzIG/71&#10;TA9WC/xbRU9PbSXwPT3Rl/y6r7z8mDz0dv2OyN6lLsOs18LnXTLdyVlDXbOTXJwutWham9A2qDrF&#10;/nTCjGH1gzLfD47t7P9PgiNJiygvIc8bvU2KIsQ7RgDiIwudD8iSIi2sZzpsBr6Y+HC20+fYD8fH&#10;M9+Nk/zERgSDJhxwIlDkhP+w47Xu4wcf/s594KLApTsGREmSAu1NTxv/MfwIacgkBa/Q/gTivaxT&#10;ENZyY9nfkw7jj72fsxbciIba42Ljfdbwo7nY6OHRvi4jgeGod4g88SPJs2tdcQHHojKzgplkeZ5b&#10;HdlwB/TZsAaXeR6X1rIc1spn7ny+JyCceO78N4kWx2GWp6BmJtGWcRRl7m7CG1EcZ0AaJzoYDkVp&#10;ZKl1mD5fTKodY204zj6n2tGGflbWElzeIbW0pu/hg75ZyphgNxoZJWFU7t4uOZFM8iIs/R3Ik/Kr&#10;v066d2Aaz1LDEWtzzXKvlsnj50Qt3LURvJmMANG251C1L2//P2+f7P0nXBFbpNx1trmD3v62tmdz&#10;6X7yNwAAAP//AwBQSwMEFAAGAAgAAAAhALQ5J7XeAAAABwEAAA8AAABkcnMvZG93bnJldi54bWxM&#10;zsFKw0AQBuC74DssI3izm1gbS8ymlKKeimAriLdpMk1Cs7Mhu03St3c82ePMP/zzZavJtmqg3jeO&#10;DcSzCBRx4cqGKwNf+7eHJSgfkEtsHZOBC3lY5bc3GaalG/mThl2olJSwT9FAHUKXau2Lmiz6meuI&#10;JTu63mKQsa902eMo5bbVj1GUaIsNy4caO9rUVJx2Z2vgfcRxPY9fh+3puLn87Bcf39uYjLm/m9Yv&#10;oAJN4f8Y/vhCh1xMB3fm0qvWwLPAg6xjUJIuk/kTqIOBJFokoPNMX/vzXwAAAP//AwBQSwECLQAU&#10;AAYACAAAACEAtoM4kv4AAADhAQAAEwAAAAAAAAAAAAAAAAAAAAAAW0NvbnRlbnRfVHlwZXNdLnht&#10;bFBLAQItABQABgAIAAAAIQA4/SH/1gAAAJQBAAALAAAAAAAAAAAAAAAAAC8BAABfcmVscy8ucmVs&#10;c1BLAQItABQABgAIAAAAIQD1uu4fCgUAALwXAAAOAAAAAAAAAAAAAAAAAC4CAABkcnMvZTJvRG9j&#10;LnhtbFBLAQItABQABgAIAAAAIQC0OSe13gAAAAcBAAAPAAAAAAAAAAAAAAAAAGQHAABkcnMvZG93&#10;bnJldi54bWxQSwUGAAAAAAQABADzAAAAbwgAAAAA&#10;">
                <v:shapetype id="_x0000_t32" coordsize="21600,21600" o:spt="32" o:oned="t" path="m,l21600,21600e" filled="f">
                  <v:path arrowok="t" fillok="f" o:connecttype="none"/>
                  <o:lock v:ext="edit" shapetype="t"/>
                </v:shapetype>
                <v:shape id="Connecteur droit avec flèche 7" o:spid="_x0000_s1028" type="#_x0000_t32" style="position:absolute;left:7442;top:28601;width:37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Connecteur droit avec flèche 8" o:spid="_x0000_s1029" type="#_x0000_t32" style="position:absolute;left:7442;top:1701;width:0;height:26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Zone de texte 9" o:spid="_x0000_s1030" type="#_x0000_t202" style="position:absolute;left:531;top:1063;width:9038;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YTxgAAANoAAAAPAAAAZHJzL2Rvd25yZXYueG1sRI9PawIx&#10;FMTvBb9DeEJvNWuhxW6NUloLQtXin4O9PTavu7GblzWJuvbTG6HQ4zAzv2GG49bW4kg+GMcK+r0M&#10;BHHhtOFSwWb9fjcAESKyxtoxKThTgPGoczPEXLsTL+m4iqVIEA45KqhibHIpQ1GRxdBzDXHyvp23&#10;GJP0pdQeTwlua3mfZY/SouG0UGFDrxUVP6uDVTDbbz8fdm/bTT1Y/E7npvDma/Kh1G23fXkGEamN&#10;/+G/9lQreILrlXQD5OgCAAD//wMAUEsBAi0AFAAGAAgAAAAhANvh9svuAAAAhQEAABMAAAAAAAAA&#10;AAAAAAAAAAAAAFtDb250ZW50X1R5cGVzXS54bWxQSwECLQAUAAYACAAAACEAWvQsW78AAAAVAQAA&#10;CwAAAAAAAAAAAAAAAAAfAQAAX3JlbHMvLnJlbHNQSwECLQAUAAYACAAAACEARAKGE8YAAADaAAAA&#10;DwAAAAAAAAAAAAAAAAAHAgAAZHJzL2Rvd25yZXYueG1sUEsFBgAAAAADAAMAtwAAAPoCAAAAAA==&#10;" fillcolor="white [3201]" stroked="f" strokeweight=".5pt">
                  <v:fill opacity="0"/>
                  <v:textbox>
                    <w:txbxContent>
                      <w:p w:rsidR="008265CE" w:rsidRPr="001E4734" w:rsidRDefault="008265CE" w:rsidP="008265CE">
                        <w:pPr>
                          <w:rPr>
                            <w:rFonts w:ascii="Times New Roman" w:hAnsi="Times New Roman" w:cs="Times New Roman"/>
                            <w:sz w:val="20"/>
                          </w:rPr>
                        </w:pPr>
                        <w:r w:rsidRPr="001E4734">
                          <w:rPr>
                            <w:rFonts w:ascii="Times New Roman" w:hAnsi="Times New Roman" w:cs="Times New Roman"/>
                            <w:sz w:val="20"/>
                          </w:rPr>
                          <w:t>Inflation</w:t>
                        </w:r>
                      </w:p>
                    </w:txbxContent>
                  </v:textbox>
                </v:shape>
                <v:shape id="Zone de texte 7" o:spid="_x0000_s1031" type="#_x0000_t202" style="position:absolute;left:45827;top:24880;width:9037;height:6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qpxwAAANsAAAAPAAAAZHJzL2Rvd25yZXYueG1sRI9PSwMx&#10;EMXvQr9DmEJvNqtQKWvTItZCwT/F2kO9DZtxN3Yz2SaxXf30zkHwNsN7895vZovet+pEMbnABq7G&#10;BSjiKljHtYHd2+pyCiplZIttYDLwTQkW88HFDEsbzvxKp22ulYRwKtFAk3NXap2qhjymceiIRfsI&#10;0WOWNdbaRjxLuG/1dVHcaI+OpaHBju4bqg7bL2/g6bjfTD6X+107fflZP7squveHR2NGw/7uFlSm&#10;Pv+b/67XVvCFXn6RAfT8FwAA//8DAFBLAQItABQABgAIAAAAIQDb4fbL7gAAAIUBAAATAAAAAAAA&#10;AAAAAAAAAAAAAABbQ29udGVudF9UeXBlc10ueG1sUEsBAi0AFAAGAAgAAAAhAFr0LFu/AAAAFQEA&#10;AAsAAAAAAAAAAAAAAAAAHwEAAF9yZWxzLy5yZWxzUEsBAi0AFAAGAAgAAAAhAFVImqnHAAAA2wAA&#10;AA8AAAAAAAAAAAAAAAAABwIAAGRycy9kb3ducmV2LnhtbFBLBQYAAAAAAwADALcAAAD7AgAAAAA=&#10;" fillcolor="white [3201]" stroked="f" strokeweight=".5pt">
                  <v:fill opacity="0"/>
                  <v:textbox>
                    <w:txbxContent>
                      <w:p w:rsidR="008265CE" w:rsidRPr="001E4734" w:rsidRDefault="008265CE" w:rsidP="008265CE">
                        <w:pPr>
                          <w:pStyle w:val="NormalWeb"/>
                          <w:spacing w:before="0" w:beforeAutospacing="0" w:after="160" w:afterAutospacing="0" w:line="256" w:lineRule="auto"/>
                          <w:rPr>
                            <w:rFonts w:eastAsia="Calibri"/>
                            <w:sz w:val="20"/>
                            <w:szCs w:val="20"/>
                          </w:rPr>
                        </w:pPr>
                        <w:r w:rsidRPr="001E4734">
                          <w:rPr>
                            <w:rFonts w:eastAsia="Calibri"/>
                            <w:sz w:val="20"/>
                            <w:szCs w:val="20"/>
                          </w:rPr>
                          <w:t xml:space="preserve">Taux de </w:t>
                        </w:r>
                      </w:p>
                      <w:p w:rsidR="008265CE" w:rsidRPr="001E4734" w:rsidRDefault="008265CE" w:rsidP="008265CE">
                        <w:pPr>
                          <w:pStyle w:val="NormalWeb"/>
                          <w:spacing w:before="0" w:beforeAutospacing="0" w:after="160" w:afterAutospacing="0" w:line="256" w:lineRule="auto"/>
                          <w:rPr>
                            <w:sz w:val="20"/>
                            <w:szCs w:val="20"/>
                          </w:rPr>
                        </w:pPr>
                        <w:r w:rsidRPr="001E4734">
                          <w:rPr>
                            <w:sz w:val="20"/>
                            <w:szCs w:val="20"/>
                          </w:rPr>
                          <w:t>chômage</w:t>
                        </w:r>
                      </w:p>
                    </w:txbxContent>
                  </v:textbox>
                </v:shape>
                <v:line id="Connecteur droit 11" o:spid="_x0000_s1032" style="position:absolute;flip:x;visibility:visible;mso-wrap-style:square" from="18819,24454" to="43274,2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X/wgAAANsAAAAPAAAAZHJzL2Rvd25yZXYueG1sRE9NawIx&#10;EL0X/A9hBC+lJuvB2q1RVBA8SbvbS2/DZrq7uJksm6jRX28Khd7m8T5nuY62ExcafOtYQzZVIIgr&#10;Z1quNXyV+5cFCB+QDXaOScONPKxXo6cl5sZd+ZMuRahFCmGfo4YmhD6X0lcNWfRT1xMn7scNFkOC&#10;Qy3NgNcUbjs5U2ouLbacGhrsaddQdSrOVsPbRzwdjllZKL5vN+r79f4cTan1ZBw37yACxfAv/nMf&#10;TJqfwe8v6QC5egAAAP//AwBQSwECLQAUAAYACAAAACEA2+H2y+4AAACFAQAAEwAAAAAAAAAAAAAA&#10;AAAAAAAAW0NvbnRlbnRfVHlwZXNdLnhtbFBLAQItABQABgAIAAAAIQBa9CxbvwAAABUBAAALAAAA&#10;AAAAAAAAAAAAAB8BAABfcmVscy8ucmVsc1BLAQItABQABgAIAAAAIQDgrFX/wgAAANsAAAAPAAAA&#10;AAAAAAAAAAAAAAcCAABkcnMvZG93bnJldi54bWxQSwUGAAAAAAMAAwC3AAAA9gIAAAAA&#10;" strokecolor="black [3200]" strokeweight="1.5pt">
                  <v:stroke joinstyle="miter"/>
                </v:line>
                <v:line id="Connecteur droit 13" o:spid="_x0000_s1033" style="position:absolute;flip:y;visibility:visible;mso-wrap-style:square" from="18925,4677" to="18925,2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TwgAAANsAAAAPAAAAZHJzL2Rvd25yZXYueG1sRE9NawIx&#10;EL0X/A9hhF6KJrbQ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B/Mm4TwgAAANsAAAAPAAAA&#10;AAAAAAAAAAAAAAcCAABkcnMvZG93bnJldi54bWxQSwUGAAAAAAMAAwC3AAAA9gIAAAAA&#10;" strokecolor="black [3200]" strokeweight="1.5pt">
                  <v:stroke joinstyle="miter"/>
                </v:line>
                <v:shape id="Zone de texte 7" o:spid="_x0000_s1034" type="#_x0000_t202" style="position:absolute;left:13067;top:29322;width:13620;height:10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yqxQAAANsAAAAPAAAAZHJzL2Rvd25yZXYueG1sRE9LawIx&#10;EL4L/ocwQm+atViRrVFKW0FoVXwc7G3YTHdjN5Ntkuq2v74RCr3Nx/ec6by1tTiTD8axguEgA0Fc&#10;OG24VHDYL/oTECEia6wdk4JvCjCfdTtTzLW78JbOu1iKFMIhRwVVjE0uZSgqshgGriFO3LvzFmOC&#10;vpTa4yWF21reZtlYWjScGips6LGi4mP3ZRW8fh43d6en46GerH+WK1N48/b8otRNr324BxGpjf/i&#10;P/dSp/kjuP6SDpCzXwAAAP//AwBQSwECLQAUAAYACAAAACEA2+H2y+4AAACFAQAAEwAAAAAAAAAA&#10;AAAAAAAAAAAAW0NvbnRlbnRfVHlwZXNdLnhtbFBLAQItABQABgAIAAAAIQBa9CxbvwAAABUBAAAL&#10;AAAAAAAAAAAAAAAAAB8BAABfcmVscy8ucmVsc1BLAQItABQABgAIAAAAIQAqc5yqxQAAANsAAAAP&#10;AAAAAAAAAAAAAAAAAAcCAABkcnMvZG93bnJldi54bWxQSwUGAAAAAAMAAwC3AAAA+QIAAAAA&#10;" fillcolor="white [3201]" stroked="f" strokeweight=".5pt">
                  <v:fill opacity="0"/>
                  <v:textbox>
                    <w:txbxContent>
                      <w:p w:rsidR="008265CE" w:rsidRPr="001E4734" w:rsidRDefault="008265CE" w:rsidP="008265CE">
                        <w:pPr>
                          <w:pStyle w:val="NormalWeb"/>
                          <w:spacing w:before="0" w:beforeAutospacing="0" w:after="160" w:afterAutospacing="0"/>
                          <w:jc w:val="center"/>
                          <w:rPr>
                            <w:sz w:val="20"/>
                          </w:rPr>
                        </w:pPr>
                        <w:r w:rsidRPr="001E4734">
                          <w:rPr>
                            <w:sz w:val="20"/>
                          </w:rPr>
                          <w:t>Taux de chômage</w:t>
                        </w:r>
                      </w:p>
                      <w:p w:rsidR="008265CE" w:rsidRPr="001E4734" w:rsidRDefault="008265CE" w:rsidP="008265CE">
                        <w:pPr>
                          <w:pStyle w:val="NormalWeb"/>
                          <w:spacing w:before="0" w:beforeAutospacing="0" w:after="160" w:afterAutospacing="0"/>
                          <w:jc w:val="center"/>
                          <w:rPr>
                            <w:sz w:val="20"/>
                          </w:rPr>
                        </w:pPr>
                        <w:r>
                          <w:rPr>
                            <w:sz w:val="20"/>
                          </w:rPr>
                          <w:t>i</w:t>
                        </w:r>
                        <w:r w:rsidRPr="001E4734">
                          <w:rPr>
                            <w:sz w:val="20"/>
                          </w:rPr>
                          <w:t xml:space="preserve">ncompressible </w:t>
                        </w:r>
                      </w:p>
                      <w:p w:rsidR="008265CE" w:rsidRPr="001E4734" w:rsidRDefault="008265CE" w:rsidP="008265CE">
                        <w:pPr>
                          <w:pStyle w:val="NormalWeb"/>
                          <w:spacing w:before="0" w:beforeAutospacing="0" w:after="160" w:afterAutospacing="0"/>
                          <w:jc w:val="center"/>
                          <w:rPr>
                            <w:sz w:val="20"/>
                          </w:rPr>
                        </w:pPr>
                        <w:r w:rsidRPr="001E4734">
                          <w:rPr>
                            <w:sz w:val="20"/>
                          </w:rPr>
                          <w:t xml:space="preserve">ou </w:t>
                        </w:r>
                      </w:p>
                      <w:p w:rsidR="008265CE" w:rsidRPr="001E4734" w:rsidRDefault="008265CE" w:rsidP="008265CE">
                        <w:pPr>
                          <w:pStyle w:val="NormalWeb"/>
                          <w:spacing w:before="0" w:beforeAutospacing="0" w:after="160" w:afterAutospacing="0"/>
                          <w:jc w:val="center"/>
                          <w:rPr>
                            <w:sz w:val="20"/>
                          </w:rPr>
                        </w:pPr>
                        <w:r w:rsidRPr="001E4734">
                          <w:rPr>
                            <w:sz w:val="20"/>
                          </w:rPr>
                          <w:t>plein-emploi</w:t>
                        </w:r>
                      </w:p>
                    </w:txbxContent>
                  </v:textbox>
                </v:shape>
                <v:line id="Connecteur droit 15" o:spid="_x0000_s1035" style="position:absolute;visibility:visible;mso-wrap-style:square" from="18925,24029" to="18925,2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wAAAANsAAAAPAAAAZHJzL2Rvd25yZXYueG1sRE9Ni8Iw&#10;EL0L/ocwgjdNdVl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qGNMAAAADbAAAADwAAAAAA&#10;AAAAAAAAAAAHAgAAZHJzL2Rvd25yZXYueG1sUEsFBgAAAAADAAMAtwAAAPQCAAAAAA==&#10;" strokecolor="black [3213]" strokeweight=".5pt">
                  <v:stroke dashstyle="dash" joinstyle="miter"/>
                </v:line>
                <w10:wrap anchorx="margin"/>
              </v:group>
            </w:pict>
          </mc:Fallback>
        </mc:AlternateContent>
      </w: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center"/>
        <w:rPr>
          <w:rFonts w:ascii="Times New Roman" w:hAnsi="Times New Roman" w:cs="Times New Roman"/>
          <w:i/>
          <w:sz w:val="24"/>
          <w:szCs w:val="24"/>
        </w:rPr>
      </w:pPr>
      <w:r w:rsidRPr="003860CE">
        <w:rPr>
          <w:rFonts w:ascii="Times New Roman" w:hAnsi="Times New Roman" w:cs="Times New Roman"/>
          <w:i/>
          <w:sz w:val="24"/>
          <w:szCs w:val="24"/>
        </w:rPr>
        <w:lastRenderedPageBreak/>
        <w:t>L’instabilité financière</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La dominance budgétaire promue par la TMM est également susceptible d’avoir des effets macroéconomiques indésirables par le biais des marchés de capitaux. En reléguant la politique monétaire au second plan, c’est-à-dire en la privant des missions de régulation macroéconomique et financière par le biais des taux, les partisans de la TMM assignent à la banque centrale l’unique tâche de garantir des taux d’intérêt à des niveaux bas afin d’empêcher l’effet d’éviction sur les taux à plus long terme. Au final, si les agents économiques ne souhaitent pas mobiliser les encaisses monétaires supplémentaires pour acheter des biens et des services, la création monétaire pourrait au final alimenter la hausse des cours et contribuer à la formation de bulles sur les marchés d’actifs. Deux canaux sont envisageables. Le premier tient à la théorie de choix du portefeuille. Si le taux d’intérêt ne détermine pas nécessairement le volume d’épargne dans la théorie keynésienne, il constitue un repère incontournable dans la répartition de celle-ci entre les différentes classes d’actifs. Des taux bas permanents pourraient inciter les épargnants à recomposer leur patrimoine afin d’optimiser leur épargne</w:t>
      </w:r>
      <w:r w:rsidRPr="003860CE">
        <w:rPr>
          <w:rStyle w:val="Appeldenotedefin"/>
          <w:rFonts w:ascii="Times New Roman" w:hAnsi="Times New Roman" w:cs="Times New Roman"/>
          <w:sz w:val="24"/>
          <w:szCs w:val="24"/>
        </w:rPr>
        <w:endnoteReference w:id="17"/>
      </w:r>
      <w:r w:rsidRPr="003860CE">
        <w:rPr>
          <w:rFonts w:ascii="Times New Roman" w:hAnsi="Times New Roman" w:cs="Times New Roman"/>
          <w:sz w:val="24"/>
          <w:szCs w:val="24"/>
        </w:rPr>
        <w:t xml:space="preserve"> en préférant des actifs financiers ou non-financiers plus risqués mais aussi plus rémunérateurs en dépit de la liquidité et de la sécurité des bons du Trésor</w:t>
      </w:r>
      <w:r w:rsidRPr="003860CE">
        <w:rPr>
          <w:rStyle w:val="Appeldenotedefin"/>
          <w:rFonts w:ascii="Times New Roman" w:hAnsi="Times New Roman" w:cs="Times New Roman"/>
          <w:sz w:val="24"/>
          <w:szCs w:val="24"/>
        </w:rPr>
        <w:endnoteReference w:id="18"/>
      </w:r>
      <w:r w:rsidRPr="003860CE">
        <w:rPr>
          <w:rFonts w:ascii="Times New Roman" w:hAnsi="Times New Roman" w:cs="Times New Roman"/>
          <w:sz w:val="24"/>
          <w:szCs w:val="24"/>
        </w:rPr>
        <w:t xml:space="preserve">. Cet effet pourrait être renforcé par une inflation élevée poussant les investisseurs à abandonner les </w:t>
      </w:r>
      <w:r>
        <w:rPr>
          <w:rFonts w:ascii="Times New Roman" w:hAnsi="Times New Roman" w:cs="Times New Roman"/>
          <w:sz w:val="24"/>
          <w:szCs w:val="24"/>
        </w:rPr>
        <w:t>obligations souveraines</w:t>
      </w:r>
      <w:r w:rsidRPr="003860CE">
        <w:rPr>
          <w:rFonts w:ascii="Times New Roman" w:hAnsi="Times New Roman" w:cs="Times New Roman"/>
          <w:sz w:val="24"/>
          <w:szCs w:val="24"/>
        </w:rPr>
        <w:t xml:space="preserve"> non-indexé</w:t>
      </w:r>
      <w:r>
        <w:rPr>
          <w:rFonts w:ascii="Times New Roman" w:hAnsi="Times New Roman" w:cs="Times New Roman"/>
          <w:sz w:val="24"/>
          <w:szCs w:val="24"/>
        </w:rPr>
        <w:t>e</w:t>
      </w:r>
      <w:r w:rsidRPr="003860CE">
        <w:rPr>
          <w:rFonts w:ascii="Times New Roman" w:hAnsi="Times New Roman" w:cs="Times New Roman"/>
          <w:sz w:val="24"/>
          <w:szCs w:val="24"/>
        </w:rPr>
        <w:t>s sur l’inflation ou moins rémunérat</w:t>
      </w:r>
      <w:r w:rsidR="00897B04">
        <w:rPr>
          <w:rFonts w:ascii="Times New Roman" w:hAnsi="Times New Roman" w:cs="Times New Roman"/>
          <w:sz w:val="24"/>
          <w:szCs w:val="24"/>
        </w:rPr>
        <w:t>rices</w:t>
      </w:r>
      <w:r w:rsidRPr="003860CE">
        <w:rPr>
          <w:rFonts w:ascii="Times New Roman" w:hAnsi="Times New Roman" w:cs="Times New Roman"/>
          <w:sz w:val="24"/>
          <w:szCs w:val="24"/>
        </w:rPr>
        <w:t xml:space="preserve"> en terme réel.  Le second canal concerne l’effet de levier. L’environnement de taux bas favorise la prise de risque de la part des agents économiques financiers et non-financiers pour réaliser des opérations financières potentiellement spéculatives</w:t>
      </w:r>
      <w:r w:rsidRPr="003860CE">
        <w:rPr>
          <w:rStyle w:val="Appeldenotedefin"/>
          <w:rFonts w:ascii="Times New Roman" w:hAnsi="Times New Roman" w:cs="Times New Roman"/>
          <w:sz w:val="24"/>
          <w:szCs w:val="24"/>
        </w:rPr>
        <w:endnoteReference w:id="19"/>
      </w:r>
      <w:r w:rsidRPr="003860CE">
        <w:rPr>
          <w:rFonts w:ascii="Times New Roman" w:hAnsi="Times New Roman" w:cs="Times New Roman"/>
          <w:sz w:val="24"/>
          <w:szCs w:val="24"/>
        </w:rPr>
        <w:t xml:space="preserve"> sur différents supports d’investissement, immobilier</w:t>
      </w:r>
      <w:r w:rsidRPr="003860CE">
        <w:rPr>
          <w:rStyle w:val="Appeldenotedefin"/>
          <w:rFonts w:ascii="Times New Roman" w:hAnsi="Times New Roman" w:cs="Times New Roman"/>
          <w:sz w:val="24"/>
          <w:szCs w:val="24"/>
        </w:rPr>
        <w:endnoteReference w:id="20"/>
      </w:r>
      <w:r w:rsidRPr="003860CE">
        <w:rPr>
          <w:rFonts w:ascii="Times New Roman" w:hAnsi="Times New Roman" w:cs="Times New Roman"/>
          <w:sz w:val="24"/>
          <w:szCs w:val="24"/>
        </w:rPr>
        <w:t xml:space="preserve"> notamment. Un phénomène d’accélérateur financier pourrait survenir et déboucher sur une bulle de crédit si les banques venaient à adosser les prêts accordés sur la valeur croissante des collatéraux. En l’absence d’un dispositif prudentiel limitant ce type d’opérations et contraignant les intermédiaires financiers, un emballement financier est à redouter sur les prix des différents actifs ciblés. </w:t>
      </w:r>
    </w:p>
    <w:p w:rsidR="008265CE" w:rsidRPr="003860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L’absence de politique monétaire visant à assurer la stabilité financière peut laisser craindre des fluctuations importantes du cycle financier voire des moments de crises financières qui auraient inévitablement des répercussions sur l’économie réelle. Le gouvernement serait à nouveau mis à contribution pour solvabiliser des agents économiques subissant des pertes après une prise de risque favorisant l’emballement financier.  Un retournement des anticipations provoquerait une inversion des cours conduisant à une contraction de la demande globale sous l’effet du pessimisme des agents économiques et d’un processus de désendettement. Les conséquences macroéconomiques des dérèglements financiers ne sont pas circonscrites aux mécanismes habituels liant cycle financier et cycle des affaires domestiques. En privilégiant une épargne composée d’actifs étrangers libellés en devises, les agents économiques pourraient exposer l’économie domestique à un risque de contagion financière en cas de retournement ou de crise financière sur les marchés étrangers. Enfin, dans une perspective plus contemporaine, une fuite face à la monnaie pourrait profiter aux crypto-actifs qui échappent à toute réglementation et sont soumis à une forte volatilité. Dans les deux cas, l’économie réelle serait affectée par les mêmes mécanismes.</w:t>
      </w:r>
    </w:p>
    <w:p w:rsidR="008265CE" w:rsidRDefault="008265CE" w:rsidP="008265CE">
      <w:pPr>
        <w:jc w:val="both"/>
        <w:rPr>
          <w:rFonts w:ascii="Times New Roman" w:hAnsi="Times New Roman" w:cs="Times New Roman"/>
          <w:sz w:val="24"/>
          <w:szCs w:val="24"/>
        </w:rPr>
      </w:pPr>
    </w:p>
    <w:p w:rsidR="008265CE" w:rsidRDefault="008265CE" w:rsidP="008265CE">
      <w:pPr>
        <w:jc w:val="both"/>
        <w:rPr>
          <w:rFonts w:ascii="Times New Roman" w:hAnsi="Times New Roman" w:cs="Times New Roman"/>
          <w:sz w:val="24"/>
          <w:szCs w:val="24"/>
        </w:rPr>
      </w:pPr>
    </w:p>
    <w:p w:rsidR="008265CE" w:rsidRDefault="008265CE" w:rsidP="008265CE">
      <w:pPr>
        <w:jc w:val="both"/>
        <w:rPr>
          <w:rFonts w:ascii="Times New Roman" w:hAnsi="Times New Roman" w:cs="Times New Roman"/>
          <w:sz w:val="24"/>
          <w:szCs w:val="24"/>
        </w:rPr>
      </w:pPr>
    </w:p>
    <w:p w:rsidR="008265CE" w:rsidRPr="007A25FD" w:rsidRDefault="008265CE" w:rsidP="008265CE">
      <w:pPr>
        <w:jc w:val="center"/>
        <w:rPr>
          <w:rFonts w:ascii="Times New Roman" w:hAnsi="Times New Roman" w:cs="Times New Roman"/>
          <w:i/>
          <w:sz w:val="24"/>
          <w:szCs w:val="24"/>
        </w:rPr>
      </w:pPr>
      <w:r>
        <w:rPr>
          <w:rFonts w:ascii="Times New Roman" w:hAnsi="Times New Roman" w:cs="Times New Roman"/>
          <w:i/>
          <w:sz w:val="24"/>
          <w:szCs w:val="24"/>
        </w:rPr>
        <w:lastRenderedPageBreak/>
        <w:t>La TMM et le biais américain</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La TMM délimite précisément le cadre institutionnel au sein duquel son modèle pourrait s’appliquer efficacement. Ainsi, toute dominance fiscale n’est viable que dans un environnement où un gouvernement consolidé composé du Trésor et de la Banque centrale</w:t>
      </w:r>
      <w:r w:rsidRPr="003860CE">
        <w:rPr>
          <w:rStyle w:val="Appeldenotedefin"/>
          <w:rFonts w:ascii="Times New Roman" w:hAnsi="Times New Roman" w:cs="Times New Roman"/>
          <w:sz w:val="24"/>
          <w:szCs w:val="24"/>
        </w:rPr>
        <w:endnoteReference w:id="21"/>
      </w:r>
      <w:r w:rsidRPr="003860CE">
        <w:rPr>
          <w:rFonts w:ascii="Times New Roman" w:hAnsi="Times New Roman" w:cs="Times New Roman"/>
          <w:sz w:val="24"/>
          <w:szCs w:val="24"/>
        </w:rPr>
        <w:t xml:space="preserve"> est en mesure de générer la quantité de monnaie nécessaire au financement des déficits publics. Cette liberté « interne » va de pair avec une liberté « externe » où le gouvernement n’est pas tenu de défendre une parité au sein d’un régime de changes fixes qui serait une contrainte pour la politique monétaire. Toutefois, même si l’on écarte ces pays préférant un régime de changes fixes, les préconisations de la TMM ne semblent viables que pour une poignée d’économies avancées dont la monnaie dispose d’un poids international conséquent. On peut penser évidemment à l’économie américaine</w:t>
      </w:r>
      <w:r w:rsidRPr="003860CE">
        <w:rPr>
          <w:rStyle w:val="Appeldenotedefin"/>
          <w:rFonts w:ascii="Times New Roman" w:hAnsi="Times New Roman" w:cs="Times New Roman"/>
          <w:sz w:val="24"/>
          <w:szCs w:val="24"/>
        </w:rPr>
        <w:endnoteReference w:id="22"/>
      </w:r>
      <w:r w:rsidRPr="003860CE">
        <w:rPr>
          <w:rFonts w:ascii="Times New Roman" w:hAnsi="Times New Roman" w:cs="Times New Roman"/>
          <w:sz w:val="24"/>
          <w:szCs w:val="24"/>
        </w:rPr>
        <w:t xml:space="preserve"> qui est la seule en mesure de faire peser sur ses créanciers une partie des effets indésirables de ses politiques.</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Un pays connaissant un déficit courant peut espérer le maintenir sans trop d’inquiétudes tant que le reste du monde accepte d’accumuler les actifs émis dans cette monnaie. A l’inverse un pays structurellement débiteur vis-à-vis du reste du monde verrait sa monnaie se déprécier si jamais les investisseurs venaient à se détourner de cette monnaie et à privilégier des placements dans une autre devise. De la même manière que la dépréciation de la monnaie renchérit les importations du pays suivant les préconisations de la TMM, elle va gonfler la valeur exprimée en monnaie domestique de la dette contractée en devises</w:t>
      </w:r>
      <w:r w:rsidRPr="003860CE">
        <w:rPr>
          <w:rStyle w:val="Appeldenotedefin"/>
          <w:rFonts w:ascii="Times New Roman" w:hAnsi="Times New Roman" w:cs="Times New Roman"/>
          <w:sz w:val="24"/>
          <w:szCs w:val="24"/>
        </w:rPr>
        <w:endnoteReference w:id="23"/>
      </w:r>
      <w:r w:rsidRPr="003860CE">
        <w:rPr>
          <w:rFonts w:ascii="Times New Roman" w:hAnsi="Times New Roman" w:cs="Times New Roman"/>
          <w:sz w:val="24"/>
          <w:szCs w:val="24"/>
        </w:rPr>
        <w:t xml:space="preserve"> suggérant un problème d’insoutenabilité de la dette extérieure et probablement une crise financière liée à l’interruption des financements extérieurs ou </w:t>
      </w:r>
      <w:r w:rsidRPr="003860CE">
        <w:rPr>
          <w:rFonts w:ascii="Times New Roman" w:hAnsi="Times New Roman" w:cs="Times New Roman"/>
          <w:i/>
          <w:sz w:val="24"/>
          <w:szCs w:val="24"/>
        </w:rPr>
        <w:t>« </w:t>
      </w:r>
      <w:proofErr w:type="spellStart"/>
      <w:r w:rsidRPr="003860CE">
        <w:rPr>
          <w:rFonts w:ascii="Times New Roman" w:hAnsi="Times New Roman" w:cs="Times New Roman"/>
          <w:i/>
          <w:sz w:val="24"/>
          <w:szCs w:val="24"/>
        </w:rPr>
        <w:t>sudden</w:t>
      </w:r>
      <w:proofErr w:type="spellEnd"/>
      <w:r w:rsidRPr="003860CE">
        <w:rPr>
          <w:rFonts w:ascii="Times New Roman" w:hAnsi="Times New Roman" w:cs="Times New Roman"/>
          <w:i/>
          <w:sz w:val="24"/>
          <w:szCs w:val="24"/>
        </w:rPr>
        <w:t xml:space="preserve"> stops ».</w:t>
      </w:r>
      <w:r w:rsidRPr="003860CE">
        <w:rPr>
          <w:rFonts w:ascii="Times New Roman" w:hAnsi="Times New Roman" w:cs="Times New Roman"/>
          <w:sz w:val="24"/>
          <w:szCs w:val="24"/>
        </w:rPr>
        <w:t xml:space="preserve"> Si un gouvernement peut éviter le défaut sur une dette libellée dans sa propre monnaie, il pourrait s’y résoudre en cas d’endettement en monnaie étrangère, à moins d’accepter de consacrer des ressources supplémentaires pour faire face au service de sa dette</w:t>
      </w:r>
      <w:r w:rsidRPr="003860CE">
        <w:rPr>
          <w:rStyle w:val="Appeldenotedefin"/>
          <w:rFonts w:ascii="Times New Roman" w:hAnsi="Times New Roman" w:cs="Times New Roman"/>
          <w:sz w:val="24"/>
          <w:szCs w:val="24"/>
        </w:rPr>
        <w:endnoteReference w:id="24"/>
      </w:r>
      <w:r w:rsidRPr="003860CE">
        <w:rPr>
          <w:rFonts w:ascii="Times New Roman" w:hAnsi="Times New Roman" w:cs="Times New Roman"/>
          <w:sz w:val="24"/>
          <w:szCs w:val="24"/>
        </w:rPr>
        <w:t>.</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 xml:space="preserve">La combinaison « heureuse » permettant un endettement externe soutenable est observée de longue date dans le cas américain. La volonté des économies asiatiques et </w:t>
      </w:r>
      <w:r>
        <w:rPr>
          <w:rFonts w:ascii="Times New Roman" w:hAnsi="Times New Roman" w:cs="Times New Roman"/>
          <w:sz w:val="24"/>
          <w:szCs w:val="24"/>
        </w:rPr>
        <w:t xml:space="preserve">des pays </w:t>
      </w:r>
      <w:r w:rsidRPr="003860CE">
        <w:rPr>
          <w:rFonts w:ascii="Times New Roman" w:hAnsi="Times New Roman" w:cs="Times New Roman"/>
          <w:sz w:val="24"/>
          <w:szCs w:val="24"/>
        </w:rPr>
        <w:t>producteurs de matières premières d’accumuler des réserves en dollars américains lui permet de s’endetter sans que la valeur externe de sa monnaie ne soit véritablement menacée et ne provoque d’interruptions des capitaux étrangers. Ce « privilège exorbitant » associé au dollar américain peut être étendu à quelques économies seulement comme la Zone Euro, le Japon et le Royaume-Uni dont les monnaies sont incontournables sur le marché des changes aux yeux des investisseurs internationaux</w:t>
      </w:r>
      <w:r w:rsidRPr="003860CE">
        <w:rPr>
          <w:rStyle w:val="Appeldenotedefin"/>
          <w:rFonts w:ascii="Times New Roman" w:hAnsi="Times New Roman" w:cs="Times New Roman"/>
          <w:sz w:val="24"/>
          <w:szCs w:val="24"/>
        </w:rPr>
        <w:endnoteReference w:id="25"/>
      </w:r>
      <w:r w:rsidRPr="003860CE">
        <w:rPr>
          <w:rFonts w:ascii="Times New Roman" w:hAnsi="Times New Roman" w:cs="Times New Roman"/>
          <w:sz w:val="24"/>
          <w:szCs w:val="24"/>
        </w:rPr>
        <w:t>. La TMM semble</w:t>
      </w:r>
      <w:r>
        <w:rPr>
          <w:rFonts w:ascii="Times New Roman" w:hAnsi="Times New Roman" w:cs="Times New Roman"/>
          <w:sz w:val="24"/>
          <w:szCs w:val="24"/>
        </w:rPr>
        <w:t xml:space="preserve">rait </w:t>
      </w:r>
      <w:r w:rsidRPr="003860CE">
        <w:rPr>
          <w:rFonts w:ascii="Times New Roman" w:hAnsi="Times New Roman" w:cs="Times New Roman"/>
          <w:sz w:val="24"/>
          <w:szCs w:val="24"/>
        </w:rPr>
        <w:t>donc app</w:t>
      </w:r>
      <w:r>
        <w:rPr>
          <w:rFonts w:ascii="Times New Roman" w:hAnsi="Times New Roman" w:cs="Times New Roman"/>
          <w:sz w:val="24"/>
          <w:szCs w:val="24"/>
        </w:rPr>
        <w:t>licabl</w:t>
      </w:r>
      <w:r w:rsidRPr="003860CE">
        <w:rPr>
          <w:rFonts w:ascii="Times New Roman" w:hAnsi="Times New Roman" w:cs="Times New Roman"/>
          <w:sz w:val="24"/>
          <w:szCs w:val="24"/>
        </w:rPr>
        <w:t>e pour ces économies</w:t>
      </w:r>
      <w:r w:rsidRPr="003860CE">
        <w:rPr>
          <w:rStyle w:val="Appeldenotedefin"/>
          <w:rFonts w:ascii="Times New Roman" w:hAnsi="Times New Roman" w:cs="Times New Roman"/>
          <w:sz w:val="24"/>
          <w:szCs w:val="24"/>
        </w:rPr>
        <w:endnoteReference w:id="26"/>
      </w:r>
      <w:r w:rsidRPr="003860CE">
        <w:rPr>
          <w:rFonts w:ascii="Times New Roman" w:hAnsi="Times New Roman" w:cs="Times New Roman"/>
          <w:sz w:val="24"/>
          <w:szCs w:val="24"/>
        </w:rPr>
        <w:t xml:space="preserve"> où la dette publique est (majoritairement) détenue par des résidents et par des non-résidents souhaitant détenir des actifs dans ces monnaies « internationales ». Cet équilibre reste toutefois conditionné par le comportement des créanciers étrangers. Une volonté de diversification de portefeuille, l’arrivée à maturité d’une économie émergente disposant d’un marché des capitaux développé ou bien même la crise d’un des pays émetteurs des monnaies internationales pourraient remettre en cause cette stabilité. Ainsi, la fin du régime de Bretton Woods II induisant un flottement progressif du Yuan pourrait inciter les agents économiques chinois à réduire leur exposition au dollar au profit du financement de l’économie domestique. Une période d’incertitude peut également conduire les investisseurs à se tourner vers des actifs « refuge » libellés dans la dernière monnaie dans laquelle ils ont confiance à savoir le dollar américain par exemple.</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lastRenderedPageBreak/>
        <w:t xml:space="preserve">Les préconisations de la TMM paraissent </w:t>
      </w:r>
      <w:r>
        <w:rPr>
          <w:rFonts w:ascii="Times New Roman" w:hAnsi="Times New Roman" w:cs="Times New Roman"/>
          <w:sz w:val="24"/>
          <w:szCs w:val="24"/>
        </w:rPr>
        <w:t>en revanche</w:t>
      </w:r>
      <w:r w:rsidRPr="003860CE">
        <w:rPr>
          <w:rFonts w:ascii="Times New Roman" w:hAnsi="Times New Roman" w:cs="Times New Roman"/>
          <w:sz w:val="24"/>
          <w:szCs w:val="24"/>
        </w:rPr>
        <w:t xml:space="preserve"> moins adaptées pour des pays</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en développement n’émettant pas de devises échangées sur le marché des changes et ayant besoin de capitaux étrangers pour financer un déficit courant et en partie le déficit budgétaire. De nombreux gouvernements appartenant à ces deux catégories de pays </w:t>
      </w:r>
      <w:r>
        <w:rPr>
          <w:rFonts w:ascii="Times New Roman" w:hAnsi="Times New Roman" w:cs="Times New Roman"/>
          <w:sz w:val="24"/>
          <w:szCs w:val="24"/>
        </w:rPr>
        <w:t>ont une dette publique amplement détenue par des agents non-résidents</w:t>
      </w:r>
      <w:r w:rsidRPr="003860CE">
        <w:rPr>
          <w:rFonts w:ascii="Times New Roman" w:hAnsi="Times New Roman" w:cs="Times New Roman"/>
          <w:sz w:val="24"/>
          <w:szCs w:val="24"/>
        </w:rPr>
        <w:t xml:space="preserve"> et majoritairement émise en monnaie étrangère.  Bien que la part du régime purement flottant ait gagné en importance au sein de ces mêmes pays, la « peur du flottement » les pousse à privilégier </w:t>
      </w:r>
      <w:r w:rsidRPr="003860CE">
        <w:rPr>
          <w:rFonts w:ascii="Times New Roman" w:hAnsi="Times New Roman" w:cs="Times New Roman"/>
          <w:i/>
          <w:sz w:val="24"/>
          <w:szCs w:val="24"/>
        </w:rPr>
        <w:t>de facto</w:t>
      </w:r>
      <w:r w:rsidRPr="003860CE">
        <w:rPr>
          <w:rFonts w:ascii="Times New Roman" w:hAnsi="Times New Roman" w:cs="Times New Roman"/>
          <w:sz w:val="24"/>
          <w:szCs w:val="24"/>
        </w:rPr>
        <w:t xml:space="preserve"> </w:t>
      </w:r>
      <w:r>
        <w:rPr>
          <w:rFonts w:ascii="Times New Roman" w:hAnsi="Times New Roman" w:cs="Times New Roman"/>
          <w:sz w:val="24"/>
          <w:szCs w:val="24"/>
        </w:rPr>
        <w:t>un régime</w:t>
      </w:r>
      <w:r w:rsidRPr="003860CE">
        <w:rPr>
          <w:rFonts w:ascii="Times New Roman" w:hAnsi="Times New Roman" w:cs="Times New Roman"/>
          <w:sz w:val="24"/>
          <w:szCs w:val="24"/>
        </w:rPr>
        <w:t xml:space="preserve"> de change</w:t>
      </w:r>
      <w:r>
        <w:rPr>
          <w:rFonts w:ascii="Times New Roman" w:hAnsi="Times New Roman" w:cs="Times New Roman"/>
          <w:sz w:val="24"/>
          <w:szCs w:val="24"/>
        </w:rPr>
        <w:t>s</w:t>
      </w:r>
      <w:r w:rsidRPr="003860CE">
        <w:rPr>
          <w:rFonts w:ascii="Times New Roman" w:hAnsi="Times New Roman" w:cs="Times New Roman"/>
          <w:sz w:val="24"/>
          <w:szCs w:val="24"/>
        </w:rPr>
        <w:t xml:space="preserve"> flottant</w:t>
      </w:r>
      <w:r>
        <w:rPr>
          <w:rFonts w:ascii="Times New Roman" w:hAnsi="Times New Roman" w:cs="Times New Roman"/>
          <w:sz w:val="24"/>
          <w:szCs w:val="24"/>
        </w:rPr>
        <w:t>s</w:t>
      </w:r>
      <w:r w:rsidRPr="003860CE">
        <w:rPr>
          <w:rFonts w:ascii="Times New Roman" w:hAnsi="Times New Roman" w:cs="Times New Roman"/>
          <w:sz w:val="24"/>
          <w:szCs w:val="24"/>
        </w:rPr>
        <w:t xml:space="preserve"> </w:t>
      </w:r>
      <w:r>
        <w:rPr>
          <w:rFonts w:ascii="Times New Roman" w:hAnsi="Times New Roman" w:cs="Times New Roman"/>
          <w:sz w:val="24"/>
          <w:szCs w:val="24"/>
        </w:rPr>
        <w:t>administr</w:t>
      </w:r>
      <w:r w:rsidRPr="003860CE">
        <w:rPr>
          <w:rFonts w:ascii="Times New Roman" w:hAnsi="Times New Roman" w:cs="Times New Roman"/>
          <w:sz w:val="24"/>
          <w:szCs w:val="24"/>
        </w:rPr>
        <w:t xml:space="preserve">é. Pour ces derniers, la dominance budgétaire n’est pas envisageable puisqu’ils ont un objectif implicite de stabilité du change. Pour les pays ayant </w:t>
      </w:r>
      <w:r>
        <w:rPr>
          <w:rFonts w:ascii="Times New Roman" w:hAnsi="Times New Roman" w:cs="Times New Roman"/>
          <w:sz w:val="24"/>
          <w:szCs w:val="24"/>
        </w:rPr>
        <w:t>ad</w:t>
      </w:r>
      <w:r w:rsidRPr="003860CE">
        <w:rPr>
          <w:rFonts w:ascii="Times New Roman" w:hAnsi="Times New Roman" w:cs="Times New Roman"/>
          <w:sz w:val="24"/>
          <w:szCs w:val="24"/>
        </w:rPr>
        <w:t xml:space="preserve">opté un régime totalement flottant, la dominance budgétaire pourrait se heurter à un appétit limité des investisseurs pour les bons souverains émis par les gouvernements ainsi qu’au poids qu’ils souhaitent dédier à la monnaie associée dans leurs portefeuilles. Cela renforce la contrainte budgétaire. Les pays paient le service de leur dette en monnaie étrangère en y consacrant des moyens croissants en cas de dépréciation de la monnaie, ce qui pourrait paradoxalement conduire à des mesures d’austérité. Ces pays dépendants des capitaux étrangers en devises pourraient finalement être confrontés à une hausse de la prime de risque exigée par les créanciers pour se couvrir du risque de dépréciation et de défaut qui demeure une option de sortie sérieuse pour les débiteurs. </w:t>
      </w: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pStyle w:val="Paragraphedeliste"/>
        <w:jc w:val="center"/>
        <w:rPr>
          <w:rFonts w:ascii="Times New Roman" w:hAnsi="Times New Roman" w:cs="Times New Roman"/>
          <w:sz w:val="24"/>
          <w:szCs w:val="24"/>
        </w:rPr>
      </w:pPr>
      <w:r w:rsidRPr="003860CE">
        <w:rPr>
          <w:rFonts w:ascii="Times New Roman" w:hAnsi="Times New Roman" w:cs="Times New Roman"/>
          <w:b/>
          <w:sz w:val="24"/>
          <w:szCs w:val="24"/>
        </w:rPr>
        <w:t xml:space="preserve">LES ANGLES MORTS DE LA TMM : UNE </w:t>
      </w:r>
      <w:r>
        <w:rPr>
          <w:rFonts w:ascii="Times New Roman" w:hAnsi="Times New Roman" w:cs="Times New Roman"/>
          <w:b/>
          <w:sz w:val="24"/>
          <w:szCs w:val="24"/>
        </w:rPr>
        <w:t>É</w:t>
      </w:r>
      <w:r w:rsidRPr="003860CE">
        <w:rPr>
          <w:rFonts w:ascii="Times New Roman" w:hAnsi="Times New Roman" w:cs="Times New Roman"/>
          <w:b/>
          <w:sz w:val="24"/>
          <w:szCs w:val="24"/>
        </w:rPr>
        <w:t xml:space="preserve">CONOMIE POLITIQUE </w:t>
      </w:r>
      <w:r>
        <w:rPr>
          <w:rFonts w:ascii="Times New Roman" w:hAnsi="Times New Roman" w:cs="Times New Roman"/>
          <w:b/>
          <w:sz w:val="24"/>
          <w:szCs w:val="24"/>
        </w:rPr>
        <w:t>À</w:t>
      </w:r>
      <w:r w:rsidRPr="003860CE">
        <w:rPr>
          <w:rFonts w:ascii="Times New Roman" w:hAnsi="Times New Roman" w:cs="Times New Roman"/>
          <w:b/>
          <w:sz w:val="24"/>
          <w:szCs w:val="24"/>
        </w:rPr>
        <w:t xml:space="preserve"> CONSTRUIRE</w:t>
      </w:r>
    </w:p>
    <w:p w:rsidR="008265CE" w:rsidRPr="003860CE" w:rsidRDefault="008265CE" w:rsidP="008265CE">
      <w:pPr>
        <w:ind w:firstLine="360"/>
        <w:jc w:val="both"/>
        <w:rPr>
          <w:rFonts w:ascii="Times New Roman" w:hAnsi="Times New Roman" w:cs="Times New Roman"/>
          <w:sz w:val="24"/>
          <w:szCs w:val="24"/>
        </w:rPr>
      </w:pPr>
      <w:r>
        <w:rPr>
          <w:rFonts w:ascii="Times New Roman" w:hAnsi="Times New Roman" w:cs="Times New Roman"/>
          <w:sz w:val="24"/>
          <w:szCs w:val="24"/>
        </w:rPr>
        <w:t>Au-delà des limites macroéconomiques associées au régime de dominance budgétaire, les travaux de la TMM souffrent d’un manque de réflexion sur le caractère appliqué de sa théorie pouvant fragiliser ses recommandations. Quatre sujets relevant de l’économie politique mériteraient une discussion approfondie afin de préciser et renforcer la crédibilité de la TMM dans une perspective politique : le contenu de la politique budgétaire, la relation banque centrale-Trésor, le régime de changes et la politique prudentielle.</w:t>
      </w:r>
    </w:p>
    <w:p w:rsidR="008265CE" w:rsidRPr="003860CE" w:rsidRDefault="008265CE" w:rsidP="008265CE">
      <w:pPr>
        <w:ind w:firstLine="360"/>
        <w:jc w:val="both"/>
        <w:rPr>
          <w:rFonts w:ascii="Times New Roman" w:hAnsi="Times New Roman" w:cs="Times New Roman"/>
          <w:sz w:val="24"/>
          <w:szCs w:val="24"/>
        </w:rPr>
      </w:pPr>
    </w:p>
    <w:p w:rsidR="008265CE" w:rsidRPr="003860CE" w:rsidRDefault="008265CE" w:rsidP="008265CE">
      <w:pPr>
        <w:ind w:firstLine="708"/>
        <w:jc w:val="center"/>
        <w:rPr>
          <w:rFonts w:ascii="Times New Roman" w:hAnsi="Times New Roman" w:cs="Times New Roman"/>
          <w:i/>
          <w:sz w:val="24"/>
          <w:szCs w:val="24"/>
        </w:rPr>
      </w:pPr>
      <w:r w:rsidRPr="003860CE">
        <w:rPr>
          <w:rFonts w:ascii="Times New Roman" w:hAnsi="Times New Roman" w:cs="Times New Roman"/>
          <w:i/>
          <w:sz w:val="24"/>
          <w:szCs w:val="24"/>
        </w:rPr>
        <w:t>Priorité à la politique budgétaire mais laquelle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Les contributions de la TMM restent plutôt vagues sur le contenu de la politique budgétaire et aucune typologie des dépenses ou des taxes pertinentes n’est avancée. Du côté des dépenses, aucune hiérarchie n’est établie dans la mesure où la TMM considère que toute dépense précède les prélèvements obligatoires. Ainsi, la dépense publique serait mobilisée pour remplir un objectif social et politique déterminé démocratiquement par le pouvoir exécutif. Toutefois, l’idée centrale de la théorie est d’amener la demande effective à son niveau compatible avec le plein emploi. Une proposition de longue date rattachée à la TMM (Minsky, 1965)</w:t>
      </w:r>
      <w:r>
        <w:rPr>
          <w:rFonts w:ascii="Times New Roman" w:hAnsi="Times New Roman" w:cs="Times New Roman"/>
          <w:sz w:val="24"/>
          <w:szCs w:val="24"/>
        </w:rPr>
        <w:t xml:space="preserve"> </w:t>
      </w:r>
      <w:r w:rsidRPr="003860CE">
        <w:rPr>
          <w:rFonts w:ascii="Times New Roman" w:hAnsi="Times New Roman" w:cs="Times New Roman"/>
          <w:sz w:val="24"/>
          <w:szCs w:val="24"/>
        </w:rPr>
        <w:t>dépass</w:t>
      </w:r>
      <w:r>
        <w:rPr>
          <w:rFonts w:ascii="Times New Roman" w:hAnsi="Times New Roman" w:cs="Times New Roman"/>
          <w:sz w:val="24"/>
          <w:szCs w:val="24"/>
        </w:rPr>
        <w:t>ant</w:t>
      </w:r>
      <w:r w:rsidRPr="003860CE">
        <w:rPr>
          <w:rFonts w:ascii="Times New Roman" w:hAnsi="Times New Roman" w:cs="Times New Roman"/>
          <w:sz w:val="24"/>
          <w:szCs w:val="24"/>
        </w:rPr>
        <w:t xml:space="preserve"> le principe d’assurance-chômage </w:t>
      </w:r>
      <w:r>
        <w:rPr>
          <w:rFonts w:ascii="Times New Roman" w:hAnsi="Times New Roman" w:cs="Times New Roman"/>
          <w:sz w:val="24"/>
          <w:szCs w:val="24"/>
        </w:rPr>
        <w:t>consiste à créer</w:t>
      </w:r>
      <w:r w:rsidRPr="003860CE">
        <w:rPr>
          <w:rFonts w:ascii="Times New Roman" w:hAnsi="Times New Roman" w:cs="Times New Roman"/>
          <w:sz w:val="24"/>
          <w:szCs w:val="24"/>
        </w:rPr>
        <w:t xml:space="preserve"> un programme de garantie d’emploi afin de rester au voisinage du plein emploi</w:t>
      </w:r>
      <w:r w:rsidRPr="003860CE">
        <w:rPr>
          <w:rStyle w:val="Appeldenotedefin"/>
          <w:rFonts w:ascii="Times New Roman" w:hAnsi="Times New Roman" w:cs="Times New Roman"/>
          <w:sz w:val="24"/>
          <w:szCs w:val="24"/>
        </w:rPr>
        <w:endnoteReference w:id="27"/>
      </w:r>
      <w:r w:rsidRPr="003860CE">
        <w:rPr>
          <w:rFonts w:ascii="Times New Roman" w:hAnsi="Times New Roman" w:cs="Times New Roman"/>
          <w:sz w:val="24"/>
          <w:szCs w:val="24"/>
        </w:rPr>
        <w:t xml:space="preserve">. Cet outil </w:t>
      </w:r>
      <w:proofErr w:type="spellStart"/>
      <w:r w:rsidRPr="003860CE">
        <w:rPr>
          <w:rFonts w:ascii="Times New Roman" w:hAnsi="Times New Roman" w:cs="Times New Roman"/>
          <w:sz w:val="24"/>
          <w:szCs w:val="24"/>
        </w:rPr>
        <w:t>contra-cyclique</w:t>
      </w:r>
      <w:proofErr w:type="spellEnd"/>
      <w:r w:rsidRPr="003860CE">
        <w:rPr>
          <w:rFonts w:ascii="Times New Roman" w:hAnsi="Times New Roman" w:cs="Times New Roman"/>
          <w:sz w:val="24"/>
          <w:szCs w:val="24"/>
        </w:rPr>
        <w:t xml:space="preserve"> a pour but de maintenir les gens dans l’emploi en cas de ralentissement économique en leur proposant un emploi rémunéré au salaire minimum pour des missions publiques. Le volant d’emplois publics se dégonflerait mécaniquement en cas d’accroissement des embauches dans le secteur privé. Toutefois, il semblerait que la solution offerte par le financement monétaire du déficit public </w:t>
      </w:r>
      <w:r w:rsidRPr="003860CE">
        <w:rPr>
          <w:rFonts w:ascii="Times New Roman" w:hAnsi="Times New Roman" w:cs="Times New Roman"/>
          <w:sz w:val="24"/>
          <w:szCs w:val="24"/>
        </w:rPr>
        <w:lastRenderedPageBreak/>
        <w:t>ait élargi le champ des possibles. Ainsi, aux Etats-Unis, les personnes converties à la TMM au sein du parti démocrate imaginent le financement du système de santé américain (</w:t>
      </w:r>
      <w:r w:rsidRPr="003860CE">
        <w:rPr>
          <w:rFonts w:ascii="Times New Roman" w:hAnsi="Times New Roman" w:cs="Times New Roman"/>
          <w:i/>
          <w:sz w:val="24"/>
          <w:szCs w:val="24"/>
        </w:rPr>
        <w:t>Medicare</w:t>
      </w:r>
      <w:r w:rsidRPr="003860CE">
        <w:rPr>
          <w:rFonts w:ascii="Times New Roman" w:hAnsi="Times New Roman" w:cs="Times New Roman"/>
          <w:sz w:val="24"/>
          <w:szCs w:val="24"/>
        </w:rPr>
        <w:t xml:space="preserve">) et des étudiants américains, mais aussi le financement d’infrastructures d’envergure et notamment celles permettant la transition écologique. </w:t>
      </w:r>
      <w:proofErr w:type="spellStart"/>
      <w:r w:rsidRPr="003860CE">
        <w:rPr>
          <w:rFonts w:ascii="Times New Roman" w:hAnsi="Times New Roman" w:cs="Times New Roman"/>
          <w:sz w:val="24"/>
          <w:szCs w:val="24"/>
        </w:rPr>
        <w:t>Shirai</w:t>
      </w:r>
      <w:proofErr w:type="spellEnd"/>
      <w:r w:rsidRPr="003860CE">
        <w:rPr>
          <w:rFonts w:ascii="Times New Roman" w:hAnsi="Times New Roman" w:cs="Times New Roman"/>
          <w:sz w:val="24"/>
          <w:szCs w:val="24"/>
        </w:rPr>
        <w:t xml:space="preserve"> (2019) suggère d’orienter les dépenses vers des projets destinés à accroître la productivité afin d’augmenter la croissance potentielle, et ainsi stabiliser la dette publique en proportion du revenu à plus long terme. Si la TMM ne poursuit pas un objectif d’optimisation des dépenses publiques, une typologie des dépenses publiques permettrait tout de même de renforcer l’efficacité de l’action publique en distinguant les mesures selon leur effet multiplicateur qui reste au cœur de la théorie keynésienne. Toutefois, ce dernier point n’est jamais abordé sous un angle quantitatif dans les contributions.</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La doctrine en matière de politique fiscale semble plus floue encore. A nouveau, aucun objectif de rendement des taxes n’est recherché puisque les prélèvements obligatoires sont déconnectés de la dépense publique</w:t>
      </w:r>
      <w:r w:rsidRPr="003860CE">
        <w:rPr>
          <w:rStyle w:val="Appeldenotedefin"/>
          <w:rFonts w:ascii="Times New Roman" w:hAnsi="Times New Roman" w:cs="Times New Roman"/>
          <w:sz w:val="24"/>
          <w:szCs w:val="24"/>
        </w:rPr>
        <w:endnoteReference w:id="28"/>
      </w:r>
      <w:r w:rsidRPr="003860CE">
        <w:rPr>
          <w:rFonts w:ascii="Times New Roman" w:hAnsi="Times New Roman" w:cs="Times New Roman"/>
          <w:sz w:val="24"/>
          <w:szCs w:val="24"/>
        </w:rPr>
        <w:t>. La TMM assigne cependant deux objectifs aux taxes. Le premier concerne la stabilisation macroéconomique et la gestion de l’inflation à partir de taxes sur le revenu qui retireraient automatiquement du pouvoir d’achat au secteur privé (</w:t>
      </w:r>
      <w:proofErr w:type="spellStart"/>
      <w:r w:rsidRPr="003860CE">
        <w:rPr>
          <w:rFonts w:ascii="Times New Roman" w:hAnsi="Times New Roman" w:cs="Times New Roman"/>
          <w:sz w:val="24"/>
          <w:szCs w:val="24"/>
        </w:rPr>
        <w:t>Tymoigne</w:t>
      </w:r>
      <w:proofErr w:type="spellEnd"/>
      <w:r w:rsidRPr="003860CE">
        <w:rPr>
          <w:rFonts w:ascii="Times New Roman" w:hAnsi="Times New Roman" w:cs="Times New Roman"/>
          <w:sz w:val="24"/>
          <w:szCs w:val="24"/>
        </w:rPr>
        <w:t xml:space="preserve"> 2021). Le second touche au projet politique de la majorité qui poursuit divers objectifs sociaux comme la diminution de la pollution, la réduction des inégalités ou une protection des industries locales. Dans les deux cas les effets macroéconomiques des taxes ne sont pas analysés en profondeur et seule la relation macroéconomique négative entre les impôts et le revenu est considérée. Néanmoins, on peut s’interroger sur ces effets si l’on distingue la fiscalité sur les entreprises et celles portant sur les ménages. Pour la première, on admet qu’un ajustement à la hausse des taux de taxation sur les revenus freinera effectivement l’investissement. Toutefois, un alourdissement de la fiscalité sur le travail pourrait avoir deux effets indésirables simultanés typiques d’un choc d’offre : une hausse de l’inflation et un recul de l’emploi. D’autres impôts décorrélés du volume d’activité de l’entreprise comme les impôts sur la production ou l’importation ne permettront pas de limiter la surchauffe mais pourraient être inflationnistes en cas de hausse des taux. Dans le cas de la fiscalité sur les ménages, un alourdissement de la taxation sur les revenus devrait logiquement peser sur la consommation. Toutefois, la conception </w:t>
      </w:r>
      <w:proofErr w:type="spellStart"/>
      <w:r w:rsidRPr="003860CE">
        <w:rPr>
          <w:rFonts w:ascii="Times New Roman" w:hAnsi="Times New Roman" w:cs="Times New Roman"/>
          <w:sz w:val="24"/>
          <w:szCs w:val="24"/>
        </w:rPr>
        <w:t>post-keynésienne</w:t>
      </w:r>
      <w:proofErr w:type="spellEnd"/>
      <w:r w:rsidRPr="003860CE">
        <w:rPr>
          <w:rFonts w:ascii="Times New Roman" w:hAnsi="Times New Roman" w:cs="Times New Roman"/>
          <w:sz w:val="24"/>
          <w:szCs w:val="24"/>
        </w:rPr>
        <w:t xml:space="preserve"> et </w:t>
      </w:r>
      <w:proofErr w:type="spellStart"/>
      <w:r w:rsidRPr="003860CE">
        <w:rPr>
          <w:rFonts w:ascii="Times New Roman" w:hAnsi="Times New Roman" w:cs="Times New Roman"/>
          <w:sz w:val="24"/>
          <w:szCs w:val="24"/>
        </w:rPr>
        <w:t>Kaleckienne</w:t>
      </w:r>
      <w:proofErr w:type="spellEnd"/>
      <w:r w:rsidRPr="003860CE">
        <w:rPr>
          <w:rFonts w:ascii="Times New Roman" w:hAnsi="Times New Roman" w:cs="Times New Roman"/>
          <w:sz w:val="24"/>
          <w:szCs w:val="24"/>
        </w:rPr>
        <w:t xml:space="preserve"> du partage du revenu entre salaires et profits pourrait conduire à privilégier un accroissement de la fiscalité sur les revenus du capital ou sur le patrimoine lui-même. Cette orientation permettrait d’atteindre simultanément l’objectif de stabilisation économique en freinant la demande et de réduction des inégalités en taxant plus fortement les individus les plus riches</w:t>
      </w:r>
      <w:r w:rsidRPr="003860CE">
        <w:rPr>
          <w:rStyle w:val="Appeldenotedefin"/>
          <w:rFonts w:ascii="Times New Roman" w:hAnsi="Times New Roman" w:cs="Times New Roman"/>
          <w:sz w:val="24"/>
          <w:szCs w:val="24"/>
        </w:rPr>
        <w:endnoteReference w:id="29"/>
      </w:r>
      <w:r w:rsidRPr="003860CE">
        <w:rPr>
          <w:rFonts w:ascii="Times New Roman" w:hAnsi="Times New Roman" w:cs="Times New Roman"/>
          <w:sz w:val="24"/>
          <w:szCs w:val="24"/>
        </w:rPr>
        <w:t>. En contrepartie, cette option pourrait s’avérer coûteuse s’il conduisait à une contraction de la base fiscale, si l’ajustement appliqué était conséquent. La TMM n’aborde étonnement pas ces questions d’économie politique de l’ajustement budgétaire.</w:t>
      </w:r>
    </w:p>
    <w:p w:rsidR="008265CE" w:rsidRDefault="008265CE" w:rsidP="008265CE">
      <w:pPr>
        <w:jc w:val="both"/>
        <w:rPr>
          <w:rFonts w:ascii="Times New Roman" w:hAnsi="Times New Roman" w:cs="Times New Roman"/>
          <w:sz w:val="24"/>
          <w:szCs w:val="24"/>
        </w:rPr>
      </w:pPr>
    </w:p>
    <w:p w:rsidR="008265CE" w:rsidRPr="003860CE" w:rsidRDefault="008265CE" w:rsidP="008265CE">
      <w:pPr>
        <w:pStyle w:val="Paragraphedeliste"/>
        <w:ind w:left="1080"/>
        <w:jc w:val="both"/>
        <w:rPr>
          <w:rFonts w:ascii="Times New Roman" w:hAnsi="Times New Roman" w:cs="Times New Roman"/>
          <w:i/>
          <w:sz w:val="24"/>
          <w:szCs w:val="24"/>
        </w:rPr>
      </w:pPr>
      <w:r w:rsidRPr="003860CE">
        <w:rPr>
          <w:rFonts w:ascii="Times New Roman" w:hAnsi="Times New Roman" w:cs="Times New Roman"/>
          <w:i/>
          <w:sz w:val="24"/>
          <w:szCs w:val="24"/>
        </w:rPr>
        <w:t>La consolidation Banque centrale-gouvernement : un contrefactuel commode</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Lavoie (2013, 2019) reproche à la TMM d’avoir basé son cadre d’analyse sur une configuration institutionnelle inexistante en </w:t>
      </w:r>
      <w:r>
        <w:rPr>
          <w:rFonts w:ascii="Times New Roman" w:hAnsi="Times New Roman" w:cs="Times New Roman"/>
          <w:sz w:val="24"/>
          <w:szCs w:val="24"/>
        </w:rPr>
        <w:t>fusionnan</w:t>
      </w:r>
      <w:r w:rsidRPr="003860CE">
        <w:rPr>
          <w:rFonts w:ascii="Times New Roman" w:hAnsi="Times New Roman" w:cs="Times New Roman"/>
          <w:sz w:val="24"/>
          <w:szCs w:val="24"/>
        </w:rPr>
        <w:t xml:space="preserve">t Trésor et Banque centrale </w:t>
      </w:r>
      <w:r>
        <w:rPr>
          <w:rFonts w:ascii="Times New Roman" w:hAnsi="Times New Roman" w:cs="Times New Roman"/>
          <w:sz w:val="24"/>
          <w:szCs w:val="24"/>
        </w:rPr>
        <w:t>au sein d’une</w:t>
      </w:r>
      <w:r w:rsidRPr="003860CE">
        <w:rPr>
          <w:rFonts w:ascii="Times New Roman" w:hAnsi="Times New Roman" w:cs="Times New Roman"/>
          <w:sz w:val="24"/>
          <w:szCs w:val="24"/>
        </w:rPr>
        <w:t xml:space="preserve"> même entité</w:t>
      </w:r>
      <w:r>
        <w:rPr>
          <w:rFonts w:ascii="Times New Roman" w:hAnsi="Times New Roman" w:cs="Times New Roman"/>
          <w:sz w:val="24"/>
          <w:szCs w:val="24"/>
        </w:rPr>
        <w:t xml:space="preserve"> gouvernementale</w:t>
      </w:r>
      <w:r w:rsidRPr="003860CE">
        <w:rPr>
          <w:rFonts w:ascii="Times New Roman" w:hAnsi="Times New Roman" w:cs="Times New Roman"/>
          <w:sz w:val="24"/>
          <w:szCs w:val="24"/>
        </w:rPr>
        <w:t xml:space="preserve">.  Selon </w:t>
      </w:r>
      <w:proofErr w:type="spellStart"/>
      <w:r w:rsidRPr="003860CE">
        <w:rPr>
          <w:rFonts w:ascii="Times New Roman" w:hAnsi="Times New Roman" w:cs="Times New Roman"/>
          <w:sz w:val="24"/>
          <w:szCs w:val="24"/>
        </w:rPr>
        <w:t>Fullwiler</w:t>
      </w:r>
      <w:proofErr w:type="spellEnd"/>
      <w:r w:rsidRPr="003860CE">
        <w:rPr>
          <w:rFonts w:ascii="Times New Roman" w:hAnsi="Times New Roman" w:cs="Times New Roman"/>
          <w:sz w:val="24"/>
          <w:szCs w:val="24"/>
        </w:rPr>
        <w:t xml:space="preserve"> </w:t>
      </w:r>
      <w:r w:rsidRPr="00361896">
        <w:rPr>
          <w:rFonts w:ascii="Times New Roman" w:hAnsi="Times New Roman" w:cs="Times New Roman"/>
          <w:i/>
          <w:sz w:val="24"/>
          <w:szCs w:val="24"/>
        </w:rPr>
        <w:t>et al.</w:t>
      </w:r>
      <w:r w:rsidRPr="003860CE">
        <w:rPr>
          <w:rFonts w:ascii="Times New Roman" w:hAnsi="Times New Roman" w:cs="Times New Roman"/>
          <w:sz w:val="24"/>
          <w:szCs w:val="24"/>
        </w:rPr>
        <w:t xml:space="preserve"> (2012) puis </w:t>
      </w:r>
      <w:proofErr w:type="spellStart"/>
      <w:r w:rsidRPr="003860CE">
        <w:rPr>
          <w:rFonts w:ascii="Times New Roman" w:hAnsi="Times New Roman" w:cs="Times New Roman"/>
          <w:sz w:val="24"/>
          <w:szCs w:val="24"/>
        </w:rPr>
        <w:t>Tymoigne</w:t>
      </w:r>
      <w:proofErr w:type="spellEnd"/>
      <w:r w:rsidRPr="003860CE">
        <w:rPr>
          <w:rFonts w:ascii="Times New Roman" w:hAnsi="Times New Roman" w:cs="Times New Roman"/>
          <w:sz w:val="24"/>
          <w:szCs w:val="24"/>
        </w:rPr>
        <w:t xml:space="preserve"> et Wray (2015), une séparation institutionnelle ne modifie pas fondamentalement les préconisations mais provoque un détour dans le processus de financement monétaire. Pourquoi alors insister avec cette approche contrefactuelle et ne pas intégrer un principe de séparation ? Mitchell (2019) semble assumer la consolidation pour combattre l’idée selon laquelle le gouvernement serait </w:t>
      </w:r>
      <w:r w:rsidRPr="003860CE">
        <w:rPr>
          <w:rFonts w:ascii="Times New Roman" w:hAnsi="Times New Roman" w:cs="Times New Roman"/>
          <w:sz w:val="24"/>
          <w:szCs w:val="24"/>
        </w:rPr>
        <w:lastRenderedPageBreak/>
        <w:t>contraint financièrement justifiant le principe d’indépendance de la banque centrale. Pour autant cette consolidation laisse sans réponse une critique de type « </w:t>
      </w:r>
      <w:r w:rsidRPr="003860CE">
        <w:rPr>
          <w:rFonts w:ascii="Times New Roman" w:hAnsi="Times New Roman" w:cs="Times New Roman"/>
          <w:i/>
          <w:sz w:val="24"/>
          <w:szCs w:val="24"/>
        </w:rPr>
        <w:t xml:space="preserve">Public </w:t>
      </w:r>
      <w:proofErr w:type="spellStart"/>
      <w:r w:rsidRPr="003860CE">
        <w:rPr>
          <w:rFonts w:ascii="Times New Roman" w:hAnsi="Times New Roman" w:cs="Times New Roman"/>
          <w:i/>
          <w:sz w:val="24"/>
          <w:szCs w:val="24"/>
        </w:rPr>
        <w:t>choice</w:t>
      </w:r>
      <w:proofErr w:type="spellEnd"/>
      <w:r w:rsidRPr="003860CE">
        <w:rPr>
          <w:rFonts w:ascii="Times New Roman" w:hAnsi="Times New Roman" w:cs="Times New Roman"/>
          <w:sz w:val="24"/>
          <w:szCs w:val="24"/>
        </w:rPr>
        <w:t xml:space="preserve"> » émise par </w:t>
      </w:r>
      <w:proofErr w:type="spellStart"/>
      <w:r w:rsidRPr="003860CE">
        <w:rPr>
          <w:rFonts w:ascii="Times New Roman" w:hAnsi="Times New Roman" w:cs="Times New Roman"/>
          <w:sz w:val="24"/>
          <w:szCs w:val="24"/>
        </w:rPr>
        <w:t>Palley</w:t>
      </w:r>
      <w:proofErr w:type="spellEnd"/>
      <w:r w:rsidRPr="003860CE">
        <w:rPr>
          <w:rFonts w:ascii="Times New Roman" w:hAnsi="Times New Roman" w:cs="Times New Roman"/>
          <w:sz w:val="24"/>
          <w:szCs w:val="24"/>
        </w:rPr>
        <w:t xml:space="preserve"> (2019a) au sujet des orientations budgétaires. Celle-ci pourrait servir un objectif électoral et potentiellement créer des cycles « politiques ». Alors que la TMM défend le recours à la fiscalité pour éviter une situation de surchauffe, elle ne suggère aucun garde-fou institutionnel permettant de prévenir des choix budgétaires et fiscaux électoralistes susceptibles d’alimenter des pressions inflationnistes après le scrutin. Edwards (2019) a </w:t>
      </w:r>
      <w:r w:rsidR="00E764AF">
        <w:rPr>
          <w:rFonts w:ascii="Times New Roman" w:hAnsi="Times New Roman" w:cs="Times New Roman"/>
          <w:sz w:val="24"/>
          <w:szCs w:val="24"/>
        </w:rPr>
        <w:t xml:space="preserve">fourni </w:t>
      </w:r>
      <w:r w:rsidRPr="003860CE">
        <w:rPr>
          <w:rFonts w:ascii="Times New Roman" w:hAnsi="Times New Roman" w:cs="Times New Roman"/>
          <w:sz w:val="24"/>
          <w:szCs w:val="24"/>
        </w:rPr>
        <w:t xml:space="preserve">des cas d’échec de la TMM en mobilisant des exemples latino-américains où les gouvernements étaient dirigés par des partis révolutionnaires avec une plateforme programmatique très dispendieuse : Le chili de Salvatore Allende entre 1970 et 1973, Le Pérou d’Alan Garcia entre 1985 et 1990 et le Venezuela de Hugo Chavez et </w:t>
      </w:r>
      <w:proofErr w:type="spellStart"/>
      <w:r w:rsidRPr="003860CE">
        <w:rPr>
          <w:rFonts w:ascii="Times New Roman" w:hAnsi="Times New Roman" w:cs="Times New Roman"/>
          <w:sz w:val="24"/>
          <w:szCs w:val="24"/>
        </w:rPr>
        <w:t>Nicolàs</w:t>
      </w:r>
      <w:proofErr w:type="spellEnd"/>
      <w:r w:rsidRPr="003860CE">
        <w:rPr>
          <w:rFonts w:ascii="Times New Roman" w:hAnsi="Times New Roman" w:cs="Times New Roman"/>
          <w:sz w:val="24"/>
          <w:szCs w:val="24"/>
        </w:rPr>
        <w:t xml:space="preserve"> </w:t>
      </w:r>
      <w:proofErr w:type="spellStart"/>
      <w:r w:rsidRPr="003860CE">
        <w:rPr>
          <w:rFonts w:ascii="Times New Roman" w:hAnsi="Times New Roman" w:cs="Times New Roman"/>
          <w:sz w:val="24"/>
          <w:szCs w:val="24"/>
        </w:rPr>
        <w:t>Maduro</w:t>
      </w:r>
      <w:proofErr w:type="spellEnd"/>
      <w:r w:rsidRPr="003860CE">
        <w:rPr>
          <w:rFonts w:ascii="Times New Roman" w:hAnsi="Times New Roman" w:cs="Times New Roman"/>
          <w:sz w:val="24"/>
          <w:szCs w:val="24"/>
        </w:rPr>
        <w:t xml:space="preserve"> à partir de 1998.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Le lien ainsi établi entre l’orientation idéologique de ces gouvernements qualifiée de marxiste par Edwards, les politiques dispendieuses mises en œuvre et leurs résultats (une hyperinflation, une récession prolongée ainsi que déséquilibres extérieurs) conduit à s’interroger sur les mécanismes permettant d’éviter ce biais. Les règles budgétaires, dénoncées par la TMM, peuvent avoir des effets indésirables sur l’économie lorsqu’elles sont mal conçues. Même si elle ne constitue pas un obstacle à la dominance budgétaire une séparation des entités monétaire et budgétaire risque de ralentir la mise en œuvre du </w:t>
      </w:r>
      <w:proofErr w:type="spellStart"/>
      <w:r w:rsidRPr="003860CE">
        <w:rPr>
          <w:rFonts w:ascii="Times New Roman" w:hAnsi="Times New Roman" w:cs="Times New Roman"/>
          <w:sz w:val="24"/>
          <w:szCs w:val="24"/>
        </w:rPr>
        <w:t>policy</w:t>
      </w:r>
      <w:proofErr w:type="spellEnd"/>
      <w:r w:rsidRPr="003860CE">
        <w:rPr>
          <w:rFonts w:ascii="Times New Roman" w:hAnsi="Times New Roman" w:cs="Times New Roman"/>
          <w:sz w:val="24"/>
          <w:szCs w:val="24"/>
        </w:rPr>
        <w:t xml:space="preserve">-mix souhaité, si le financement monétaire du déficit public est assorti de conditions institutionnelles précises. Il convient donc d’insérer une clause permettant l’activation du financement monétaire de la dette. Une alternative sans doute plus pertinente reviendrait à s’appuyer sur un organisme indépendant de surveillance des finances publiques comme le </w:t>
      </w:r>
      <w:proofErr w:type="spellStart"/>
      <w:r w:rsidRPr="003860CE">
        <w:rPr>
          <w:rFonts w:ascii="Times New Roman" w:hAnsi="Times New Roman" w:cs="Times New Roman"/>
          <w:i/>
          <w:sz w:val="24"/>
          <w:szCs w:val="24"/>
        </w:rPr>
        <w:t>Congress</w:t>
      </w:r>
      <w:proofErr w:type="spellEnd"/>
      <w:r w:rsidRPr="003860CE">
        <w:rPr>
          <w:rFonts w:ascii="Times New Roman" w:hAnsi="Times New Roman" w:cs="Times New Roman"/>
          <w:i/>
          <w:sz w:val="24"/>
          <w:szCs w:val="24"/>
        </w:rPr>
        <w:t xml:space="preserve"> Budget Office (CBO)</w:t>
      </w:r>
      <w:r w:rsidRPr="003860CE">
        <w:rPr>
          <w:rFonts w:ascii="Times New Roman" w:hAnsi="Times New Roman" w:cs="Times New Roman"/>
          <w:sz w:val="24"/>
          <w:szCs w:val="24"/>
        </w:rPr>
        <w:t xml:space="preserve"> aux Etats-Unis.  Ce dernier est notamment chargé d’évaluer le coût des lois budgétaires préparées par le Congrès, d’étudier des scénarios alternatifs permettant d’ajuster les dépenses et les revenus, de mesurer l’impact à long terme des politiques budgétaires dans le cadre légal en vigueur et de fournir des prévisions macroéconomiques</w:t>
      </w:r>
      <w:r w:rsidRPr="003860CE">
        <w:rPr>
          <w:rStyle w:val="Appeldenotedefin"/>
          <w:rFonts w:ascii="Times New Roman" w:hAnsi="Times New Roman" w:cs="Times New Roman"/>
          <w:sz w:val="24"/>
          <w:szCs w:val="24"/>
        </w:rPr>
        <w:endnoteReference w:id="30"/>
      </w:r>
      <w:r w:rsidRPr="003860CE">
        <w:rPr>
          <w:rFonts w:ascii="Times New Roman" w:hAnsi="Times New Roman" w:cs="Times New Roman"/>
          <w:sz w:val="24"/>
          <w:szCs w:val="24"/>
        </w:rPr>
        <w:t xml:space="preserve">. Il est à disposition du congrès et n’a pas de rôle coercitif mais essentiellement consultatif. Au-delà de l’expertise apportée aux élus, son travail d’évaluation offre au grand public une analyse aigüe et indépendante des orientations budgétaires prises par le gouvernement et des risques inflationnistes associés. En réduisant l’incitation à un stimulus superflu, les avis du conseil devraient conduire le gouvernement à appliquer une politique budgétaire véritablement </w:t>
      </w:r>
      <w:proofErr w:type="spellStart"/>
      <w:r w:rsidRPr="003860CE">
        <w:rPr>
          <w:rFonts w:ascii="Times New Roman" w:hAnsi="Times New Roman" w:cs="Times New Roman"/>
          <w:sz w:val="24"/>
          <w:szCs w:val="24"/>
        </w:rPr>
        <w:t>contra-cyclique</w:t>
      </w:r>
      <w:proofErr w:type="spellEnd"/>
      <w:r w:rsidRPr="003860CE">
        <w:rPr>
          <w:rFonts w:ascii="Times New Roman" w:hAnsi="Times New Roman" w:cs="Times New Roman"/>
          <w:sz w:val="24"/>
          <w:szCs w:val="24"/>
        </w:rPr>
        <w:t xml:space="preserve"> qui n’est qu’un </w:t>
      </w:r>
      <w:proofErr w:type="spellStart"/>
      <w:r w:rsidRPr="003860CE">
        <w:rPr>
          <w:rFonts w:ascii="Times New Roman" w:hAnsi="Times New Roman" w:cs="Times New Roman"/>
          <w:sz w:val="24"/>
          <w:szCs w:val="24"/>
        </w:rPr>
        <w:t>pré-supposé</w:t>
      </w:r>
      <w:proofErr w:type="spellEnd"/>
      <w:r w:rsidRPr="003860CE">
        <w:rPr>
          <w:rFonts w:ascii="Times New Roman" w:hAnsi="Times New Roman" w:cs="Times New Roman"/>
          <w:sz w:val="24"/>
          <w:szCs w:val="24"/>
        </w:rPr>
        <w:t xml:space="preserve"> dans la TMM</w:t>
      </w:r>
      <w:r w:rsidRPr="003860CE">
        <w:rPr>
          <w:rStyle w:val="Appeldenotedefin"/>
          <w:rFonts w:ascii="Times New Roman" w:hAnsi="Times New Roman" w:cs="Times New Roman"/>
          <w:sz w:val="24"/>
          <w:szCs w:val="24"/>
        </w:rPr>
        <w:endnoteReference w:id="31"/>
      </w:r>
      <w:r w:rsidRPr="003860CE">
        <w:rPr>
          <w:rFonts w:ascii="Times New Roman" w:hAnsi="Times New Roman" w:cs="Times New Roman"/>
          <w:sz w:val="24"/>
          <w:szCs w:val="24"/>
        </w:rPr>
        <w:t xml:space="preserve">. </w:t>
      </w:r>
    </w:p>
    <w:p w:rsidR="008265CE" w:rsidRPr="003860CE" w:rsidRDefault="008265CE" w:rsidP="008265CE">
      <w:pPr>
        <w:ind w:firstLine="708"/>
        <w:jc w:val="both"/>
        <w:rPr>
          <w:rFonts w:ascii="Times New Roman" w:hAnsi="Times New Roman" w:cs="Times New Roman"/>
          <w:sz w:val="24"/>
          <w:szCs w:val="24"/>
        </w:rPr>
      </w:pPr>
    </w:p>
    <w:p w:rsidR="008265CE" w:rsidRPr="003860CE" w:rsidRDefault="008265CE" w:rsidP="008265CE">
      <w:pPr>
        <w:pStyle w:val="Paragraphedeliste"/>
        <w:ind w:left="1440"/>
        <w:jc w:val="both"/>
        <w:rPr>
          <w:rFonts w:ascii="Times New Roman" w:hAnsi="Times New Roman" w:cs="Times New Roman"/>
          <w:sz w:val="24"/>
          <w:szCs w:val="24"/>
        </w:rPr>
      </w:pPr>
    </w:p>
    <w:p w:rsidR="008265CE" w:rsidRPr="003860CE" w:rsidRDefault="008265CE" w:rsidP="008265CE">
      <w:pPr>
        <w:pStyle w:val="Paragraphedeliste"/>
        <w:ind w:left="1080"/>
        <w:jc w:val="both"/>
        <w:rPr>
          <w:rFonts w:ascii="Times New Roman" w:hAnsi="Times New Roman" w:cs="Times New Roman"/>
          <w:i/>
          <w:sz w:val="24"/>
          <w:szCs w:val="24"/>
        </w:rPr>
      </w:pPr>
      <w:r w:rsidRPr="003860CE">
        <w:rPr>
          <w:rFonts w:ascii="Times New Roman" w:hAnsi="Times New Roman" w:cs="Times New Roman"/>
          <w:i/>
          <w:sz w:val="24"/>
          <w:szCs w:val="24"/>
        </w:rPr>
        <w:t>L’insertion internationale : les effets indésirables du change flexible</w:t>
      </w:r>
    </w:p>
    <w:p w:rsidR="008265CE" w:rsidRPr="003860CE" w:rsidRDefault="008265CE" w:rsidP="008265CE">
      <w:pPr>
        <w:jc w:val="both"/>
        <w:rPr>
          <w:rFonts w:ascii="Times New Roman" w:hAnsi="Times New Roman" w:cs="Times New Roman"/>
          <w:sz w:val="24"/>
          <w:szCs w:val="24"/>
        </w:rPr>
      </w:pPr>
      <w:r>
        <w:rPr>
          <w:rFonts w:ascii="Times New Roman" w:hAnsi="Times New Roman" w:cs="Times New Roman"/>
          <w:sz w:val="24"/>
          <w:szCs w:val="24"/>
        </w:rPr>
        <w:tab/>
        <w:t>Le « privilège exorbitant » qui semble conditionner l’application de la TMM implique l’adoption d’un régime de changes flexibles au détriment d’une parité fixe de la monnaie domestiques dans les devises. Les partisans r</w:t>
      </w:r>
      <w:r w:rsidRPr="003860CE">
        <w:rPr>
          <w:rFonts w:ascii="Times New Roman" w:hAnsi="Times New Roman" w:cs="Times New Roman"/>
          <w:sz w:val="24"/>
          <w:szCs w:val="24"/>
        </w:rPr>
        <w:t xml:space="preserve">econnaissent que ce régime peut constituer un frein au développement d’économies dépendantes de l’étranger en raison de leurs faibles ressources internes. Pour ces économies, le « repas gratuit » qu’offre la dépréciation de la monnaie peut s’avérer indigeste : renchérissement des importations, augmentation du poids de la dette libellée en monnaie étrangère par rapport au revenu, fuite des capitaux étrangers. L’exposition à des crises répétées de la balance des paiements couplée à un ralentissement de la trajectoire de l’évolution du niveau de vie peut conduire certaines économies souhaitant préserver leur </w:t>
      </w:r>
      <w:r w:rsidRPr="003860CE">
        <w:rPr>
          <w:rFonts w:ascii="Times New Roman" w:hAnsi="Times New Roman" w:cs="Times New Roman"/>
          <w:sz w:val="24"/>
          <w:szCs w:val="24"/>
        </w:rPr>
        <w:lastRenderedPageBreak/>
        <w:t xml:space="preserve">intégration économique internationale à privilégier un régime de changes fixes ou quasi-fixes impliquant une plus grande discipline budgétaire. Ce choix semble naturel également pour des économies dont le revenu dépend essentiellement de l’exploitation de ressources (hydrocarbures) vendues à l’étranger sur des marchés internationaux en devises.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Des réponses ont été apportées à ce questionnement par les membres de la TMM. Celles-ci convergent vers une réduction de la dépendance des économies à l’étranger notamment par le biais de stratégies de substitution aux importations et de diversification productive, et de la réduction de l’endettement extérieur en monnaie étrangère. Parallèlement, le développement d’un secteur exportateur est encouragé afin d’obtenir des réserves de change et limiter les risques sur la balance des paiements et les fuites de capitaux.  D’autres solutions internes sont à considérer comme le développement d’un système financier local performant et solide avec un marché du crédit fonctionnel. En outre, un pays a besoin d’un système fiscal efficace pour garantir les recettes fiscales et limiter le développement d’activités informelles. Même si ces solutions apparaissent réalistes, elles nécessitent un délai de mise en œuvre durant lequel le degré de dépendance à l’extérieur est maintenu. Le développement de secteurs internes va continuer de mobiliser des capitaux étrangers qui ne peuvent être substitués par une épargne locale étroite voire inexistante. En outre, les biens et services vitaux et non substituables (énergie, agriculture) requièrent une relative stabilité du taux de change. La transition impose une participation aux échanges internationaux difficilement compatible avec une approche néo-mercantiliste qui chercherait à développer le secteur exportateur tout en essayant de réduire ses importations. Par ailleurs, un pays pourrait avoir des intérêts économiques et politiques à participer à des accords économiques régionaux limitant néanmoins ses marges de manœuvre politiques dans l’optique d’une plus grande autonomie</w:t>
      </w:r>
      <w:r w:rsidRPr="003860CE">
        <w:rPr>
          <w:rStyle w:val="Appeldenotedefin"/>
          <w:rFonts w:ascii="Times New Roman" w:hAnsi="Times New Roman" w:cs="Times New Roman"/>
          <w:sz w:val="24"/>
          <w:szCs w:val="24"/>
        </w:rPr>
        <w:endnoteReference w:id="32"/>
      </w:r>
      <w:r w:rsidRPr="003860CE">
        <w:rPr>
          <w:rFonts w:ascii="Times New Roman" w:hAnsi="Times New Roman" w:cs="Times New Roman"/>
          <w:sz w:val="24"/>
          <w:szCs w:val="24"/>
        </w:rPr>
        <w:t xml:space="preserve">. </w:t>
      </w:r>
    </w:p>
    <w:p w:rsidR="008265CE" w:rsidRPr="003860CE" w:rsidRDefault="008265CE" w:rsidP="008265CE">
      <w:pPr>
        <w:ind w:firstLine="708"/>
        <w:jc w:val="both"/>
        <w:rPr>
          <w:rFonts w:ascii="Times New Roman" w:hAnsi="Times New Roman" w:cs="Times New Roman"/>
          <w:sz w:val="24"/>
          <w:szCs w:val="24"/>
        </w:rPr>
      </w:pPr>
      <w:r w:rsidRPr="003860CE">
        <w:rPr>
          <w:rFonts w:ascii="Times New Roman" w:hAnsi="Times New Roman" w:cs="Times New Roman"/>
          <w:sz w:val="24"/>
          <w:szCs w:val="24"/>
        </w:rPr>
        <w:t xml:space="preserve">Au final, cette question de l’insertion internationale et du développement est insuffisamment traitée par la TMM. Tout en admettant les coûts économiques de la flexibilité des changes supportés par une économie en développement, « la peur du flottement » n’apparaît pas légitime pour considérer temporairement la défense d’une parité. Un tel choix entraverait l’espace budgétaire nécessaire pour organiser l’autonomie recherchée à travers les politiques mentionnées plus haut. Toutefois, ces politiques d’autonomisation dont les résultats paraissent aléatoires ne reposent sur aucun exemple historique reprenant cette trajectoire, contrairement à Edwards (2019) qui parvient à en démontrer les coûts à travers les expériences latino-américaines. Les coûts des deux stratégies de développement ne sont pas comparés et la préférence de la TMM pour une dominance budgétaire au détriment d’une stabilité monétaire n’est pas vraiment étayée. La TMM, pour illustrer sa théorie ne peut se référer qu’à des exemples d’économies avancées endettées dans leur propre monnaie intensivement échangée sur les marchés internationaux. </w:t>
      </w:r>
    </w:p>
    <w:p w:rsidR="008265CE" w:rsidRPr="003860CE" w:rsidRDefault="008265CE" w:rsidP="008265CE">
      <w:pPr>
        <w:jc w:val="both"/>
        <w:rPr>
          <w:rFonts w:ascii="Times New Roman" w:hAnsi="Times New Roman" w:cs="Times New Roman"/>
          <w:sz w:val="24"/>
          <w:szCs w:val="24"/>
        </w:rPr>
      </w:pPr>
    </w:p>
    <w:p w:rsidR="008265CE" w:rsidRPr="003860CE" w:rsidRDefault="008265CE" w:rsidP="008265CE">
      <w:pPr>
        <w:jc w:val="center"/>
        <w:rPr>
          <w:rFonts w:ascii="Times New Roman" w:hAnsi="Times New Roman" w:cs="Times New Roman"/>
          <w:i/>
          <w:sz w:val="24"/>
          <w:szCs w:val="24"/>
        </w:rPr>
      </w:pPr>
      <w:r w:rsidRPr="003860CE">
        <w:rPr>
          <w:rFonts w:ascii="Times New Roman" w:hAnsi="Times New Roman" w:cs="Times New Roman"/>
          <w:i/>
          <w:sz w:val="24"/>
          <w:szCs w:val="24"/>
        </w:rPr>
        <w:t>La politique prudentielle</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 xml:space="preserve">Une politique monétaire caractérisée par des taux d’intérêt </w:t>
      </w:r>
      <w:r>
        <w:rPr>
          <w:rFonts w:ascii="Times New Roman" w:hAnsi="Times New Roman" w:cs="Times New Roman"/>
          <w:sz w:val="24"/>
          <w:szCs w:val="24"/>
        </w:rPr>
        <w:t xml:space="preserve">bas </w:t>
      </w:r>
      <w:r w:rsidRPr="003860CE">
        <w:rPr>
          <w:rFonts w:ascii="Times New Roman" w:hAnsi="Times New Roman" w:cs="Times New Roman"/>
          <w:sz w:val="24"/>
          <w:szCs w:val="24"/>
        </w:rPr>
        <w:t xml:space="preserve">fait naître des inquiétudes légitimes sur le terrain de la stabilité financière. Si l’assouplissement quantitatif mené aux Etats-Unis, au Royaume-Uni et en Europe a permis à ces économies de retrouver un taux d’inflation proches de leurs cibles, cette politique a </w:t>
      </w:r>
      <w:r>
        <w:rPr>
          <w:rFonts w:ascii="Times New Roman" w:hAnsi="Times New Roman" w:cs="Times New Roman"/>
          <w:sz w:val="24"/>
          <w:szCs w:val="24"/>
        </w:rPr>
        <w:t>probablement contribué à accentuer l</w:t>
      </w:r>
      <w:r w:rsidRPr="003860CE">
        <w:rPr>
          <w:rFonts w:ascii="Times New Roman" w:hAnsi="Times New Roman" w:cs="Times New Roman"/>
          <w:sz w:val="24"/>
          <w:szCs w:val="24"/>
        </w:rPr>
        <w:t>es hausses de prix</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sur les marchés d’actifs. La TMM </w:t>
      </w:r>
      <w:r>
        <w:rPr>
          <w:rFonts w:ascii="Times New Roman" w:hAnsi="Times New Roman" w:cs="Times New Roman"/>
          <w:sz w:val="24"/>
          <w:szCs w:val="24"/>
        </w:rPr>
        <w:t>paraît peu concernée par</w:t>
      </w:r>
      <w:r w:rsidRPr="003860CE">
        <w:rPr>
          <w:rFonts w:ascii="Times New Roman" w:hAnsi="Times New Roman" w:cs="Times New Roman"/>
          <w:sz w:val="24"/>
          <w:szCs w:val="24"/>
        </w:rPr>
        <w:t xml:space="preserve"> cette problématique dans un contexte de finance libéralisée et globalisée</w:t>
      </w:r>
      <w:r>
        <w:rPr>
          <w:rFonts w:ascii="Times New Roman" w:hAnsi="Times New Roman" w:cs="Times New Roman"/>
          <w:sz w:val="24"/>
          <w:szCs w:val="24"/>
        </w:rPr>
        <w:t xml:space="preserve"> dans la mesure où elle n’avance pas de mesures </w:t>
      </w:r>
      <w:r>
        <w:rPr>
          <w:rFonts w:ascii="Times New Roman" w:hAnsi="Times New Roman" w:cs="Times New Roman"/>
          <w:sz w:val="24"/>
          <w:szCs w:val="24"/>
        </w:rPr>
        <w:lastRenderedPageBreak/>
        <w:t>prudentielles concrètes pour limiter ce risque</w:t>
      </w:r>
      <w:r w:rsidRPr="003860CE">
        <w:rPr>
          <w:rFonts w:ascii="Times New Roman" w:hAnsi="Times New Roman" w:cs="Times New Roman"/>
          <w:sz w:val="24"/>
          <w:szCs w:val="24"/>
        </w:rPr>
        <w:t>. Cette position s’explique de deux manières. D’une part, la dépense publique contribue à sécuriser financièrement les agents économiques en soutenant la demande effective ce qui facilite leur solvabilité. D’autre part, le déficit public et l’émission de nouvelle dette est un moyen d’absorber une éventuelle hausse de l’épargne privée qui se traduirait mécaniquement par la détention de bons du Trésor</w:t>
      </w:r>
      <w:r w:rsidRPr="003860CE">
        <w:rPr>
          <w:rStyle w:val="Appeldenotedefin"/>
          <w:rFonts w:ascii="Times New Roman" w:hAnsi="Times New Roman" w:cs="Times New Roman"/>
          <w:sz w:val="24"/>
          <w:szCs w:val="24"/>
        </w:rPr>
        <w:endnoteReference w:id="33"/>
      </w:r>
      <w:r w:rsidRPr="003860CE">
        <w:rPr>
          <w:rFonts w:ascii="Times New Roman" w:hAnsi="Times New Roman" w:cs="Times New Roman"/>
          <w:sz w:val="24"/>
          <w:szCs w:val="24"/>
        </w:rPr>
        <w:t xml:space="preserve">. Cette boucle vertueuse ignore toutefois des questions microéconomiques élémentaires quant aux arbitrages en matière d’allocation d’actifs. Une recherche accrue de rendement devrait conduire les investisseurs à se détourner de ces titres pour privilégier une répartition plus risquée. </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 xml:space="preserve">Face à la récurrence des critiques émises à ce sujet, et dans la lignée de Minsky (1986) et du paradoxe de la tranquillité, les partisans de la TMM reconnaissent la nécessité de réglementer l’industrie financière. Néanmoins, peu de contributions s’attèlent véritablement à façonner un système de supervision et de régulation permettant de prévenir et éliminer les risques de bulle sur les marchés financiers. </w:t>
      </w:r>
      <w:proofErr w:type="spellStart"/>
      <w:r w:rsidRPr="003860CE">
        <w:rPr>
          <w:rFonts w:ascii="Times New Roman" w:hAnsi="Times New Roman" w:cs="Times New Roman"/>
          <w:sz w:val="24"/>
          <w:szCs w:val="24"/>
        </w:rPr>
        <w:t>Tymoigne</w:t>
      </w:r>
      <w:proofErr w:type="spellEnd"/>
      <w:r w:rsidRPr="003860CE">
        <w:rPr>
          <w:rFonts w:ascii="Times New Roman" w:hAnsi="Times New Roman" w:cs="Times New Roman"/>
          <w:sz w:val="24"/>
          <w:szCs w:val="24"/>
        </w:rPr>
        <w:t xml:space="preserve"> (2011) apporte une critique approfondie de l’actuelle architecture réglementaire et de son contenu. Les exigences portant sur la solvabilité, la liquidité et l’effet de levier sont selon lui insuffisantes pour réguler des institutions financières qui, face au déclin tendanciel du rendement des fonds propres sont incitées à accentuer leur prise de risque</w:t>
      </w:r>
      <w:r w:rsidRPr="003860CE">
        <w:rPr>
          <w:rStyle w:val="Appeldenotedefin"/>
          <w:rFonts w:ascii="Times New Roman" w:hAnsi="Times New Roman" w:cs="Times New Roman"/>
          <w:sz w:val="24"/>
          <w:szCs w:val="24"/>
        </w:rPr>
        <w:endnoteReference w:id="34"/>
      </w:r>
      <w:r w:rsidRPr="003860CE">
        <w:rPr>
          <w:rFonts w:ascii="Times New Roman" w:hAnsi="Times New Roman" w:cs="Times New Roman"/>
          <w:sz w:val="24"/>
          <w:szCs w:val="24"/>
        </w:rPr>
        <w:t xml:space="preserve"> ou à déjouer la réglementation par des innovations financières. La TMM cible également le processus de « collatéralisation » des crédits qui illustre la finance contemporaine reposant sur des mécanismes de Ponzi. En d’autres mots, l’arsenal réglementaire ne permettrait pas de capter efficacement les sources d’instabilité contenues dans la période d’expansion économique. Les ratios utilisés ne seraient que des amortisseurs de crises sans parvenir à les en empêcher. La fragilité financière ne peut être perçue qu’à travers l’état du bilan des institutions financières et des flux de trésorerie. L’octroi de financement doit essentiellement être conditionné par les revenus réels et non dépendre d’hypothétiques valorisations d’actifs détenus par les agents économiques. Enfin, l’innovation doit être plus strictement encadrée pour garantir des produits sécurisés.</w:t>
      </w:r>
    </w:p>
    <w:p w:rsidR="008265CE" w:rsidRDefault="008265CE" w:rsidP="008265CE">
      <w:pPr>
        <w:jc w:val="both"/>
        <w:rPr>
          <w:rFonts w:ascii="Times New Roman" w:hAnsi="Times New Roman" w:cs="Times New Roman"/>
          <w:sz w:val="24"/>
          <w:szCs w:val="24"/>
        </w:rPr>
      </w:pPr>
      <w:r w:rsidRPr="003860CE">
        <w:rPr>
          <w:rFonts w:ascii="Times New Roman" w:hAnsi="Times New Roman" w:cs="Times New Roman"/>
          <w:sz w:val="24"/>
          <w:szCs w:val="24"/>
        </w:rPr>
        <w:tab/>
        <w:t xml:space="preserve">Bien que ces recommandations soient cohérentes pour limiter le mécanisme d’accélérateur financier en phase d’euphorie, elles souffrent de deux écueils. Premièrement, aucune mesure de régulation n’est formulée précisément. A la lecture des quelques contributions sur le sujet, on ne voit pas quels seraient les indicateurs à surveiller par le régulateur. Plus gênant, aucune contrainte sur les institutions financière n’est clairement formulée pour limiter la prise de risque. Aucun dispositif de régulation du système bancaire et financier n’est ainsi formalisé. Deuxièmement, </w:t>
      </w:r>
      <w:r>
        <w:rPr>
          <w:rFonts w:ascii="Times New Roman" w:hAnsi="Times New Roman" w:cs="Times New Roman"/>
          <w:sz w:val="24"/>
          <w:szCs w:val="24"/>
        </w:rPr>
        <w:t xml:space="preserve">en limitant le champ d’action de la banque centrale au financement des dépenses publiques, </w:t>
      </w:r>
      <w:r w:rsidRPr="003860CE">
        <w:rPr>
          <w:rFonts w:ascii="Times New Roman" w:hAnsi="Times New Roman" w:cs="Times New Roman"/>
          <w:sz w:val="24"/>
          <w:szCs w:val="24"/>
        </w:rPr>
        <w:t xml:space="preserve">la TMM </w:t>
      </w:r>
      <w:r>
        <w:rPr>
          <w:rFonts w:ascii="Times New Roman" w:hAnsi="Times New Roman" w:cs="Times New Roman"/>
          <w:sz w:val="24"/>
          <w:szCs w:val="24"/>
        </w:rPr>
        <w:t>lui retire toute possibilité de piloter la stabilité financière à partir du taux d’intérêt de court terme. L</w:t>
      </w:r>
      <w:r w:rsidRPr="003860CE">
        <w:rPr>
          <w:rFonts w:ascii="Times New Roman" w:hAnsi="Times New Roman" w:cs="Times New Roman"/>
          <w:sz w:val="24"/>
          <w:szCs w:val="24"/>
        </w:rPr>
        <w:t>a TMM s’expose</w:t>
      </w:r>
      <w:r>
        <w:rPr>
          <w:rFonts w:ascii="Times New Roman" w:hAnsi="Times New Roman" w:cs="Times New Roman"/>
          <w:sz w:val="24"/>
          <w:szCs w:val="24"/>
        </w:rPr>
        <w:t xml:space="preserve"> ainsi</w:t>
      </w:r>
      <w:r w:rsidRPr="003860CE">
        <w:rPr>
          <w:rFonts w:ascii="Times New Roman" w:hAnsi="Times New Roman" w:cs="Times New Roman"/>
          <w:sz w:val="24"/>
          <w:szCs w:val="24"/>
        </w:rPr>
        <w:t xml:space="preserve"> à une critique évidente selon laquelle une politique monétaire accommodante permanente entre en contradiction avec une politique de crédits prudente de la part des banques</w:t>
      </w:r>
      <w:r>
        <w:rPr>
          <w:rFonts w:ascii="Times New Roman" w:hAnsi="Times New Roman" w:cs="Times New Roman"/>
          <w:sz w:val="24"/>
          <w:szCs w:val="24"/>
        </w:rPr>
        <w:t xml:space="preserve"> de second rang limitant l’effet de levier</w:t>
      </w:r>
      <w:r w:rsidRPr="003860CE">
        <w:rPr>
          <w:rFonts w:ascii="Times New Roman" w:hAnsi="Times New Roman" w:cs="Times New Roman"/>
          <w:sz w:val="24"/>
          <w:szCs w:val="24"/>
        </w:rPr>
        <w:t>. Dans un contexte de dominance monétaire, le taux d’intérêt fixé par l’autorité monétaire vise à réguler le flux de crédit en incitant les banques à réévaluer les risques encourus au regard du coût de financement. Si ce coût de financement est maintenu artificiellement bas, les banques ne font plus face aux mêmes contraintes et peuvent délivrer continuellement du crédit à des contreparties potentiellement risquées. Pourtant, aucune précision n’est apportée quant à l’évaluation de ce risque de contrepartie. Est-il évalué par la banque ou par le régulateur</w:t>
      </w:r>
      <w:r w:rsidRPr="003860CE">
        <w:rPr>
          <w:rStyle w:val="Appeldenotedefin"/>
          <w:rFonts w:ascii="Times New Roman" w:hAnsi="Times New Roman" w:cs="Times New Roman"/>
          <w:sz w:val="24"/>
          <w:szCs w:val="24"/>
        </w:rPr>
        <w:endnoteReference w:id="35"/>
      </w:r>
      <w:r w:rsidRPr="003860CE">
        <w:rPr>
          <w:rFonts w:ascii="Times New Roman" w:hAnsi="Times New Roman" w:cs="Times New Roman"/>
          <w:sz w:val="24"/>
          <w:szCs w:val="24"/>
        </w:rPr>
        <w:t xml:space="preserve"> ? </w:t>
      </w:r>
    </w:p>
    <w:p w:rsidR="008265CE" w:rsidRDefault="008265CE" w:rsidP="008265CE">
      <w:pPr>
        <w:jc w:val="both"/>
        <w:rPr>
          <w:rFonts w:ascii="Times New Roman" w:hAnsi="Times New Roman" w:cs="Times New Roman"/>
          <w:sz w:val="24"/>
          <w:szCs w:val="24"/>
        </w:rPr>
      </w:pPr>
    </w:p>
    <w:p w:rsidR="008265CE" w:rsidRPr="003860CE" w:rsidRDefault="008265CE" w:rsidP="008265CE">
      <w:pPr>
        <w:pStyle w:val="Paragraphedeliste"/>
        <w:jc w:val="center"/>
        <w:rPr>
          <w:rFonts w:ascii="Times New Roman" w:hAnsi="Times New Roman" w:cs="Times New Roman"/>
          <w:b/>
          <w:sz w:val="24"/>
          <w:szCs w:val="24"/>
        </w:rPr>
      </w:pPr>
      <w:r w:rsidRPr="003860CE">
        <w:rPr>
          <w:rFonts w:ascii="Times New Roman" w:hAnsi="Times New Roman" w:cs="Times New Roman"/>
          <w:b/>
          <w:sz w:val="24"/>
          <w:szCs w:val="24"/>
        </w:rPr>
        <w:lastRenderedPageBreak/>
        <w:t>CONCLUSION</w:t>
      </w:r>
    </w:p>
    <w:p w:rsidR="008265CE" w:rsidRPr="003860CE" w:rsidRDefault="008265CE" w:rsidP="008265CE">
      <w:pPr>
        <w:ind w:firstLine="360"/>
        <w:jc w:val="both"/>
        <w:rPr>
          <w:rFonts w:ascii="Times New Roman" w:hAnsi="Times New Roman" w:cs="Times New Roman"/>
          <w:sz w:val="24"/>
          <w:szCs w:val="24"/>
        </w:rPr>
      </w:pPr>
      <w:r w:rsidRPr="003860CE">
        <w:rPr>
          <w:rFonts w:ascii="Times New Roman" w:hAnsi="Times New Roman" w:cs="Times New Roman"/>
          <w:sz w:val="24"/>
          <w:szCs w:val="24"/>
        </w:rPr>
        <w:t xml:space="preserve">Ces dernières années, les préconisations formulées par la TMM ont trouvé un relai médiatique et politique important avant d’être versées dans le débat académique où la controverse est vive. Les crises économique et sanitaire ainsi que les défis auxquels sont confrontés les décideurs publics ont </w:t>
      </w:r>
      <w:r>
        <w:rPr>
          <w:rFonts w:ascii="Times New Roman" w:hAnsi="Times New Roman" w:cs="Times New Roman"/>
          <w:sz w:val="24"/>
          <w:szCs w:val="24"/>
        </w:rPr>
        <w:t>accru</w:t>
      </w:r>
      <w:r w:rsidRPr="003860CE">
        <w:rPr>
          <w:rFonts w:ascii="Times New Roman" w:hAnsi="Times New Roman" w:cs="Times New Roman"/>
          <w:sz w:val="24"/>
          <w:szCs w:val="24"/>
        </w:rPr>
        <w:t xml:space="preserve"> </w:t>
      </w:r>
      <w:r>
        <w:rPr>
          <w:rFonts w:ascii="Times New Roman" w:hAnsi="Times New Roman" w:cs="Times New Roman"/>
          <w:sz w:val="24"/>
          <w:szCs w:val="24"/>
        </w:rPr>
        <w:t>l’exposition</w:t>
      </w:r>
      <w:r w:rsidRPr="003860CE">
        <w:rPr>
          <w:rFonts w:ascii="Times New Roman" w:hAnsi="Times New Roman" w:cs="Times New Roman"/>
          <w:sz w:val="24"/>
          <w:szCs w:val="24"/>
        </w:rPr>
        <w:t xml:space="preserve"> d’un courant défendant la dominance budgétaire.</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Toutefois </w:t>
      </w:r>
      <w:r>
        <w:rPr>
          <w:rFonts w:ascii="Times New Roman" w:hAnsi="Times New Roman" w:cs="Times New Roman"/>
          <w:sz w:val="24"/>
          <w:szCs w:val="24"/>
        </w:rPr>
        <w:t>ce régime</w:t>
      </w:r>
      <w:r w:rsidRPr="003860CE">
        <w:rPr>
          <w:rFonts w:ascii="Times New Roman" w:hAnsi="Times New Roman" w:cs="Times New Roman"/>
          <w:sz w:val="24"/>
          <w:szCs w:val="24"/>
        </w:rPr>
        <w:t xml:space="preserve"> </w:t>
      </w:r>
      <w:r>
        <w:rPr>
          <w:rFonts w:ascii="Times New Roman" w:hAnsi="Times New Roman" w:cs="Times New Roman"/>
          <w:sz w:val="24"/>
          <w:szCs w:val="24"/>
        </w:rPr>
        <w:t>contient des limites macroéconomiques importantes comme</w:t>
      </w:r>
      <w:r w:rsidRPr="003860CE">
        <w:rPr>
          <w:rFonts w:ascii="Times New Roman" w:hAnsi="Times New Roman" w:cs="Times New Roman"/>
          <w:sz w:val="24"/>
          <w:szCs w:val="24"/>
        </w:rPr>
        <w:t xml:space="preserve"> le risque inflation</w:t>
      </w:r>
      <w:r>
        <w:rPr>
          <w:rFonts w:ascii="Times New Roman" w:hAnsi="Times New Roman" w:cs="Times New Roman"/>
          <w:sz w:val="24"/>
          <w:szCs w:val="24"/>
        </w:rPr>
        <w:t>niste</w:t>
      </w:r>
      <w:r w:rsidRPr="003860CE">
        <w:rPr>
          <w:rFonts w:ascii="Times New Roman" w:hAnsi="Times New Roman" w:cs="Times New Roman"/>
          <w:sz w:val="24"/>
          <w:szCs w:val="24"/>
        </w:rPr>
        <w:t xml:space="preserve"> et </w:t>
      </w:r>
      <w:r>
        <w:rPr>
          <w:rFonts w:ascii="Times New Roman" w:hAnsi="Times New Roman" w:cs="Times New Roman"/>
          <w:sz w:val="24"/>
          <w:szCs w:val="24"/>
        </w:rPr>
        <w:t>l</w:t>
      </w:r>
      <w:r w:rsidRPr="003860CE">
        <w:rPr>
          <w:rFonts w:ascii="Times New Roman" w:hAnsi="Times New Roman" w:cs="Times New Roman"/>
          <w:sz w:val="24"/>
          <w:szCs w:val="24"/>
        </w:rPr>
        <w:t xml:space="preserve">’instabilité financière que les contributions actuelles ne parviennent pas à écarter. Elle peine en outre à convaincre des membres de sa propre famille de pensée quant à une généralisation de son modèle à des pays émergents dépendants du reste du monde. Enfin, la TMM révèle certaines failles du point de vue de son économie politique fragilisant un peu plus </w:t>
      </w:r>
      <w:r>
        <w:rPr>
          <w:rFonts w:ascii="Times New Roman" w:hAnsi="Times New Roman" w:cs="Times New Roman"/>
          <w:sz w:val="24"/>
          <w:szCs w:val="24"/>
        </w:rPr>
        <w:t>le volet théorique des travaux</w:t>
      </w:r>
      <w:r w:rsidRPr="003860CE">
        <w:rPr>
          <w:rFonts w:ascii="Times New Roman" w:hAnsi="Times New Roman" w:cs="Times New Roman"/>
          <w:sz w:val="24"/>
          <w:szCs w:val="24"/>
        </w:rPr>
        <w:t>. Les garanties nécessaires</w:t>
      </w:r>
      <w:r>
        <w:rPr>
          <w:rFonts w:ascii="Times New Roman" w:hAnsi="Times New Roman" w:cs="Times New Roman"/>
          <w:sz w:val="24"/>
          <w:szCs w:val="24"/>
        </w:rPr>
        <w:t xml:space="preserve"> </w:t>
      </w:r>
      <w:r w:rsidRPr="003860CE">
        <w:rPr>
          <w:rFonts w:ascii="Times New Roman" w:hAnsi="Times New Roman" w:cs="Times New Roman"/>
          <w:sz w:val="24"/>
          <w:szCs w:val="24"/>
        </w:rPr>
        <w:t xml:space="preserve">à la mise en œuvre de politiques de stabilisation macroéconomique et financière efficaces ne sont pas avancées par la TMM et l’application d’un régime de changes flexibles à tout prix </w:t>
      </w:r>
      <w:r>
        <w:rPr>
          <w:rFonts w:ascii="Times New Roman" w:hAnsi="Times New Roman" w:cs="Times New Roman"/>
          <w:sz w:val="24"/>
          <w:szCs w:val="24"/>
        </w:rPr>
        <w:t xml:space="preserve">peut </w:t>
      </w:r>
      <w:r w:rsidRPr="003860CE">
        <w:rPr>
          <w:rFonts w:ascii="Times New Roman" w:hAnsi="Times New Roman" w:cs="Times New Roman"/>
          <w:sz w:val="24"/>
          <w:szCs w:val="24"/>
        </w:rPr>
        <w:t>constitue</w:t>
      </w:r>
      <w:r>
        <w:rPr>
          <w:rFonts w:ascii="Times New Roman" w:hAnsi="Times New Roman" w:cs="Times New Roman"/>
          <w:sz w:val="24"/>
          <w:szCs w:val="24"/>
        </w:rPr>
        <w:t>r</w:t>
      </w:r>
      <w:r w:rsidRPr="003860CE">
        <w:rPr>
          <w:rFonts w:ascii="Times New Roman" w:hAnsi="Times New Roman" w:cs="Times New Roman"/>
          <w:sz w:val="24"/>
          <w:szCs w:val="24"/>
        </w:rPr>
        <w:t xml:space="preserve"> un handicap</w:t>
      </w:r>
      <w:r>
        <w:rPr>
          <w:rFonts w:ascii="Times New Roman" w:hAnsi="Times New Roman" w:cs="Times New Roman"/>
          <w:sz w:val="24"/>
          <w:szCs w:val="24"/>
        </w:rPr>
        <w:t xml:space="preserve"> dans la perspective du développement</w:t>
      </w:r>
      <w:r w:rsidRPr="003860CE">
        <w:rPr>
          <w:rFonts w:ascii="Times New Roman" w:hAnsi="Times New Roman" w:cs="Times New Roman"/>
          <w:sz w:val="24"/>
          <w:szCs w:val="24"/>
        </w:rPr>
        <w:t xml:space="preserve">. </w:t>
      </w:r>
    </w:p>
    <w:p w:rsidR="008265CE" w:rsidRDefault="008265CE" w:rsidP="008265CE">
      <w:pPr>
        <w:jc w:val="both"/>
        <w:rPr>
          <w:rFonts w:ascii="Times New Roman" w:hAnsi="Times New Roman" w:cs="Times New Roman"/>
          <w:sz w:val="24"/>
          <w:szCs w:val="24"/>
        </w:rPr>
      </w:pPr>
    </w:p>
    <w:p w:rsidR="008265CE" w:rsidRPr="003860CE" w:rsidRDefault="008265CE" w:rsidP="008265CE">
      <w:pPr>
        <w:ind w:firstLine="360"/>
        <w:jc w:val="both"/>
        <w:rPr>
          <w:rFonts w:ascii="Times New Roman" w:hAnsi="Times New Roman" w:cs="Times New Roman"/>
          <w:sz w:val="24"/>
          <w:szCs w:val="24"/>
        </w:rPr>
        <w:sectPr w:rsidR="008265CE" w:rsidRPr="003860CE">
          <w:footerReference w:type="default" r:id="rId9"/>
          <w:endnotePr>
            <w:numFmt w:val="decimal"/>
          </w:endnotePr>
          <w:pgSz w:w="11906" w:h="16838"/>
          <w:pgMar w:top="1417" w:right="1417" w:bottom="1417" w:left="1417" w:header="708" w:footer="708" w:gutter="0"/>
          <w:cols w:space="708"/>
          <w:docGrid w:linePitch="360"/>
        </w:sectPr>
      </w:pPr>
      <w:bookmarkStart w:id="2" w:name="_Hlk116651809"/>
      <w:r>
        <w:rPr>
          <w:rFonts w:ascii="Times New Roman" w:hAnsi="Times New Roman" w:cs="Times New Roman"/>
          <w:sz w:val="24"/>
          <w:szCs w:val="24"/>
        </w:rPr>
        <w:t xml:space="preserve">Les derniers évènements géopolitiques participent </w:t>
      </w:r>
      <w:r w:rsidR="003F7492">
        <w:rPr>
          <w:rFonts w:ascii="Times New Roman" w:hAnsi="Times New Roman" w:cs="Times New Roman"/>
          <w:sz w:val="24"/>
          <w:szCs w:val="24"/>
        </w:rPr>
        <w:t>à</w:t>
      </w:r>
      <w:r>
        <w:rPr>
          <w:rFonts w:ascii="Times New Roman" w:hAnsi="Times New Roman" w:cs="Times New Roman"/>
          <w:sz w:val="24"/>
          <w:szCs w:val="24"/>
        </w:rPr>
        <w:t xml:space="preserve"> la montée de l’inflation qui a émergé après les phases de confinement liés à la gestion de la crise sanitaire. De nouvelles ruptures d’approvisionnement en matières premières sont venu</w:t>
      </w:r>
      <w:r w:rsidR="003F7492">
        <w:rPr>
          <w:rFonts w:ascii="Times New Roman" w:hAnsi="Times New Roman" w:cs="Times New Roman"/>
          <w:sz w:val="24"/>
          <w:szCs w:val="24"/>
        </w:rPr>
        <w:t>e</w:t>
      </w:r>
      <w:r>
        <w:rPr>
          <w:rFonts w:ascii="Times New Roman" w:hAnsi="Times New Roman" w:cs="Times New Roman"/>
          <w:sz w:val="24"/>
          <w:szCs w:val="24"/>
        </w:rPr>
        <w:t xml:space="preserve">s s’ajouter aux problèmes initiaux de disponibilités de produits semi-finis et de transports. La TMM d’inspiration keynésienne se retrouve dans une situation similaire à celles des années 70, où, face à un choc d’offre, la stimulation budgétaire et une politique monétaire accommodante pourraient être vues comme un accélérateur de l’inflation.  Pour le moment, selon les auteurs de la TMM, les pressions inflationnistes reflètent essentiellement des dysfonctionnements microéconomiques du côté des firmes relatifs à la chaîne logistique et non un excès de la demande globale dû à une création monétaire excessive. Si le resserrement monétaire est écarté, le soutien budgétaire nécessaire destiné à ramener l’emploi américain à son niveau d’avant la pandémie doit </w:t>
      </w:r>
      <w:r w:rsidR="00ED2401">
        <w:rPr>
          <w:rFonts w:ascii="Times New Roman" w:hAnsi="Times New Roman" w:cs="Times New Roman"/>
          <w:sz w:val="24"/>
          <w:szCs w:val="24"/>
        </w:rPr>
        <w:t xml:space="preserve">privilégier </w:t>
      </w:r>
      <w:r>
        <w:rPr>
          <w:rFonts w:ascii="Times New Roman" w:hAnsi="Times New Roman" w:cs="Times New Roman"/>
          <w:sz w:val="24"/>
          <w:szCs w:val="24"/>
        </w:rPr>
        <w:t>de</w:t>
      </w:r>
      <w:r w:rsidR="00ED2401">
        <w:rPr>
          <w:rFonts w:ascii="Times New Roman" w:hAnsi="Times New Roman" w:cs="Times New Roman"/>
          <w:sz w:val="24"/>
          <w:szCs w:val="24"/>
        </w:rPr>
        <w:t>s</w:t>
      </w:r>
      <w:r>
        <w:rPr>
          <w:rFonts w:ascii="Times New Roman" w:hAnsi="Times New Roman" w:cs="Times New Roman"/>
          <w:sz w:val="24"/>
          <w:szCs w:val="24"/>
        </w:rPr>
        <w:t xml:space="preserve"> dépenses d’investissements ciblées sur certains secteurs (ressources primaires, énergie) qui permettraient d’atténuer les contraintes d’offre et lutter contre le dérèglement climatique.  Les auteurs demeurent en revanche plus silencieux sur les effets de la relation prix-salaire qui peuvent nourrir l’inflation, spécifiquement dans certains secteurs touchés par des pénuries de main</w:t>
      </w:r>
      <w:r w:rsidR="0050331C">
        <w:rPr>
          <w:rFonts w:ascii="Times New Roman" w:hAnsi="Times New Roman" w:cs="Times New Roman"/>
          <w:sz w:val="24"/>
          <w:szCs w:val="24"/>
        </w:rPr>
        <w:t>-</w:t>
      </w:r>
      <w:r>
        <w:rPr>
          <w:rFonts w:ascii="Times New Roman" w:hAnsi="Times New Roman" w:cs="Times New Roman"/>
          <w:sz w:val="24"/>
          <w:szCs w:val="24"/>
        </w:rPr>
        <w:t>d’œuvre.</w:t>
      </w:r>
    </w:p>
    <w:bookmarkEnd w:id="2"/>
    <w:p w:rsidR="008265CE" w:rsidRPr="008265CE" w:rsidRDefault="008265CE" w:rsidP="008265CE">
      <w:pPr>
        <w:jc w:val="center"/>
        <w:rPr>
          <w:rFonts w:ascii="Times New Roman" w:hAnsi="Times New Roman" w:cs="Times New Roman"/>
          <w:b/>
          <w:sz w:val="24"/>
          <w:szCs w:val="24"/>
          <w:lang w:val="en-GB"/>
        </w:rPr>
      </w:pPr>
      <w:r w:rsidRPr="008265CE">
        <w:rPr>
          <w:rFonts w:ascii="Times New Roman" w:hAnsi="Times New Roman" w:cs="Times New Roman"/>
          <w:b/>
          <w:sz w:val="24"/>
          <w:szCs w:val="24"/>
          <w:lang w:val="en-GB"/>
        </w:rPr>
        <w:lastRenderedPageBreak/>
        <w:t>BIBLIOGRAPHIE</w:t>
      </w:r>
    </w:p>
    <w:p w:rsidR="0050331C" w:rsidRDefault="0050331C" w:rsidP="008265CE">
      <w:pPr>
        <w:spacing w:line="240" w:lineRule="auto"/>
        <w:jc w:val="both"/>
        <w:rPr>
          <w:rFonts w:ascii="Times New Roman" w:hAnsi="Times New Roman" w:cs="Times New Roman"/>
          <w:color w:val="000000" w:themeColor="text1"/>
          <w:sz w:val="24"/>
          <w:szCs w:val="24"/>
          <w:lang w:val="en-GB"/>
        </w:rPr>
      </w:pPr>
    </w:p>
    <w:p w:rsidR="008265CE" w:rsidRPr="003860CE" w:rsidRDefault="008265CE" w:rsidP="008265CE">
      <w:pPr>
        <w:spacing w:line="240" w:lineRule="auto"/>
        <w:jc w:val="both"/>
        <w:rPr>
          <w:rStyle w:val="markedcontent"/>
          <w:rFonts w:ascii="Times New Roman" w:hAnsi="Times New Roman" w:cs="Times New Roman"/>
          <w:color w:val="000000" w:themeColor="text1"/>
          <w:sz w:val="24"/>
          <w:szCs w:val="24"/>
          <w:lang w:val="en-GB"/>
        </w:rPr>
      </w:pPr>
      <w:r w:rsidRPr="003860CE">
        <w:rPr>
          <w:rFonts w:ascii="Times New Roman" w:hAnsi="Times New Roman" w:cs="Times New Roman"/>
          <w:color w:val="000000" w:themeColor="text1"/>
          <w:sz w:val="24"/>
          <w:szCs w:val="24"/>
          <w:lang w:val="en-GB"/>
        </w:rPr>
        <w:t xml:space="preserve">BONIZZI, B., KALTENBRUNNER, A. et MITCHELL, J. (2019), </w:t>
      </w:r>
      <w:r w:rsidRPr="003860CE">
        <w:rPr>
          <w:rFonts w:ascii="Times New Roman" w:hAnsi="Times New Roman" w:cs="Times New Roman"/>
          <w:i/>
          <w:color w:val="000000" w:themeColor="text1"/>
          <w:sz w:val="24"/>
          <w:szCs w:val="24"/>
          <w:lang w:val="en-GB"/>
        </w:rPr>
        <w:t>“</w:t>
      </w:r>
      <w:r w:rsidRPr="003860CE">
        <w:rPr>
          <w:rStyle w:val="markedcontent"/>
          <w:rFonts w:ascii="Times New Roman" w:hAnsi="Times New Roman" w:cs="Times New Roman"/>
          <w:i/>
          <w:color w:val="000000" w:themeColor="text1"/>
          <w:sz w:val="24"/>
          <w:szCs w:val="24"/>
          <w:lang w:val="en-GB"/>
        </w:rPr>
        <w:t>Monetary sovereignty is a spectrum: modern monetary theory and developing countries”</w:t>
      </w:r>
      <w:r w:rsidRPr="003860CE">
        <w:rPr>
          <w:rStyle w:val="markedcontent"/>
          <w:rFonts w:ascii="Times New Roman" w:hAnsi="Times New Roman" w:cs="Times New Roman"/>
          <w:color w:val="000000" w:themeColor="text1"/>
          <w:sz w:val="24"/>
          <w:szCs w:val="24"/>
          <w:lang w:val="en-GB"/>
        </w:rPr>
        <w:t>. Real-world economics</w:t>
      </w:r>
      <w:r w:rsidRPr="003860CE">
        <w:rPr>
          <w:rStyle w:val="markedcontent"/>
          <w:rFonts w:ascii="Times New Roman" w:hAnsi="Times New Roman" w:cs="Times New Roman"/>
          <w:i/>
          <w:color w:val="000000" w:themeColor="text1"/>
          <w:sz w:val="24"/>
          <w:szCs w:val="24"/>
          <w:lang w:val="en-GB"/>
        </w:rPr>
        <w:t xml:space="preserve"> </w:t>
      </w:r>
      <w:r w:rsidRPr="003860CE">
        <w:rPr>
          <w:rStyle w:val="markedcontent"/>
          <w:rFonts w:ascii="Times New Roman" w:hAnsi="Times New Roman" w:cs="Times New Roman"/>
          <w:color w:val="000000" w:themeColor="text1"/>
          <w:sz w:val="24"/>
          <w:szCs w:val="24"/>
          <w:lang w:val="en-GB"/>
        </w:rPr>
        <w:t>review, 89.</w:t>
      </w:r>
    </w:p>
    <w:p w:rsidR="008265CE" w:rsidRPr="003860CE" w:rsidRDefault="008265CE" w:rsidP="008265CE">
      <w:pPr>
        <w:spacing w:line="240" w:lineRule="auto"/>
        <w:jc w:val="both"/>
        <w:rPr>
          <w:rFonts w:ascii="Times New Roman" w:hAnsi="Times New Roman" w:cs="Times New Roman"/>
          <w:color w:val="000000" w:themeColor="text1"/>
          <w:sz w:val="24"/>
          <w:szCs w:val="24"/>
          <w:lang w:val="en-GB"/>
        </w:rPr>
      </w:pPr>
      <w:r w:rsidRPr="003860CE">
        <w:rPr>
          <w:rFonts w:ascii="Times New Roman" w:hAnsi="Times New Roman" w:cs="Times New Roman"/>
          <w:color w:val="000000" w:themeColor="text1"/>
          <w:sz w:val="24"/>
          <w:szCs w:val="24"/>
          <w:lang w:val="en-GB"/>
        </w:rPr>
        <w:t xml:space="preserve">BUITER, W.H. et MANN C.L. (2019), </w:t>
      </w:r>
      <w:r w:rsidRPr="003860CE">
        <w:rPr>
          <w:rFonts w:ascii="Times New Roman" w:hAnsi="Times New Roman" w:cs="Times New Roman"/>
          <w:i/>
          <w:color w:val="000000" w:themeColor="text1"/>
          <w:sz w:val="24"/>
          <w:szCs w:val="24"/>
          <w:lang w:val="en-GB"/>
        </w:rPr>
        <w:t>“Modern Monetary Theory. What’s right is not new, what’s new is not right, and what’s left is too simplistic”</w:t>
      </w:r>
      <w:r w:rsidRPr="003860CE">
        <w:rPr>
          <w:rFonts w:ascii="Times New Roman" w:hAnsi="Times New Roman" w:cs="Times New Roman"/>
          <w:color w:val="000000" w:themeColor="text1"/>
          <w:sz w:val="24"/>
          <w:szCs w:val="24"/>
          <w:lang w:val="en-GB"/>
        </w:rPr>
        <w:t xml:space="preserve"> Working paper Global Perspectives and Solution </w:t>
      </w:r>
      <w:proofErr w:type="spellStart"/>
      <w:r w:rsidRPr="003860CE">
        <w:rPr>
          <w:rFonts w:ascii="Times New Roman" w:hAnsi="Times New Roman" w:cs="Times New Roman"/>
          <w:color w:val="000000" w:themeColor="text1"/>
          <w:sz w:val="24"/>
          <w:szCs w:val="24"/>
          <w:lang w:val="en-GB"/>
        </w:rPr>
        <w:t>CitiGroup</w:t>
      </w:r>
      <w:proofErr w:type="spellEnd"/>
      <w:r w:rsidRPr="003860CE">
        <w:rPr>
          <w:rFonts w:ascii="Times New Roman" w:hAnsi="Times New Roman" w:cs="Times New Roman"/>
          <w:color w:val="000000" w:themeColor="text1"/>
          <w:sz w:val="24"/>
          <w:szCs w:val="24"/>
          <w:lang w:val="en-GB"/>
        </w:rPr>
        <w:t>, April 2019.</w:t>
      </w:r>
    </w:p>
    <w:p w:rsidR="008265CE" w:rsidRPr="003860CE" w:rsidRDefault="008265CE" w:rsidP="008265CE">
      <w:pPr>
        <w:spacing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DRUMETZ, F. et PFISTER, C. (2021), “</w:t>
      </w:r>
      <w:r w:rsidRPr="003860CE">
        <w:rPr>
          <w:rFonts w:ascii="Times New Roman" w:hAnsi="Times New Roman" w:cs="Times New Roman"/>
          <w:i/>
          <w:sz w:val="24"/>
          <w:szCs w:val="24"/>
          <w:lang w:val="en-GB"/>
        </w:rPr>
        <w:t>The meaning of MMT”</w:t>
      </w:r>
      <w:r w:rsidRPr="003860CE">
        <w:rPr>
          <w:rFonts w:ascii="Times New Roman" w:hAnsi="Times New Roman" w:cs="Times New Roman"/>
          <w:sz w:val="24"/>
          <w:szCs w:val="24"/>
          <w:lang w:val="en-GB"/>
        </w:rPr>
        <w:t>, Working paper No. 833, Banque de France, September 2021.</w:t>
      </w:r>
    </w:p>
    <w:p w:rsidR="008265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EDWARDS, S. (2019), </w:t>
      </w:r>
      <w:r w:rsidRPr="003860CE">
        <w:rPr>
          <w:rFonts w:ascii="Times New Roman" w:hAnsi="Times New Roman" w:cs="Times New Roman"/>
          <w:i/>
          <w:sz w:val="24"/>
          <w:szCs w:val="24"/>
          <w:lang w:val="en-GB"/>
        </w:rPr>
        <w:t>“Modern monetary theory: Cautionary tales from Latin America.”</w:t>
      </w:r>
      <w:r w:rsidRPr="003860CE">
        <w:rPr>
          <w:rFonts w:ascii="Times New Roman" w:hAnsi="Times New Roman" w:cs="Times New Roman"/>
          <w:sz w:val="24"/>
          <w:szCs w:val="24"/>
          <w:lang w:val="en-GB"/>
        </w:rPr>
        <w:t xml:space="preserve"> Hoover</w:t>
      </w:r>
      <w:r>
        <w:rPr>
          <w:rFonts w:ascii="Times New Roman" w:hAnsi="Times New Roman" w:cs="Times New Roman"/>
          <w:sz w:val="24"/>
          <w:szCs w:val="24"/>
          <w:lang w:val="en-GB"/>
        </w:rPr>
        <w:t xml:space="preserve"> </w:t>
      </w:r>
      <w:r w:rsidRPr="003860CE">
        <w:rPr>
          <w:rFonts w:ascii="Times New Roman" w:hAnsi="Times New Roman" w:cs="Times New Roman"/>
          <w:sz w:val="24"/>
          <w:szCs w:val="24"/>
          <w:lang w:val="en-GB"/>
        </w:rPr>
        <w:t>Institution Economics Working Paper No. 19106. Stanford, CA: Hoover Institution.</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EPSTEIN, G.A. (2019), </w:t>
      </w:r>
      <w:r w:rsidRPr="003860CE">
        <w:rPr>
          <w:rFonts w:ascii="Times New Roman" w:hAnsi="Times New Roman" w:cs="Times New Roman"/>
          <w:i/>
          <w:sz w:val="24"/>
          <w:szCs w:val="24"/>
          <w:lang w:val="en-GB"/>
        </w:rPr>
        <w:t>“</w:t>
      </w:r>
      <w:r w:rsidRPr="003860CE">
        <w:rPr>
          <w:rFonts w:ascii="Times New Roman" w:hAnsi="Times New Roman" w:cs="Times New Roman"/>
          <w:i/>
          <w:iCs/>
          <w:sz w:val="24"/>
          <w:szCs w:val="24"/>
          <w:lang w:val="en-GB"/>
        </w:rPr>
        <w:t>What’s Wrong with Modern Money Theory? A Policy Critique”,</w:t>
      </w:r>
      <w:r w:rsidRPr="003860CE">
        <w:rPr>
          <w:rFonts w:ascii="Times New Roman" w:hAnsi="Times New Roman" w:cs="Times New Roman"/>
          <w:sz w:val="24"/>
          <w:szCs w:val="24"/>
          <w:lang w:val="en-GB"/>
        </w:rPr>
        <w:t xml:space="preserve"> New York: Palgrave Macmillan.</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FIEBIGER, B. (2012a), </w:t>
      </w:r>
      <w:r w:rsidRPr="003860CE">
        <w:rPr>
          <w:rFonts w:ascii="Times New Roman" w:hAnsi="Times New Roman" w:cs="Times New Roman"/>
          <w:i/>
          <w:sz w:val="24"/>
          <w:szCs w:val="24"/>
          <w:lang w:val="en-GB"/>
        </w:rPr>
        <w:t xml:space="preserve">“Modern Money Theory and the real-world accounting of 1-1&lt;0: The </w:t>
      </w:r>
      <w:proofErr w:type="spellStart"/>
      <w:r w:rsidRPr="003860CE">
        <w:rPr>
          <w:rFonts w:ascii="Times New Roman" w:hAnsi="Times New Roman" w:cs="Times New Roman"/>
          <w:i/>
          <w:sz w:val="24"/>
          <w:szCs w:val="24"/>
          <w:lang w:val="en-GB"/>
        </w:rPr>
        <w:t>U.</w:t>
      </w:r>
      <w:proofErr w:type="gramStart"/>
      <w:r w:rsidRPr="003860CE">
        <w:rPr>
          <w:rFonts w:ascii="Times New Roman" w:hAnsi="Times New Roman" w:cs="Times New Roman"/>
          <w:i/>
          <w:sz w:val="24"/>
          <w:szCs w:val="24"/>
          <w:lang w:val="en-GB"/>
        </w:rPr>
        <w:t>S.Treasury</w:t>
      </w:r>
      <w:proofErr w:type="spellEnd"/>
      <w:proofErr w:type="gramEnd"/>
      <w:r w:rsidRPr="003860CE">
        <w:rPr>
          <w:rFonts w:ascii="Times New Roman" w:hAnsi="Times New Roman" w:cs="Times New Roman"/>
          <w:i/>
          <w:sz w:val="24"/>
          <w:szCs w:val="24"/>
          <w:lang w:val="en-GB"/>
        </w:rPr>
        <w:t xml:space="preserve"> does not spend as per a bank”</w:t>
      </w:r>
      <w:r w:rsidRPr="003860CE">
        <w:rPr>
          <w:rFonts w:ascii="Times New Roman" w:hAnsi="Times New Roman" w:cs="Times New Roman"/>
          <w:sz w:val="24"/>
          <w:szCs w:val="24"/>
          <w:lang w:val="en-GB"/>
        </w:rPr>
        <w:t xml:space="preserve"> PERI Working Paper No. 279. Amherst, MA:</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FIEBIGER, B. (2012b), </w:t>
      </w:r>
      <w:r w:rsidRPr="003860CE">
        <w:rPr>
          <w:rFonts w:ascii="Times New Roman" w:hAnsi="Times New Roman" w:cs="Times New Roman"/>
          <w:i/>
          <w:sz w:val="24"/>
          <w:szCs w:val="24"/>
          <w:lang w:val="en-GB"/>
        </w:rPr>
        <w:t>“A rejoinder to ‘Modern Money Theory: A response to critics.”</w:t>
      </w:r>
      <w:r w:rsidRPr="003860CE">
        <w:rPr>
          <w:rFonts w:ascii="Times New Roman" w:hAnsi="Times New Roman" w:cs="Times New Roman"/>
          <w:sz w:val="24"/>
          <w:szCs w:val="24"/>
          <w:lang w:val="en-GB"/>
        </w:rPr>
        <w:t xml:space="preserve"> PERI Working Paper No. 279. Amherst, MA: </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FULLBROOK, E., et MORGAN, J. (2020), </w:t>
      </w:r>
      <w:r w:rsidRPr="003860CE">
        <w:rPr>
          <w:rFonts w:ascii="Times New Roman" w:hAnsi="Times New Roman" w:cs="Times New Roman"/>
          <w:i/>
          <w:sz w:val="24"/>
          <w:szCs w:val="24"/>
          <w:lang w:val="en-GB"/>
        </w:rPr>
        <w:t>“</w:t>
      </w:r>
      <w:r w:rsidRPr="003860CE">
        <w:rPr>
          <w:rFonts w:ascii="Times New Roman" w:hAnsi="Times New Roman" w:cs="Times New Roman"/>
          <w:i/>
          <w:iCs/>
          <w:sz w:val="24"/>
          <w:szCs w:val="24"/>
          <w:lang w:val="en-GB"/>
        </w:rPr>
        <w:t>Modern Monetary Theory and its Critics”</w:t>
      </w:r>
      <w:r w:rsidRPr="003860CE">
        <w:rPr>
          <w:rFonts w:ascii="Times New Roman" w:hAnsi="Times New Roman" w:cs="Times New Roman"/>
          <w:sz w:val="24"/>
          <w:szCs w:val="24"/>
          <w:lang w:val="en-GB"/>
        </w:rPr>
        <w:t>. Bristol:</w:t>
      </w:r>
      <w:r>
        <w:rPr>
          <w:rFonts w:ascii="Times New Roman" w:hAnsi="Times New Roman" w:cs="Times New Roman"/>
          <w:sz w:val="24"/>
          <w:szCs w:val="24"/>
          <w:lang w:val="en-GB"/>
        </w:rPr>
        <w:t xml:space="preserve"> </w:t>
      </w:r>
      <w:r w:rsidRPr="003860CE">
        <w:rPr>
          <w:rFonts w:ascii="Times New Roman" w:hAnsi="Times New Roman" w:cs="Times New Roman"/>
          <w:sz w:val="24"/>
          <w:szCs w:val="24"/>
          <w:lang w:val="en-GB"/>
        </w:rPr>
        <w:t>World Economic Association.</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FULLWILLER, S.T., KELTON, S.A., et WRAY, L.R., (2012), </w:t>
      </w:r>
      <w:r w:rsidRPr="003860CE">
        <w:rPr>
          <w:rFonts w:ascii="Times New Roman" w:hAnsi="Times New Roman" w:cs="Times New Roman"/>
          <w:i/>
          <w:sz w:val="24"/>
          <w:szCs w:val="24"/>
          <w:lang w:val="en-GB"/>
        </w:rPr>
        <w:t>“Modern Money Theory: A response to critics”</w:t>
      </w:r>
      <w:r w:rsidRPr="003860CE">
        <w:rPr>
          <w:rFonts w:ascii="Times New Roman" w:hAnsi="Times New Roman" w:cs="Times New Roman"/>
          <w:sz w:val="24"/>
          <w:szCs w:val="24"/>
          <w:lang w:val="en-GB"/>
        </w:rPr>
        <w:t>. PERI Working Paper No. 279. Amherst, MA.</w:t>
      </w:r>
    </w:p>
    <w:p w:rsidR="008265CE" w:rsidRDefault="008265CE" w:rsidP="008265CE">
      <w:pPr>
        <w:pStyle w:val="Titre1"/>
        <w:jc w:val="both"/>
        <w:rPr>
          <w:b w:val="0"/>
          <w:sz w:val="24"/>
          <w:szCs w:val="24"/>
          <w:lang w:val="en-GB"/>
        </w:rPr>
      </w:pPr>
      <w:r w:rsidRPr="003860CE">
        <w:rPr>
          <w:b w:val="0"/>
          <w:sz w:val="24"/>
          <w:szCs w:val="24"/>
          <w:lang w:val="en-GB"/>
        </w:rPr>
        <w:t xml:space="preserve">GALVIN, R. et HEALY, N., (2020), </w:t>
      </w:r>
      <w:r w:rsidRPr="003860CE">
        <w:rPr>
          <w:b w:val="0"/>
          <w:i/>
          <w:sz w:val="24"/>
          <w:szCs w:val="24"/>
          <w:lang w:val="en-GB"/>
        </w:rPr>
        <w:t>“The Green New Deal in the United States: What it is and how to pay for it</w:t>
      </w:r>
      <w:r w:rsidR="00727BEE">
        <w:rPr>
          <w:b w:val="0"/>
          <w:i/>
          <w:sz w:val="24"/>
          <w:szCs w:val="24"/>
          <w:lang w:val="en-GB"/>
        </w:rPr>
        <w:t>.</w:t>
      </w:r>
      <w:r w:rsidRPr="003860CE">
        <w:rPr>
          <w:b w:val="0"/>
          <w:i/>
          <w:sz w:val="24"/>
          <w:szCs w:val="24"/>
          <w:lang w:val="en-GB"/>
        </w:rPr>
        <w:t>”</w:t>
      </w:r>
      <w:r w:rsidRPr="003860CE">
        <w:rPr>
          <w:b w:val="0"/>
          <w:sz w:val="24"/>
          <w:szCs w:val="24"/>
          <w:lang w:val="en-GB"/>
        </w:rPr>
        <w:t xml:space="preserve"> Energy Research and Science</w:t>
      </w:r>
      <w:r w:rsidRPr="003860CE">
        <w:rPr>
          <w:b w:val="0"/>
          <w:i/>
          <w:sz w:val="24"/>
          <w:szCs w:val="24"/>
          <w:lang w:val="en-GB"/>
        </w:rPr>
        <w:t xml:space="preserve"> </w:t>
      </w:r>
      <w:r w:rsidRPr="003860CE">
        <w:rPr>
          <w:b w:val="0"/>
          <w:sz w:val="24"/>
          <w:szCs w:val="24"/>
          <w:lang w:val="en-GB"/>
        </w:rPr>
        <w:t xml:space="preserve">67.  </w:t>
      </w:r>
    </w:p>
    <w:p w:rsidR="001C005B" w:rsidRPr="003860CE" w:rsidRDefault="001C005B" w:rsidP="008265CE">
      <w:pPr>
        <w:pStyle w:val="Titre1"/>
        <w:jc w:val="both"/>
        <w:rPr>
          <w:b w:val="0"/>
          <w:sz w:val="24"/>
          <w:szCs w:val="24"/>
          <w:lang w:val="en-GB"/>
        </w:rPr>
      </w:pPr>
      <w:r>
        <w:rPr>
          <w:b w:val="0"/>
          <w:sz w:val="24"/>
          <w:szCs w:val="24"/>
          <w:lang w:val="en-GB"/>
        </w:rPr>
        <w:t>HARTLEY, J. (2020)</w:t>
      </w:r>
      <w:r w:rsidR="00727BEE">
        <w:rPr>
          <w:b w:val="0"/>
          <w:sz w:val="24"/>
          <w:szCs w:val="24"/>
          <w:lang w:val="en-GB"/>
        </w:rPr>
        <w:t>, “</w:t>
      </w:r>
      <w:r w:rsidR="00727BEE" w:rsidRPr="00727BEE">
        <w:rPr>
          <w:b w:val="0"/>
          <w:sz w:val="22"/>
          <w:szCs w:val="20"/>
          <w:lang w:val="en-GB"/>
        </w:rPr>
        <w:t>The weakness of modern monetary theory.</w:t>
      </w:r>
      <w:r w:rsidR="00727BEE">
        <w:rPr>
          <w:b w:val="0"/>
          <w:sz w:val="22"/>
          <w:szCs w:val="20"/>
          <w:lang w:val="en-GB"/>
        </w:rPr>
        <w:t>”,</w:t>
      </w:r>
      <w:r w:rsidR="00727BEE" w:rsidRPr="00727BEE">
        <w:rPr>
          <w:b w:val="0"/>
          <w:sz w:val="22"/>
          <w:szCs w:val="20"/>
          <w:lang w:val="en-GB"/>
        </w:rPr>
        <w:t xml:space="preserve"> National Affairs, Fall, 2020, 70–82.</w:t>
      </w:r>
    </w:p>
    <w:p w:rsidR="008265CE" w:rsidRPr="003860CE" w:rsidRDefault="008265CE" w:rsidP="008265CE">
      <w:pPr>
        <w:pStyle w:val="Titre1"/>
        <w:jc w:val="both"/>
        <w:rPr>
          <w:b w:val="0"/>
          <w:sz w:val="24"/>
          <w:szCs w:val="24"/>
          <w:lang w:val="en-GB"/>
        </w:rPr>
      </w:pPr>
      <w:r w:rsidRPr="003860CE">
        <w:rPr>
          <w:b w:val="0"/>
          <w:sz w:val="24"/>
          <w:szCs w:val="24"/>
          <w:lang w:val="en-GB"/>
        </w:rPr>
        <w:t xml:space="preserve">JEANNERET, A. et SOUISSI, S., (2016), </w:t>
      </w:r>
      <w:r w:rsidRPr="003860CE">
        <w:rPr>
          <w:b w:val="0"/>
          <w:i/>
          <w:sz w:val="24"/>
          <w:szCs w:val="24"/>
          <w:lang w:val="en-GB"/>
        </w:rPr>
        <w:t>“Sovereign defaults by currency denomination”</w:t>
      </w:r>
      <w:r w:rsidRPr="003860CE">
        <w:rPr>
          <w:b w:val="0"/>
          <w:sz w:val="24"/>
          <w:szCs w:val="24"/>
          <w:lang w:val="en-GB"/>
        </w:rPr>
        <w:t>. Journal of International Money and Finance 60: 197–222.</w:t>
      </w:r>
    </w:p>
    <w:p w:rsidR="008265CE" w:rsidRPr="003860CE" w:rsidRDefault="008265CE" w:rsidP="008265CE">
      <w:pPr>
        <w:autoSpaceDE w:val="0"/>
        <w:autoSpaceDN w:val="0"/>
        <w:adjustRightInd w:val="0"/>
        <w:spacing w:after="0" w:line="240" w:lineRule="auto"/>
        <w:jc w:val="both"/>
        <w:rPr>
          <w:rFonts w:ascii="Times New Roman" w:hAnsi="Times New Roman" w:cs="Times New Roman"/>
          <w:i/>
          <w:iCs/>
          <w:sz w:val="24"/>
          <w:szCs w:val="24"/>
          <w:lang w:val="en-GB"/>
        </w:rPr>
      </w:pPr>
      <w:r w:rsidRPr="003860CE">
        <w:rPr>
          <w:rFonts w:ascii="Times New Roman" w:hAnsi="Times New Roman" w:cs="Times New Roman"/>
          <w:sz w:val="24"/>
          <w:szCs w:val="24"/>
          <w:lang w:val="en-GB"/>
        </w:rPr>
        <w:t>KELTON, S.A., (2020), “</w:t>
      </w:r>
      <w:r w:rsidRPr="003860CE">
        <w:rPr>
          <w:rFonts w:ascii="Times New Roman" w:hAnsi="Times New Roman" w:cs="Times New Roman"/>
          <w:i/>
          <w:iCs/>
          <w:sz w:val="24"/>
          <w:szCs w:val="24"/>
          <w:lang w:val="en-GB"/>
        </w:rPr>
        <w:t>The Deficit Myth: Modern Monetary Theory and the Birth of the People’s</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i/>
          <w:iCs/>
          <w:sz w:val="24"/>
          <w:szCs w:val="24"/>
          <w:lang w:val="en-GB"/>
        </w:rPr>
        <w:t>Economy”</w:t>
      </w:r>
      <w:r w:rsidRPr="003860CE">
        <w:rPr>
          <w:rFonts w:ascii="Times New Roman" w:hAnsi="Times New Roman" w:cs="Times New Roman"/>
          <w:sz w:val="24"/>
          <w:szCs w:val="24"/>
          <w:lang w:val="en-GB"/>
        </w:rPr>
        <w:t>. New York: Public Affairs.</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727BE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KNAPP, G.F., (1924), “</w:t>
      </w:r>
      <w:r w:rsidRPr="003860CE">
        <w:rPr>
          <w:rFonts w:ascii="Times New Roman" w:hAnsi="Times New Roman" w:cs="Times New Roman"/>
          <w:i/>
          <w:iCs/>
          <w:sz w:val="24"/>
          <w:szCs w:val="24"/>
          <w:lang w:val="en-GB"/>
        </w:rPr>
        <w:t>The State Theory of Money”.</w:t>
      </w:r>
      <w:r w:rsidRPr="003860CE">
        <w:rPr>
          <w:rFonts w:ascii="Times New Roman" w:hAnsi="Times New Roman" w:cs="Times New Roman"/>
          <w:sz w:val="24"/>
          <w:szCs w:val="24"/>
          <w:lang w:val="en-GB"/>
        </w:rPr>
        <w:t xml:space="preserve"> London: Macmillan.</w:t>
      </w:r>
    </w:p>
    <w:p w:rsidR="00727BEE" w:rsidRPr="00727BEE" w:rsidRDefault="00727BEE" w:rsidP="00727BEE">
      <w:pPr>
        <w:pStyle w:val="Titre1"/>
        <w:rPr>
          <w:b w:val="0"/>
          <w:lang w:val="en-GB"/>
        </w:rPr>
      </w:pPr>
      <w:r w:rsidRPr="00727BEE">
        <w:rPr>
          <w:b w:val="0"/>
          <w:sz w:val="24"/>
          <w:szCs w:val="24"/>
          <w:lang w:val="en-GB"/>
        </w:rPr>
        <w:t xml:space="preserve">KRUGMAN, P., (2019), </w:t>
      </w:r>
      <w:r w:rsidRPr="00727BEE">
        <w:rPr>
          <w:b w:val="0"/>
          <w:i/>
          <w:sz w:val="24"/>
          <w:szCs w:val="24"/>
          <w:lang w:val="en-GB"/>
        </w:rPr>
        <w:t>“</w:t>
      </w:r>
      <w:r w:rsidRPr="00727BEE">
        <w:rPr>
          <w:b w:val="0"/>
          <w:i/>
          <w:sz w:val="24"/>
          <w:lang w:val="en-GB"/>
        </w:rPr>
        <w:t>Running on MMT (</w:t>
      </w:r>
      <w:proofErr w:type="spellStart"/>
      <w:r w:rsidRPr="00727BEE">
        <w:rPr>
          <w:b w:val="0"/>
          <w:i/>
          <w:sz w:val="24"/>
          <w:lang w:val="en-GB"/>
        </w:rPr>
        <w:t>Wonkish</w:t>
      </w:r>
      <w:proofErr w:type="spellEnd"/>
      <w:r w:rsidRPr="00727BEE">
        <w:rPr>
          <w:b w:val="0"/>
          <w:i/>
          <w:sz w:val="24"/>
          <w:lang w:val="en-GB"/>
        </w:rPr>
        <w:t>)”</w:t>
      </w:r>
      <w:r>
        <w:rPr>
          <w:b w:val="0"/>
          <w:sz w:val="24"/>
          <w:lang w:val="en-GB"/>
        </w:rPr>
        <w:t xml:space="preserve">, </w:t>
      </w:r>
      <w:r w:rsidR="00617F4C">
        <w:rPr>
          <w:b w:val="0"/>
          <w:sz w:val="24"/>
          <w:lang w:val="en-GB"/>
        </w:rPr>
        <w:t xml:space="preserve">New York Times, Opinion, 25 </w:t>
      </w:r>
      <w:proofErr w:type="spellStart"/>
      <w:r w:rsidR="00617F4C">
        <w:rPr>
          <w:b w:val="0"/>
          <w:sz w:val="24"/>
          <w:lang w:val="en-GB"/>
        </w:rPr>
        <w:t>février</w:t>
      </w:r>
      <w:proofErr w:type="spellEnd"/>
      <w:r w:rsidR="00617F4C">
        <w:rPr>
          <w:b w:val="0"/>
          <w:sz w:val="24"/>
          <w:lang w:val="en-GB"/>
        </w:rPr>
        <w:t xml:space="preserve"> 2019.</w:t>
      </w:r>
    </w:p>
    <w:p w:rsidR="00727BEE" w:rsidRPr="003860CE" w:rsidRDefault="00727BE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LAVOIE, M., (2013), </w:t>
      </w:r>
      <w:r w:rsidRPr="003860CE">
        <w:rPr>
          <w:rFonts w:ascii="Times New Roman" w:hAnsi="Times New Roman" w:cs="Times New Roman"/>
          <w:i/>
          <w:sz w:val="24"/>
          <w:szCs w:val="24"/>
          <w:lang w:val="en-GB"/>
        </w:rPr>
        <w:t>“The monetary and fiscal nexus of Neo-</w:t>
      </w:r>
      <w:proofErr w:type="spellStart"/>
      <w:r w:rsidRPr="003860CE">
        <w:rPr>
          <w:rFonts w:ascii="Times New Roman" w:hAnsi="Times New Roman" w:cs="Times New Roman"/>
          <w:i/>
          <w:sz w:val="24"/>
          <w:szCs w:val="24"/>
          <w:lang w:val="en-GB"/>
        </w:rPr>
        <w:t>Chartalism</w:t>
      </w:r>
      <w:proofErr w:type="spellEnd"/>
      <w:r w:rsidRPr="003860CE">
        <w:rPr>
          <w:rFonts w:ascii="Times New Roman" w:hAnsi="Times New Roman" w:cs="Times New Roman"/>
          <w:i/>
          <w:sz w:val="24"/>
          <w:szCs w:val="24"/>
          <w:lang w:val="en-GB"/>
        </w:rPr>
        <w:t>: A friendly critique”.</w:t>
      </w:r>
      <w:r w:rsidRPr="003860CE">
        <w:rPr>
          <w:rFonts w:ascii="Times New Roman" w:hAnsi="Times New Roman" w:cs="Times New Roman"/>
          <w:sz w:val="24"/>
          <w:szCs w:val="24"/>
          <w:lang w:val="en-GB"/>
        </w:rPr>
        <w:t xml:space="preserve"> </w:t>
      </w:r>
      <w:r w:rsidRPr="003860CE">
        <w:rPr>
          <w:rFonts w:ascii="Times New Roman" w:hAnsi="Times New Roman" w:cs="Times New Roman"/>
          <w:iCs/>
          <w:sz w:val="24"/>
          <w:szCs w:val="24"/>
          <w:lang w:val="en-GB"/>
        </w:rPr>
        <w:t>Journal of Economic Issues</w:t>
      </w:r>
      <w:r w:rsidRPr="003860CE">
        <w:rPr>
          <w:rFonts w:ascii="Times New Roman" w:hAnsi="Times New Roman" w:cs="Times New Roman"/>
          <w:i/>
          <w:iCs/>
          <w:sz w:val="24"/>
          <w:szCs w:val="24"/>
          <w:lang w:val="en-GB"/>
        </w:rPr>
        <w:t xml:space="preserve"> </w:t>
      </w:r>
      <w:r w:rsidRPr="003860CE">
        <w:rPr>
          <w:rFonts w:ascii="Times New Roman" w:hAnsi="Times New Roman" w:cs="Times New Roman"/>
          <w:sz w:val="24"/>
          <w:szCs w:val="24"/>
          <w:lang w:val="en-GB"/>
        </w:rPr>
        <w:t>47 (1): 1–31.</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LAVOIE, M., (2019), </w:t>
      </w:r>
      <w:r w:rsidRPr="003860CE">
        <w:rPr>
          <w:rFonts w:ascii="Times New Roman" w:hAnsi="Times New Roman" w:cs="Times New Roman"/>
          <w:i/>
          <w:lang w:val="en-GB"/>
        </w:rPr>
        <w:t>“</w:t>
      </w:r>
      <w:r w:rsidRPr="003860CE">
        <w:rPr>
          <w:rFonts w:ascii="Times New Roman" w:hAnsi="Times New Roman" w:cs="Times New Roman"/>
          <w:bCs/>
          <w:i/>
          <w:lang w:val="en-GB"/>
        </w:rPr>
        <w:t>Modern monetary theory and post-Keynesian economics</w:t>
      </w:r>
      <w:r w:rsidRPr="003860CE">
        <w:rPr>
          <w:rFonts w:ascii="Times New Roman" w:hAnsi="Times New Roman" w:cs="Times New Roman"/>
          <w:i/>
          <w:lang w:val="en-GB"/>
        </w:rPr>
        <w:t>”</w:t>
      </w:r>
      <w:r w:rsidRPr="003860CE">
        <w:rPr>
          <w:rFonts w:ascii="Times New Roman" w:hAnsi="Times New Roman" w:cs="Times New Roman"/>
          <w:lang w:val="en-GB"/>
        </w:rPr>
        <w:t xml:space="preserve">. </w:t>
      </w:r>
      <w:r w:rsidRPr="003860CE">
        <w:rPr>
          <w:rFonts w:ascii="Times New Roman" w:hAnsi="Times New Roman" w:cs="Times New Roman"/>
          <w:iCs/>
          <w:lang w:val="en-GB"/>
        </w:rPr>
        <w:t>Real-World Economics Review</w:t>
      </w:r>
      <w:r w:rsidRPr="003860CE">
        <w:rPr>
          <w:rFonts w:ascii="Times New Roman" w:hAnsi="Times New Roman" w:cs="Times New Roman"/>
          <w:i/>
          <w:iCs/>
          <w:lang w:val="en-GB"/>
        </w:rPr>
        <w:t xml:space="preserve"> </w:t>
      </w:r>
      <w:r w:rsidRPr="003860CE">
        <w:rPr>
          <w:rFonts w:ascii="Times New Roman" w:hAnsi="Times New Roman" w:cs="Times New Roman"/>
          <w:lang w:val="en-GB"/>
        </w:rPr>
        <w:t>89.</w:t>
      </w:r>
    </w:p>
    <w:p w:rsidR="008265CE" w:rsidRPr="003860CE" w:rsidRDefault="008265CE" w:rsidP="008265CE">
      <w:pPr>
        <w:pStyle w:val="Default"/>
        <w:jc w:val="both"/>
        <w:rPr>
          <w:rFonts w:ascii="Times New Roman" w:hAnsi="Times New Roman" w:cs="Times New Roman"/>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LERNER, A.P., (1943), </w:t>
      </w:r>
      <w:r w:rsidRPr="003860CE">
        <w:rPr>
          <w:rFonts w:ascii="Times New Roman" w:hAnsi="Times New Roman" w:cs="Times New Roman"/>
          <w:i/>
          <w:lang w:val="en-GB"/>
        </w:rPr>
        <w:t>“Functional finance and the federal debt”</w:t>
      </w:r>
      <w:r w:rsidRPr="003860CE">
        <w:rPr>
          <w:rFonts w:ascii="Times New Roman" w:hAnsi="Times New Roman" w:cs="Times New Roman"/>
          <w:lang w:val="en-GB"/>
        </w:rPr>
        <w:t xml:space="preserve">. </w:t>
      </w:r>
      <w:r w:rsidRPr="003860CE">
        <w:rPr>
          <w:rFonts w:ascii="Times New Roman" w:hAnsi="Times New Roman" w:cs="Times New Roman"/>
          <w:iCs/>
          <w:lang w:val="en-GB"/>
        </w:rPr>
        <w:t>Social Research</w:t>
      </w:r>
      <w:r w:rsidRPr="003860CE">
        <w:rPr>
          <w:rFonts w:ascii="Times New Roman" w:hAnsi="Times New Roman" w:cs="Times New Roman"/>
          <w:i/>
          <w:iCs/>
          <w:lang w:val="en-GB"/>
        </w:rPr>
        <w:t xml:space="preserve"> </w:t>
      </w:r>
      <w:r w:rsidRPr="003860CE">
        <w:rPr>
          <w:rFonts w:ascii="Times New Roman" w:hAnsi="Times New Roman" w:cs="Times New Roman"/>
          <w:lang w:val="en-GB"/>
        </w:rPr>
        <w:t>10 (1): 38–51.</w:t>
      </w:r>
    </w:p>
    <w:p w:rsidR="008265CE" w:rsidRPr="003860CE" w:rsidRDefault="008265CE" w:rsidP="008265CE">
      <w:pPr>
        <w:pStyle w:val="Default"/>
        <w:jc w:val="both"/>
        <w:rPr>
          <w:rFonts w:ascii="Times New Roman" w:hAnsi="Times New Roman" w:cs="Times New Roman"/>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LERNER, A.P., (1978), </w:t>
      </w:r>
      <w:r w:rsidRPr="003860CE">
        <w:rPr>
          <w:rFonts w:ascii="Times New Roman" w:hAnsi="Times New Roman" w:cs="Times New Roman"/>
          <w:i/>
          <w:lang w:val="en-GB"/>
        </w:rPr>
        <w:t>“A Wage-Increase Permit Plan to Stop Inflation”</w:t>
      </w:r>
      <w:r w:rsidRPr="003860CE">
        <w:rPr>
          <w:rFonts w:ascii="Times New Roman" w:hAnsi="Times New Roman" w:cs="Times New Roman"/>
          <w:lang w:val="en-GB"/>
        </w:rPr>
        <w:t xml:space="preserve">. </w:t>
      </w:r>
      <w:hyperlink r:id="rId10" w:history="1">
        <w:r w:rsidRPr="003860CE">
          <w:rPr>
            <w:rStyle w:val="Lienhypertexte"/>
            <w:rFonts w:ascii="Times New Roman" w:hAnsi="Times New Roman" w:cs="Times New Roman"/>
            <w:color w:val="000000" w:themeColor="text1"/>
            <w:lang w:val="en-GB"/>
          </w:rPr>
          <w:t>Brookings Papers on Economic Activity</w:t>
        </w:r>
      </w:hyperlink>
      <w:r w:rsidRPr="003860CE">
        <w:rPr>
          <w:rFonts w:ascii="Times New Roman" w:hAnsi="Times New Roman" w:cs="Times New Roman"/>
          <w:lang w:val="en-GB"/>
        </w:rPr>
        <w:t>, Economic Studies Program, The Brookings Institution, vol. 9(2): 491-505.</w:t>
      </w:r>
    </w:p>
    <w:p w:rsidR="008265CE" w:rsidRPr="003860CE" w:rsidRDefault="008265CE" w:rsidP="008265CE">
      <w:pPr>
        <w:pStyle w:val="Default"/>
        <w:jc w:val="both"/>
        <w:rPr>
          <w:rFonts w:ascii="Times New Roman" w:hAnsi="Times New Roman" w:cs="Times New Roman"/>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MANKIW, N.G., (2019), </w:t>
      </w:r>
      <w:r w:rsidRPr="003860CE">
        <w:rPr>
          <w:rFonts w:ascii="Times New Roman" w:hAnsi="Times New Roman" w:cs="Times New Roman"/>
          <w:i/>
          <w:sz w:val="24"/>
          <w:szCs w:val="24"/>
          <w:lang w:val="en-GB"/>
        </w:rPr>
        <w:t xml:space="preserve">“A </w:t>
      </w:r>
      <w:proofErr w:type="spellStart"/>
      <w:r w:rsidRPr="003860CE">
        <w:rPr>
          <w:rFonts w:ascii="Times New Roman" w:hAnsi="Times New Roman" w:cs="Times New Roman"/>
          <w:i/>
          <w:sz w:val="24"/>
          <w:szCs w:val="24"/>
          <w:lang w:val="en-GB"/>
        </w:rPr>
        <w:t>skeptic</w:t>
      </w:r>
      <w:proofErr w:type="spellEnd"/>
      <w:r w:rsidRPr="003860CE">
        <w:rPr>
          <w:rFonts w:ascii="Times New Roman" w:hAnsi="Times New Roman" w:cs="Times New Roman"/>
          <w:i/>
          <w:sz w:val="24"/>
          <w:szCs w:val="24"/>
          <w:lang w:val="en-GB"/>
        </w:rPr>
        <w:t xml:space="preserve"> guide to Modern Money Theory”</w:t>
      </w:r>
      <w:r w:rsidRPr="003860CE">
        <w:rPr>
          <w:rFonts w:ascii="Times New Roman" w:hAnsi="Times New Roman" w:cs="Times New Roman"/>
          <w:sz w:val="24"/>
          <w:szCs w:val="24"/>
          <w:lang w:val="en-GB"/>
        </w:rPr>
        <w:t>. Mimeo</w:t>
      </w:r>
      <w:r w:rsidRPr="003860CE">
        <w:rPr>
          <w:rFonts w:ascii="Times New Roman" w:hAnsi="Times New Roman" w:cs="Times New Roman"/>
          <w:i/>
          <w:sz w:val="24"/>
          <w:szCs w:val="24"/>
          <w:lang w:val="en-GB"/>
        </w:rPr>
        <w:t>.</w:t>
      </w:r>
      <w:r w:rsidRPr="003860CE">
        <w:rPr>
          <w:rFonts w:ascii="Times New Roman" w:hAnsi="Times New Roman" w:cs="Times New Roman"/>
          <w:sz w:val="24"/>
          <w:szCs w:val="24"/>
          <w:lang w:val="en-GB"/>
        </w:rPr>
        <w:t xml:space="preserve"> </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MINSKY, H.P., (1965), </w:t>
      </w:r>
      <w:r w:rsidRPr="003860CE">
        <w:rPr>
          <w:rFonts w:ascii="Times New Roman" w:hAnsi="Times New Roman" w:cs="Times New Roman"/>
          <w:i/>
          <w:sz w:val="24"/>
          <w:szCs w:val="24"/>
          <w:lang w:val="en-GB"/>
        </w:rPr>
        <w:t>“The role of employment policy</w:t>
      </w:r>
      <w:r w:rsidRPr="003860CE">
        <w:rPr>
          <w:rFonts w:ascii="Times New Roman" w:hAnsi="Times New Roman" w:cs="Times New Roman"/>
          <w:i/>
          <w:iCs/>
          <w:sz w:val="24"/>
          <w:szCs w:val="24"/>
          <w:lang w:val="en-GB"/>
        </w:rPr>
        <w:t>”</w:t>
      </w:r>
      <w:r w:rsidRPr="003860CE">
        <w:rPr>
          <w:rFonts w:ascii="Times New Roman" w:hAnsi="Times New Roman" w:cs="Times New Roman"/>
          <w:sz w:val="24"/>
          <w:szCs w:val="24"/>
          <w:lang w:val="en-GB"/>
        </w:rPr>
        <w:t>. In Poverty in America edited by M. S. Gordon.</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MINSKY, H.P., (1986), </w:t>
      </w:r>
      <w:r w:rsidRPr="003860CE">
        <w:rPr>
          <w:rFonts w:ascii="Times New Roman" w:hAnsi="Times New Roman" w:cs="Times New Roman"/>
          <w:i/>
          <w:sz w:val="24"/>
          <w:szCs w:val="24"/>
          <w:lang w:val="en-GB"/>
        </w:rPr>
        <w:t>“</w:t>
      </w:r>
      <w:r w:rsidRPr="003860CE">
        <w:rPr>
          <w:rFonts w:ascii="Times New Roman" w:hAnsi="Times New Roman" w:cs="Times New Roman"/>
          <w:i/>
          <w:iCs/>
          <w:sz w:val="24"/>
          <w:szCs w:val="24"/>
          <w:lang w:val="en-GB"/>
        </w:rPr>
        <w:t>Stabilizing an Unstable Economy”</w:t>
      </w:r>
      <w:r w:rsidRPr="003860CE">
        <w:rPr>
          <w:rFonts w:ascii="Times New Roman" w:hAnsi="Times New Roman" w:cs="Times New Roman"/>
          <w:sz w:val="24"/>
          <w:szCs w:val="24"/>
          <w:lang w:val="en-GB"/>
        </w:rPr>
        <w:t>. New Haven, CT: Yale University Press.</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rPr>
      </w:pPr>
      <w:r w:rsidRPr="003860CE">
        <w:rPr>
          <w:rFonts w:ascii="Times New Roman" w:hAnsi="Times New Roman" w:cs="Times New Roman"/>
          <w:sz w:val="24"/>
          <w:szCs w:val="24"/>
          <w:lang w:val="en-GB"/>
        </w:rPr>
        <w:t xml:space="preserve">MITCHELL, W.F., (2019), </w:t>
      </w:r>
      <w:r w:rsidRPr="003860CE">
        <w:rPr>
          <w:rFonts w:ascii="Times New Roman" w:hAnsi="Times New Roman" w:cs="Times New Roman"/>
          <w:i/>
          <w:sz w:val="24"/>
          <w:szCs w:val="24"/>
          <w:lang w:val="en-GB"/>
        </w:rPr>
        <w:t>“Marxists getting all tied up on MMT”</w:t>
      </w:r>
      <w:r w:rsidRPr="003860CE">
        <w:rPr>
          <w:rFonts w:ascii="Times New Roman" w:hAnsi="Times New Roman" w:cs="Times New Roman"/>
          <w:sz w:val="24"/>
          <w:szCs w:val="24"/>
          <w:lang w:val="en-GB"/>
        </w:rPr>
        <w:t xml:space="preserve">. </w:t>
      </w:r>
      <w:r w:rsidRPr="003860CE">
        <w:rPr>
          <w:rFonts w:ascii="Times New Roman" w:hAnsi="Times New Roman" w:cs="Times New Roman"/>
          <w:sz w:val="24"/>
          <w:szCs w:val="24"/>
        </w:rPr>
        <w:t>Article de Blog 1/09/2019. http://bilbo.economicoutlook.net/blog/?m=20190307</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MITCHELL, W.F., WRAY, L.R., et Watts, M. (2019), </w:t>
      </w:r>
      <w:r w:rsidRPr="003860CE">
        <w:rPr>
          <w:rFonts w:ascii="Times New Roman" w:hAnsi="Times New Roman" w:cs="Times New Roman"/>
          <w:i/>
          <w:sz w:val="24"/>
          <w:szCs w:val="24"/>
          <w:lang w:val="en-GB"/>
        </w:rPr>
        <w:t>“</w:t>
      </w:r>
      <w:r w:rsidRPr="003860CE">
        <w:rPr>
          <w:rFonts w:ascii="Times New Roman" w:hAnsi="Times New Roman" w:cs="Times New Roman"/>
          <w:i/>
          <w:iCs/>
          <w:sz w:val="24"/>
          <w:szCs w:val="24"/>
          <w:lang w:val="en-GB"/>
        </w:rPr>
        <w:t>Macroeconomics”</w:t>
      </w:r>
      <w:r w:rsidRPr="003860CE">
        <w:rPr>
          <w:rFonts w:ascii="Times New Roman" w:hAnsi="Times New Roman" w:cs="Times New Roman"/>
          <w:sz w:val="24"/>
          <w:szCs w:val="24"/>
          <w:lang w:val="en-GB"/>
        </w:rPr>
        <w:t>. London: Red Globe Press.</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NERSISYAN, Y., et Wray., L.R., (2019), </w:t>
      </w:r>
      <w:r w:rsidRPr="003860CE">
        <w:rPr>
          <w:rFonts w:ascii="Times New Roman" w:hAnsi="Times New Roman" w:cs="Times New Roman"/>
          <w:i/>
          <w:sz w:val="24"/>
          <w:szCs w:val="24"/>
          <w:lang w:val="en-GB"/>
        </w:rPr>
        <w:t>“How to pay for the Green New Deal”.</w:t>
      </w:r>
      <w:r w:rsidRPr="003860CE">
        <w:rPr>
          <w:rFonts w:ascii="Times New Roman" w:hAnsi="Times New Roman" w:cs="Times New Roman"/>
          <w:sz w:val="24"/>
          <w:szCs w:val="24"/>
          <w:lang w:val="en-GB"/>
        </w:rPr>
        <w:t xml:space="preserve"> </w:t>
      </w:r>
      <w:r w:rsidRPr="003860CE">
        <w:rPr>
          <w:rFonts w:ascii="Times New Roman" w:hAnsi="Times New Roman" w:cs="Times New Roman"/>
          <w:i/>
          <w:sz w:val="24"/>
          <w:szCs w:val="24"/>
          <w:lang w:val="en-GB"/>
        </w:rPr>
        <w:t>Levy Institute Working Paper</w:t>
      </w:r>
      <w:r w:rsidRPr="003860CE">
        <w:rPr>
          <w:rFonts w:ascii="Times New Roman" w:hAnsi="Times New Roman" w:cs="Times New Roman"/>
          <w:sz w:val="24"/>
          <w:szCs w:val="24"/>
          <w:lang w:val="en-GB"/>
        </w:rPr>
        <w:t xml:space="preserve"> No. 931. Annandale-on-Hudson, NY: Levy Economics Institute of Bard College.</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PALLEY, T. I., (2015a), </w:t>
      </w:r>
      <w:r w:rsidRPr="003860CE">
        <w:rPr>
          <w:rFonts w:ascii="Times New Roman" w:hAnsi="Times New Roman" w:cs="Times New Roman"/>
          <w:i/>
          <w:lang w:val="en-GB"/>
        </w:rPr>
        <w:t>“Money, Fiscal Policy, and Interest Rates: A Critique of Modern Money Theory”.</w:t>
      </w:r>
      <w:r w:rsidRPr="003860CE">
        <w:rPr>
          <w:rFonts w:ascii="Times New Roman" w:hAnsi="Times New Roman" w:cs="Times New Roman"/>
          <w:lang w:val="en-GB"/>
        </w:rPr>
        <w:t xml:space="preserve"> </w:t>
      </w:r>
      <w:r w:rsidRPr="003860CE">
        <w:rPr>
          <w:rFonts w:ascii="Times New Roman" w:hAnsi="Times New Roman" w:cs="Times New Roman"/>
          <w:iCs/>
          <w:lang w:val="en-GB"/>
        </w:rPr>
        <w:t>Review of Political Economy</w:t>
      </w:r>
      <w:r w:rsidRPr="003860CE">
        <w:rPr>
          <w:rFonts w:ascii="Times New Roman" w:hAnsi="Times New Roman" w:cs="Times New Roman"/>
          <w:lang w:val="en-GB"/>
        </w:rPr>
        <w:t xml:space="preserve">, 27(1): 1-27. </w:t>
      </w:r>
    </w:p>
    <w:p w:rsidR="008265CE" w:rsidRPr="003860CE" w:rsidRDefault="008265CE" w:rsidP="008265CE">
      <w:pPr>
        <w:pStyle w:val="Default"/>
        <w:jc w:val="both"/>
        <w:rPr>
          <w:rFonts w:ascii="Times New Roman" w:hAnsi="Times New Roman" w:cs="Times New Roman"/>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PALLEY, T. I., (2015b), </w:t>
      </w:r>
      <w:r w:rsidRPr="003860CE">
        <w:rPr>
          <w:rFonts w:ascii="Times New Roman" w:hAnsi="Times New Roman" w:cs="Times New Roman"/>
          <w:i/>
          <w:lang w:val="en-GB"/>
        </w:rPr>
        <w:t>“The Critics of Modern Money Theory (MMT) Are Right”.</w:t>
      </w:r>
      <w:r w:rsidRPr="003860CE">
        <w:rPr>
          <w:rFonts w:ascii="Times New Roman" w:hAnsi="Times New Roman" w:cs="Times New Roman"/>
          <w:lang w:val="en-GB"/>
        </w:rPr>
        <w:t xml:space="preserve"> </w:t>
      </w:r>
      <w:r w:rsidRPr="003860CE">
        <w:rPr>
          <w:rFonts w:ascii="Times New Roman" w:hAnsi="Times New Roman" w:cs="Times New Roman"/>
          <w:iCs/>
          <w:lang w:val="en-GB"/>
        </w:rPr>
        <w:t>Review of Political Economy</w:t>
      </w:r>
      <w:r w:rsidRPr="003860CE">
        <w:rPr>
          <w:rFonts w:ascii="Times New Roman" w:hAnsi="Times New Roman" w:cs="Times New Roman"/>
          <w:lang w:val="en-GB"/>
        </w:rPr>
        <w:t xml:space="preserve">, 27(1): 45-61. </w:t>
      </w:r>
    </w:p>
    <w:p w:rsidR="008265CE" w:rsidRPr="003860CE" w:rsidRDefault="008265CE" w:rsidP="008265CE">
      <w:pPr>
        <w:pStyle w:val="Default"/>
        <w:jc w:val="both"/>
        <w:rPr>
          <w:rFonts w:ascii="Times New Roman" w:hAnsi="Times New Roman" w:cs="Times New Roman"/>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PALLEY, T. I., (2019a), “What’s Wrong with Modern Money Theory (MMT): A Critical Primer.” FMM Working Paper No. 44, Institute for Macroeconomics, Dusseldorf, Germany, March.</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PALLEY, T. I., (2019b), </w:t>
      </w:r>
      <w:r w:rsidRPr="003860CE">
        <w:rPr>
          <w:rFonts w:ascii="Times New Roman" w:hAnsi="Times New Roman" w:cs="Times New Roman"/>
          <w:i/>
          <w:lang w:val="en-GB"/>
        </w:rPr>
        <w:t>“</w:t>
      </w:r>
      <w:r w:rsidRPr="003860CE">
        <w:rPr>
          <w:rFonts w:ascii="Times New Roman" w:hAnsi="Times New Roman" w:cs="Times New Roman"/>
          <w:bCs/>
          <w:i/>
          <w:lang w:val="en-GB"/>
        </w:rPr>
        <w:t>Macroeconomics vs. modern money theory: some unpleasant Keynesian arithmetic and monetary dynamics</w:t>
      </w:r>
      <w:r w:rsidRPr="003860CE">
        <w:rPr>
          <w:rFonts w:ascii="Times New Roman" w:hAnsi="Times New Roman" w:cs="Times New Roman"/>
          <w:i/>
          <w:lang w:val="en-GB"/>
        </w:rPr>
        <w:t>”.</w:t>
      </w:r>
      <w:r w:rsidRPr="003860CE">
        <w:rPr>
          <w:rFonts w:ascii="Times New Roman" w:hAnsi="Times New Roman" w:cs="Times New Roman"/>
          <w:lang w:val="en-GB"/>
        </w:rPr>
        <w:t xml:space="preserve"> </w:t>
      </w:r>
      <w:r w:rsidRPr="003860CE">
        <w:rPr>
          <w:rFonts w:ascii="Times New Roman" w:hAnsi="Times New Roman" w:cs="Times New Roman"/>
          <w:iCs/>
          <w:lang w:val="en-GB"/>
        </w:rPr>
        <w:t>Real-World Economics</w:t>
      </w:r>
      <w:r w:rsidRPr="003860CE">
        <w:rPr>
          <w:rFonts w:ascii="Times New Roman" w:hAnsi="Times New Roman" w:cs="Times New Roman"/>
          <w:lang w:val="en-GB"/>
        </w:rPr>
        <w:t xml:space="preserve">, 89. </w:t>
      </w:r>
    </w:p>
    <w:p w:rsidR="008265CE" w:rsidRPr="003860CE" w:rsidRDefault="008265CE" w:rsidP="008265CE">
      <w:pPr>
        <w:pStyle w:val="Titre1"/>
        <w:jc w:val="both"/>
        <w:rPr>
          <w:b w:val="0"/>
          <w:sz w:val="24"/>
          <w:szCs w:val="24"/>
          <w:lang w:val="en-GB"/>
        </w:rPr>
      </w:pPr>
      <w:r w:rsidRPr="003860CE">
        <w:rPr>
          <w:b w:val="0"/>
          <w:sz w:val="24"/>
          <w:szCs w:val="24"/>
          <w:lang w:val="en-GB"/>
        </w:rPr>
        <w:t xml:space="preserve">PALLEY, T. I., (2020), </w:t>
      </w:r>
      <w:r w:rsidRPr="003860CE">
        <w:rPr>
          <w:b w:val="0"/>
          <w:i/>
          <w:sz w:val="24"/>
          <w:szCs w:val="24"/>
          <w:lang w:val="en-GB"/>
        </w:rPr>
        <w:t>“What's wrong with Modern Money Theory: macro and political economic restraints on deficit-financed fiscal policy”</w:t>
      </w:r>
      <w:r w:rsidRPr="003860CE">
        <w:rPr>
          <w:b w:val="0"/>
          <w:sz w:val="24"/>
          <w:szCs w:val="24"/>
          <w:lang w:val="en-GB"/>
        </w:rPr>
        <w:t>. Review of Keynesian Economics, vol. 8 (4)</w:t>
      </w:r>
    </w:p>
    <w:p w:rsidR="008265CE" w:rsidRPr="003860CE" w:rsidRDefault="008265CE" w:rsidP="008265CE">
      <w:pPr>
        <w:pStyle w:val="Titre1"/>
        <w:jc w:val="both"/>
        <w:rPr>
          <w:b w:val="0"/>
          <w:sz w:val="24"/>
          <w:szCs w:val="24"/>
          <w:lang w:val="en-GB"/>
        </w:rPr>
      </w:pPr>
      <w:r w:rsidRPr="003860CE">
        <w:rPr>
          <w:b w:val="0"/>
          <w:sz w:val="24"/>
          <w:szCs w:val="24"/>
          <w:lang w:val="en-GB"/>
        </w:rPr>
        <w:lastRenderedPageBreak/>
        <w:t xml:space="preserve">PEW RESEARCH CENTER, (2019), </w:t>
      </w:r>
      <w:r w:rsidRPr="003860CE">
        <w:rPr>
          <w:b w:val="0"/>
          <w:i/>
          <w:sz w:val="24"/>
          <w:szCs w:val="24"/>
          <w:lang w:val="en-GB"/>
        </w:rPr>
        <w:t>“Public’s 2019 Priorities: Economy, Health Care, Education and Security All Near Top of List”</w:t>
      </w:r>
      <w:r w:rsidRPr="003860CE">
        <w:rPr>
          <w:b w:val="0"/>
          <w:sz w:val="24"/>
          <w:szCs w:val="24"/>
          <w:lang w:val="en-GB"/>
        </w:rPr>
        <w:t>. January 24, 2019.</w:t>
      </w:r>
    </w:p>
    <w:p w:rsidR="008265CE" w:rsidRPr="003860CE" w:rsidRDefault="008265CE" w:rsidP="008265CE">
      <w:pPr>
        <w:pStyle w:val="Default"/>
        <w:jc w:val="both"/>
        <w:rPr>
          <w:rFonts w:ascii="Times New Roman" w:hAnsi="Times New Roman" w:cs="Times New Roman"/>
          <w:lang w:val="en-GB"/>
        </w:rPr>
      </w:pPr>
      <w:r w:rsidRPr="003860CE">
        <w:rPr>
          <w:rFonts w:ascii="Times New Roman" w:hAnsi="Times New Roman" w:cs="Times New Roman"/>
          <w:lang w:val="en-GB"/>
        </w:rPr>
        <w:t xml:space="preserve">ROGOFF, K., (2019), </w:t>
      </w:r>
      <w:r w:rsidRPr="003860CE">
        <w:rPr>
          <w:rFonts w:ascii="Times New Roman" w:hAnsi="Times New Roman" w:cs="Times New Roman"/>
          <w:i/>
          <w:lang w:val="en-GB"/>
        </w:rPr>
        <w:t>“Modern monetary nonsense”.</w:t>
      </w:r>
      <w:r w:rsidRPr="003860CE">
        <w:rPr>
          <w:rFonts w:ascii="Times New Roman" w:hAnsi="Times New Roman" w:cs="Times New Roman"/>
          <w:lang w:val="en-GB"/>
        </w:rPr>
        <w:t xml:space="preserve"> </w:t>
      </w:r>
      <w:r w:rsidRPr="003860CE">
        <w:rPr>
          <w:rFonts w:ascii="Times New Roman" w:hAnsi="Times New Roman" w:cs="Times New Roman"/>
          <w:iCs/>
          <w:lang w:val="en-GB"/>
        </w:rPr>
        <w:t>Project Syndicate</w:t>
      </w:r>
      <w:r w:rsidRPr="003860CE">
        <w:rPr>
          <w:rFonts w:ascii="Times New Roman" w:hAnsi="Times New Roman" w:cs="Times New Roman"/>
          <w:lang w:val="en-GB"/>
        </w:rPr>
        <w:t>.</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RUML, B., (1946), </w:t>
      </w:r>
      <w:r w:rsidRPr="003860CE">
        <w:rPr>
          <w:rFonts w:ascii="Times New Roman" w:hAnsi="Times New Roman" w:cs="Times New Roman"/>
          <w:i/>
          <w:sz w:val="24"/>
          <w:szCs w:val="24"/>
          <w:lang w:val="en-GB"/>
        </w:rPr>
        <w:t>“Taxes for revenue are obsolete”,</w:t>
      </w:r>
      <w:r w:rsidRPr="003860CE">
        <w:rPr>
          <w:rFonts w:ascii="Times New Roman" w:hAnsi="Times New Roman" w:cs="Times New Roman"/>
          <w:sz w:val="24"/>
          <w:szCs w:val="24"/>
          <w:lang w:val="en-GB"/>
        </w:rPr>
        <w:t xml:space="preserve"> </w:t>
      </w:r>
      <w:r w:rsidRPr="003860CE">
        <w:rPr>
          <w:rFonts w:ascii="Times New Roman" w:hAnsi="Times New Roman" w:cs="Times New Roman"/>
          <w:iCs/>
          <w:sz w:val="24"/>
          <w:szCs w:val="24"/>
          <w:lang w:val="en-GB"/>
        </w:rPr>
        <w:t>American Affairs</w:t>
      </w:r>
      <w:r w:rsidRPr="003860CE">
        <w:rPr>
          <w:rFonts w:ascii="Times New Roman" w:hAnsi="Times New Roman" w:cs="Times New Roman"/>
          <w:i/>
          <w:iCs/>
          <w:sz w:val="24"/>
          <w:szCs w:val="24"/>
          <w:lang w:val="en-GB"/>
        </w:rPr>
        <w:t xml:space="preserve"> </w:t>
      </w:r>
      <w:r w:rsidRPr="003860CE">
        <w:rPr>
          <w:rFonts w:ascii="Times New Roman" w:hAnsi="Times New Roman" w:cs="Times New Roman"/>
          <w:sz w:val="24"/>
          <w:szCs w:val="24"/>
          <w:lang w:val="en-GB"/>
        </w:rPr>
        <w:t>8 (1): 35–39.</w:t>
      </w:r>
    </w:p>
    <w:p w:rsidR="008265CE" w:rsidRPr="003860CE" w:rsidRDefault="008265CE" w:rsidP="008265CE">
      <w:pPr>
        <w:pStyle w:val="Titre1"/>
        <w:jc w:val="both"/>
        <w:rPr>
          <w:b w:val="0"/>
          <w:sz w:val="24"/>
          <w:szCs w:val="24"/>
          <w:lang w:val="en-GB"/>
        </w:rPr>
      </w:pPr>
      <w:r w:rsidRPr="003860CE">
        <w:rPr>
          <w:b w:val="0"/>
          <w:sz w:val="24"/>
          <w:szCs w:val="24"/>
          <w:lang w:val="en-GB"/>
        </w:rPr>
        <w:t xml:space="preserve">SHIRAI, S., (2019), </w:t>
      </w:r>
      <w:r w:rsidRPr="003860CE">
        <w:rPr>
          <w:b w:val="0"/>
          <w:i/>
          <w:sz w:val="24"/>
          <w:szCs w:val="24"/>
          <w:lang w:val="en-GB"/>
        </w:rPr>
        <w:t>“Modern money theory and its implementation and challenges: The case of Japan”</w:t>
      </w:r>
      <w:r w:rsidRPr="003860CE">
        <w:rPr>
          <w:b w:val="0"/>
          <w:sz w:val="24"/>
          <w:szCs w:val="24"/>
          <w:lang w:val="en-GB"/>
        </w:rPr>
        <w:t xml:space="preserve">. VoxEu.org. 18 </w:t>
      </w:r>
      <w:proofErr w:type="spellStart"/>
      <w:r w:rsidRPr="003860CE">
        <w:rPr>
          <w:b w:val="0"/>
          <w:sz w:val="24"/>
          <w:szCs w:val="24"/>
          <w:lang w:val="en-GB"/>
        </w:rPr>
        <w:t>Ju</w:t>
      </w:r>
      <w:r>
        <w:rPr>
          <w:b w:val="0"/>
          <w:sz w:val="24"/>
          <w:szCs w:val="24"/>
          <w:lang w:val="en-GB"/>
        </w:rPr>
        <w:t>illet</w:t>
      </w:r>
      <w:proofErr w:type="spellEnd"/>
      <w:r>
        <w:rPr>
          <w:b w:val="0"/>
          <w:sz w:val="24"/>
          <w:szCs w:val="24"/>
          <w:lang w:val="en-GB"/>
        </w:rPr>
        <w:t xml:space="preserve"> </w:t>
      </w:r>
      <w:r w:rsidRPr="003860CE">
        <w:rPr>
          <w:b w:val="0"/>
          <w:sz w:val="24"/>
          <w:szCs w:val="24"/>
          <w:lang w:val="en-GB"/>
        </w:rPr>
        <w:t>2019.</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SUMMERS, L.H., (2019), </w:t>
      </w:r>
      <w:r w:rsidRPr="003860CE">
        <w:rPr>
          <w:rFonts w:ascii="Times New Roman" w:hAnsi="Times New Roman" w:cs="Times New Roman"/>
          <w:i/>
          <w:sz w:val="24"/>
          <w:szCs w:val="24"/>
          <w:lang w:val="en-GB"/>
        </w:rPr>
        <w:t>“The left’s embrace of modern monetary theory is a recipe for disaster”.</w:t>
      </w:r>
      <w:r>
        <w:rPr>
          <w:rFonts w:ascii="Times New Roman" w:hAnsi="Times New Roman" w:cs="Times New Roman"/>
          <w:i/>
          <w:sz w:val="24"/>
          <w:szCs w:val="24"/>
          <w:lang w:val="en-GB"/>
        </w:rPr>
        <w:t xml:space="preserve"> </w:t>
      </w:r>
      <w:r w:rsidRPr="003860CE">
        <w:rPr>
          <w:rFonts w:ascii="Times New Roman" w:hAnsi="Times New Roman" w:cs="Times New Roman"/>
          <w:iCs/>
          <w:sz w:val="24"/>
          <w:szCs w:val="24"/>
          <w:lang w:val="en-GB"/>
        </w:rPr>
        <w:t>Washington Post</w:t>
      </w:r>
      <w:r w:rsidRPr="003860CE">
        <w:rPr>
          <w:rFonts w:ascii="Times New Roman" w:hAnsi="Times New Roman" w:cs="Times New Roman"/>
          <w:sz w:val="24"/>
          <w:szCs w:val="24"/>
          <w:lang w:val="en-GB"/>
        </w:rPr>
        <w:t>, March 4 2019.</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TCHERNEVA, P.R., (2020), “</w:t>
      </w:r>
      <w:r w:rsidRPr="00813822">
        <w:rPr>
          <w:rFonts w:ascii="Times New Roman" w:hAnsi="Times New Roman" w:cs="Times New Roman"/>
          <w:i/>
          <w:iCs/>
          <w:sz w:val="24"/>
          <w:szCs w:val="24"/>
          <w:lang w:val="en-GB"/>
        </w:rPr>
        <w:t>The Case for a Job Guarantee</w:t>
      </w:r>
      <w:r w:rsidRPr="003860CE">
        <w:rPr>
          <w:rFonts w:ascii="Times New Roman" w:hAnsi="Times New Roman" w:cs="Times New Roman"/>
          <w:iCs/>
          <w:sz w:val="24"/>
          <w:szCs w:val="24"/>
          <w:lang w:val="en-GB"/>
        </w:rPr>
        <w:t>”</w:t>
      </w:r>
      <w:r w:rsidRPr="003860CE">
        <w:rPr>
          <w:rFonts w:ascii="Times New Roman" w:hAnsi="Times New Roman" w:cs="Times New Roman"/>
          <w:sz w:val="24"/>
          <w:szCs w:val="24"/>
          <w:lang w:val="en-GB"/>
        </w:rPr>
        <w:t>. Medford: Polity.</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TYMOIGNE, E., (2011), </w:t>
      </w:r>
      <w:r w:rsidRPr="003860CE">
        <w:rPr>
          <w:rFonts w:ascii="Times New Roman" w:hAnsi="Times New Roman" w:cs="Times New Roman"/>
          <w:i/>
          <w:sz w:val="24"/>
          <w:szCs w:val="24"/>
          <w:lang w:val="en-GB"/>
        </w:rPr>
        <w:t>“Financial stability, regulatory buffers, and economic growth after the great recession: Some regulatory implications”</w:t>
      </w:r>
      <w:r w:rsidRPr="003860CE">
        <w:rPr>
          <w:rFonts w:ascii="Times New Roman" w:hAnsi="Times New Roman" w:cs="Times New Roman"/>
          <w:sz w:val="24"/>
          <w:szCs w:val="24"/>
          <w:lang w:val="en-GB"/>
        </w:rPr>
        <w:t xml:space="preserve">. In C.J. Whalen (ed.), </w:t>
      </w:r>
      <w:r w:rsidRPr="003860CE">
        <w:rPr>
          <w:rFonts w:ascii="Times New Roman" w:hAnsi="Times New Roman" w:cs="Times New Roman"/>
          <w:iCs/>
          <w:sz w:val="24"/>
          <w:szCs w:val="24"/>
          <w:lang w:val="en-GB"/>
        </w:rPr>
        <w:t>Financial Instability and Economic Security after the Great Recession</w:t>
      </w:r>
      <w:r w:rsidRPr="003860CE">
        <w:rPr>
          <w:rFonts w:ascii="Times New Roman" w:hAnsi="Times New Roman" w:cs="Times New Roman"/>
          <w:sz w:val="24"/>
          <w:szCs w:val="24"/>
          <w:lang w:val="en-GB"/>
        </w:rPr>
        <w:t>. Northampton: Edward Elgar.</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3860CE">
        <w:rPr>
          <w:rFonts w:ascii="Times New Roman" w:hAnsi="Times New Roman" w:cs="Times New Roman"/>
          <w:sz w:val="24"/>
          <w:szCs w:val="24"/>
          <w:lang w:val="en-GB"/>
        </w:rPr>
        <w:t xml:space="preserve">TYMOIGNE, E., (2021), </w:t>
      </w:r>
      <w:r w:rsidRPr="003860CE">
        <w:rPr>
          <w:rFonts w:ascii="Times New Roman" w:hAnsi="Times New Roman" w:cs="Times New Roman"/>
          <w:i/>
          <w:sz w:val="24"/>
          <w:szCs w:val="24"/>
          <w:lang w:val="en-GB"/>
        </w:rPr>
        <w:t>“</w:t>
      </w:r>
      <w:r w:rsidRPr="003860CE">
        <w:rPr>
          <w:rFonts w:ascii="Times New Roman" w:hAnsi="Times New Roman" w:cs="Times New Roman"/>
          <w:bCs/>
          <w:i/>
          <w:sz w:val="24"/>
          <w:szCs w:val="24"/>
          <w:lang w:val="en-GB"/>
        </w:rPr>
        <w:t>Seven Replies to the Critiques of Modern Money Theory”.</w:t>
      </w:r>
      <w:r w:rsidRPr="003860CE">
        <w:rPr>
          <w:rFonts w:ascii="Times New Roman" w:hAnsi="Times New Roman" w:cs="Times New Roman"/>
          <w:bCs/>
          <w:sz w:val="24"/>
          <w:szCs w:val="24"/>
          <w:lang w:val="en-GB"/>
        </w:rPr>
        <w:t xml:space="preserve"> </w:t>
      </w:r>
      <w:r w:rsidRPr="003860CE">
        <w:rPr>
          <w:rFonts w:ascii="Times New Roman" w:hAnsi="Times New Roman" w:cs="Times New Roman"/>
          <w:sz w:val="24"/>
          <w:szCs w:val="24"/>
          <w:lang w:val="en-GB"/>
        </w:rPr>
        <w:t>Levy Institute Working Paper No. 996. Annandale-on-Hudson, NY: Levy Economics Institute of Bard College.</w:t>
      </w:r>
    </w:p>
    <w:p w:rsidR="008265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617F4C" w:rsidRPr="003860CE" w:rsidRDefault="00617F4C" w:rsidP="00617F4C">
      <w:pPr>
        <w:autoSpaceDE w:val="0"/>
        <w:autoSpaceDN w:val="0"/>
        <w:adjustRightInd w:val="0"/>
        <w:spacing w:after="0" w:line="240" w:lineRule="auto"/>
        <w:jc w:val="both"/>
        <w:rPr>
          <w:rFonts w:ascii="Times New Roman" w:hAnsi="Times New Roman" w:cs="Times New Roman"/>
          <w:sz w:val="24"/>
          <w:szCs w:val="24"/>
          <w:lang w:val="en-GB"/>
        </w:rPr>
      </w:pPr>
      <w:r w:rsidRPr="00617F4C">
        <w:rPr>
          <w:rFonts w:ascii="Times New Roman" w:hAnsi="Times New Roman" w:cs="Times New Roman"/>
          <w:sz w:val="24"/>
          <w:szCs w:val="24"/>
          <w:lang w:val="en-GB"/>
        </w:rPr>
        <w:t xml:space="preserve">TYMOIGNE, E., et WRAY, L.R., (2013), </w:t>
      </w:r>
      <w:r w:rsidRPr="003860CE">
        <w:rPr>
          <w:rFonts w:ascii="Times New Roman" w:hAnsi="Times New Roman" w:cs="Times New Roman"/>
          <w:i/>
          <w:sz w:val="24"/>
          <w:szCs w:val="24"/>
          <w:lang w:val="en-GB"/>
        </w:rPr>
        <w:t>“Modern Money Theory</w:t>
      </w:r>
      <w:r>
        <w:rPr>
          <w:rFonts w:ascii="Times New Roman" w:hAnsi="Times New Roman" w:cs="Times New Roman"/>
          <w:i/>
          <w:sz w:val="24"/>
          <w:szCs w:val="24"/>
          <w:lang w:val="en-GB"/>
        </w:rPr>
        <w:t xml:space="preserve"> 101</w:t>
      </w:r>
      <w:r w:rsidRPr="003860CE">
        <w:rPr>
          <w:rFonts w:ascii="Times New Roman" w:hAnsi="Times New Roman" w:cs="Times New Roman"/>
          <w:i/>
          <w:sz w:val="24"/>
          <w:szCs w:val="24"/>
          <w:lang w:val="en-GB"/>
        </w:rPr>
        <w:t xml:space="preserve">: A reply to </w:t>
      </w:r>
      <w:r>
        <w:rPr>
          <w:rFonts w:ascii="Times New Roman" w:hAnsi="Times New Roman" w:cs="Times New Roman"/>
          <w:i/>
          <w:sz w:val="24"/>
          <w:szCs w:val="24"/>
          <w:lang w:val="en-GB"/>
        </w:rPr>
        <w:t>critics</w:t>
      </w:r>
      <w:r w:rsidRPr="003860CE">
        <w:rPr>
          <w:rFonts w:ascii="Times New Roman" w:hAnsi="Times New Roman" w:cs="Times New Roman"/>
          <w:i/>
          <w:sz w:val="24"/>
          <w:szCs w:val="24"/>
          <w:lang w:val="en-GB"/>
        </w:rPr>
        <w:t>”</w:t>
      </w:r>
      <w:r>
        <w:rPr>
          <w:rFonts w:ascii="Times New Roman" w:hAnsi="Times New Roman" w:cs="Times New Roman"/>
          <w:i/>
          <w:sz w:val="24"/>
          <w:szCs w:val="24"/>
          <w:lang w:val="en-GB"/>
        </w:rPr>
        <w:t>,</w:t>
      </w:r>
      <w:r w:rsidRPr="003860CE">
        <w:rPr>
          <w:rFonts w:ascii="Times New Roman" w:hAnsi="Times New Roman" w:cs="Times New Roman"/>
          <w:sz w:val="24"/>
          <w:szCs w:val="24"/>
          <w:lang w:val="en-GB"/>
        </w:rPr>
        <w:t xml:space="preserve"> </w:t>
      </w:r>
      <w:r w:rsidRPr="00617F4C">
        <w:rPr>
          <w:rFonts w:ascii="Times New Roman" w:hAnsi="Times New Roman" w:cs="Times New Roman"/>
          <w:lang w:val="en-GB"/>
        </w:rPr>
        <w:t>Levy Economics Institute, Working Papers Series No. 778</w:t>
      </w:r>
      <w:r w:rsidRPr="00617F4C">
        <w:rPr>
          <w:rFonts w:ascii="Times New Roman" w:hAnsi="Times New Roman" w:cs="Times New Roman"/>
          <w:sz w:val="24"/>
          <w:szCs w:val="24"/>
          <w:lang w:val="en-GB"/>
        </w:rPr>
        <w:t>.</w:t>
      </w:r>
    </w:p>
    <w:p w:rsidR="00617F4C" w:rsidRPr="003860CE" w:rsidRDefault="00617F4C"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r w:rsidRPr="00617F4C">
        <w:rPr>
          <w:rFonts w:ascii="Times New Roman" w:hAnsi="Times New Roman" w:cs="Times New Roman"/>
          <w:sz w:val="24"/>
          <w:szCs w:val="24"/>
          <w:lang w:val="en-GB"/>
        </w:rPr>
        <w:t>TYMOIGNE, E., et WRAY, L.R., (2015)</w:t>
      </w:r>
      <w:r w:rsidR="00617F4C" w:rsidRPr="00617F4C">
        <w:rPr>
          <w:rFonts w:ascii="Times New Roman" w:hAnsi="Times New Roman" w:cs="Times New Roman"/>
          <w:sz w:val="24"/>
          <w:szCs w:val="24"/>
          <w:lang w:val="en-GB"/>
        </w:rPr>
        <w:t>,</w:t>
      </w:r>
      <w:r w:rsidRPr="00617F4C">
        <w:rPr>
          <w:rFonts w:ascii="Times New Roman" w:hAnsi="Times New Roman" w:cs="Times New Roman"/>
          <w:sz w:val="24"/>
          <w:szCs w:val="24"/>
          <w:lang w:val="en-GB"/>
        </w:rPr>
        <w:t xml:space="preserve"> </w:t>
      </w:r>
      <w:r w:rsidRPr="003860CE">
        <w:rPr>
          <w:rFonts w:ascii="Times New Roman" w:hAnsi="Times New Roman" w:cs="Times New Roman"/>
          <w:i/>
          <w:sz w:val="24"/>
          <w:szCs w:val="24"/>
          <w:lang w:val="en-GB"/>
        </w:rPr>
        <w:t xml:space="preserve">“Modern Money Theory: A reply to </w:t>
      </w:r>
      <w:proofErr w:type="spellStart"/>
      <w:r w:rsidRPr="003860CE">
        <w:rPr>
          <w:rFonts w:ascii="Times New Roman" w:hAnsi="Times New Roman" w:cs="Times New Roman"/>
          <w:i/>
          <w:sz w:val="24"/>
          <w:szCs w:val="24"/>
          <w:lang w:val="en-GB"/>
        </w:rPr>
        <w:t>Palley</w:t>
      </w:r>
      <w:proofErr w:type="spellEnd"/>
      <w:r w:rsidRPr="003860CE">
        <w:rPr>
          <w:rFonts w:ascii="Times New Roman" w:hAnsi="Times New Roman" w:cs="Times New Roman"/>
          <w:i/>
          <w:sz w:val="24"/>
          <w:szCs w:val="24"/>
          <w:lang w:val="en-GB"/>
        </w:rPr>
        <w:t>.”</w:t>
      </w:r>
      <w:r w:rsidRPr="003860CE">
        <w:rPr>
          <w:rFonts w:ascii="Times New Roman" w:hAnsi="Times New Roman" w:cs="Times New Roman"/>
          <w:sz w:val="24"/>
          <w:szCs w:val="24"/>
          <w:lang w:val="en-GB"/>
        </w:rPr>
        <w:t xml:space="preserve"> </w:t>
      </w:r>
      <w:r w:rsidRPr="003860CE">
        <w:rPr>
          <w:rFonts w:ascii="Times New Roman" w:hAnsi="Times New Roman" w:cs="Times New Roman"/>
          <w:iCs/>
          <w:sz w:val="24"/>
          <w:szCs w:val="24"/>
          <w:lang w:val="en-GB"/>
        </w:rPr>
        <w:t>Review of Political Economy</w:t>
      </w:r>
      <w:r w:rsidRPr="003860CE">
        <w:rPr>
          <w:rFonts w:ascii="Times New Roman" w:hAnsi="Times New Roman" w:cs="Times New Roman"/>
          <w:i/>
          <w:iCs/>
          <w:sz w:val="24"/>
          <w:szCs w:val="24"/>
          <w:lang w:val="en-GB"/>
        </w:rPr>
        <w:t xml:space="preserve"> </w:t>
      </w:r>
      <w:r w:rsidRPr="003860CE">
        <w:rPr>
          <w:rFonts w:ascii="Times New Roman" w:hAnsi="Times New Roman" w:cs="Times New Roman"/>
          <w:sz w:val="24"/>
          <w:szCs w:val="24"/>
          <w:lang w:val="en-GB"/>
        </w:rPr>
        <w:t>27 (1):24–44.</w:t>
      </w:r>
    </w:p>
    <w:p w:rsidR="008265CE" w:rsidRPr="003860CE" w:rsidRDefault="008265CE" w:rsidP="008265CE">
      <w:pPr>
        <w:autoSpaceDE w:val="0"/>
        <w:autoSpaceDN w:val="0"/>
        <w:adjustRightInd w:val="0"/>
        <w:spacing w:after="0" w:line="240" w:lineRule="auto"/>
        <w:jc w:val="both"/>
        <w:rPr>
          <w:rFonts w:ascii="Times New Roman" w:hAnsi="Times New Roman" w:cs="Times New Roman"/>
          <w:sz w:val="24"/>
          <w:szCs w:val="24"/>
          <w:lang w:val="en-GB"/>
        </w:rPr>
      </w:pPr>
    </w:p>
    <w:p w:rsidR="008265CE" w:rsidRPr="00813822" w:rsidRDefault="008265CE" w:rsidP="008265CE">
      <w:pPr>
        <w:autoSpaceDE w:val="0"/>
        <w:autoSpaceDN w:val="0"/>
        <w:adjustRightInd w:val="0"/>
        <w:spacing w:after="0" w:line="240" w:lineRule="auto"/>
        <w:jc w:val="both"/>
        <w:rPr>
          <w:sz w:val="24"/>
          <w:szCs w:val="24"/>
          <w:lang w:val="en-GB"/>
        </w:rPr>
      </w:pPr>
      <w:r w:rsidRPr="003860CE">
        <w:rPr>
          <w:rFonts w:ascii="Times New Roman" w:hAnsi="Times New Roman" w:cs="Times New Roman"/>
          <w:sz w:val="24"/>
          <w:szCs w:val="24"/>
          <w:lang w:val="en-GB"/>
        </w:rPr>
        <w:t>VERNENGO, M., et CALDENTEY, P.E., (2020), “</w:t>
      </w:r>
      <w:r w:rsidRPr="003860CE">
        <w:rPr>
          <w:rFonts w:ascii="Times New Roman" w:hAnsi="Times New Roman" w:cs="Times New Roman"/>
          <w:i/>
          <w:sz w:val="24"/>
          <w:szCs w:val="24"/>
          <w:lang w:val="en-GB"/>
        </w:rPr>
        <w:t>Modern Money Theory (MMT) in the Tropics:</w:t>
      </w:r>
      <w:r>
        <w:rPr>
          <w:rFonts w:ascii="Times New Roman" w:hAnsi="Times New Roman" w:cs="Times New Roman"/>
          <w:i/>
          <w:sz w:val="24"/>
          <w:szCs w:val="24"/>
          <w:lang w:val="en-GB"/>
        </w:rPr>
        <w:t xml:space="preserve"> </w:t>
      </w:r>
      <w:r w:rsidRPr="003860CE">
        <w:rPr>
          <w:rFonts w:ascii="Times New Roman" w:hAnsi="Times New Roman" w:cs="Times New Roman"/>
          <w:i/>
          <w:sz w:val="24"/>
          <w:szCs w:val="24"/>
          <w:lang w:val="en-GB"/>
        </w:rPr>
        <w:t>Functional finance in developing countries.</w:t>
      </w:r>
      <w:r w:rsidRPr="003860CE">
        <w:rPr>
          <w:rFonts w:ascii="Times New Roman" w:hAnsi="Times New Roman" w:cs="Times New Roman"/>
          <w:sz w:val="24"/>
          <w:szCs w:val="24"/>
          <w:lang w:val="en-GB"/>
        </w:rPr>
        <w:t xml:space="preserve">” </w:t>
      </w:r>
      <w:r w:rsidRPr="00813822">
        <w:rPr>
          <w:rFonts w:ascii="Times New Roman" w:hAnsi="Times New Roman" w:cs="Times New Roman"/>
          <w:iCs/>
          <w:sz w:val="24"/>
          <w:szCs w:val="24"/>
          <w:lang w:val="en-GB"/>
        </w:rPr>
        <w:t>Challenge</w:t>
      </w:r>
      <w:r w:rsidRPr="00813822">
        <w:rPr>
          <w:rFonts w:ascii="Times New Roman" w:hAnsi="Times New Roman" w:cs="Times New Roman"/>
          <w:i/>
          <w:iCs/>
          <w:sz w:val="24"/>
          <w:szCs w:val="24"/>
          <w:lang w:val="en-GB"/>
        </w:rPr>
        <w:t xml:space="preserve"> </w:t>
      </w:r>
      <w:r w:rsidRPr="00813822">
        <w:rPr>
          <w:rFonts w:ascii="Times New Roman" w:hAnsi="Times New Roman" w:cs="Times New Roman"/>
          <w:sz w:val="24"/>
          <w:szCs w:val="24"/>
          <w:lang w:val="en-GB"/>
        </w:rPr>
        <w:t>63 (6): 332–48.</w:t>
      </w:r>
    </w:p>
    <w:p w:rsidR="008265CE" w:rsidRPr="00813822" w:rsidRDefault="008265CE" w:rsidP="008265CE">
      <w:pPr>
        <w:ind w:firstLine="360"/>
        <w:jc w:val="both"/>
        <w:rPr>
          <w:rFonts w:ascii="Times New Roman" w:hAnsi="Times New Roman" w:cs="Times New Roman"/>
          <w:b/>
          <w:sz w:val="24"/>
          <w:szCs w:val="24"/>
          <w:lang w:val="en-GB"/>
        </w:rPr>
      </w:pPr>
    </w:p>
    <w:p w:rsidR="008265CE" w:rsidRDefault="008265CE" w:rsidP="008265CE"/>
    <w:p w:rsidR="006E7443" w:rsidRDefault="006503FC"/>
    <w:sectPr w:rsidR="006E74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3FC" w:rsidRDefault="006503FC" w:rsidP="008265CE">
      <w:pPr>
        <w:spacing w:after="0" w:line="240" w:lineRule="auto"/>
      </w:pPr>
      <w:r>
        <w:separator/>
      </w:r>
    </w:p>
  </w:endnote>
  <w:endnote w:type="continuationSeparator" w:id="0">
    <w:p w:rsidR="006503FC" w:rsidRDefault="006503FC" w:rsidP="008265CE">
      <w:pPr>
        <w:spacing w:after="0" w:line="240" w:lineRule="auto"/>
      </w:pPr>
      <w:r>
        <w:continuationSeparator/>
      </w:r>
    </w:p>
  </w:endnote>
  <w:endnote w:id="1">
    <w:p w:rsidR="008265CE" w:rsidRPr="00484C46" w:rsidRDefault="008265CE" w:rsidP="008265CE">
      <w:pPr>
        <w:pStyle w:val="Notedefin"/>
        <w:jc w:val="both"/>
        <w:rPr>
          <w:rFonts w:ascii="Times New Roman" w:hAnsi="Times New Roman" w:cs="Times New Roman"/>
        </w:rPr>
      </w:pPr>
      <w:r>
        <w:rPr>
          <w:rStyle w:val="Appeldenotedefin"/>
        </w:rPr>
        <w:endnoteRef/>
      </w:r>
      <w:r>
        <w:t xml:space="preserve"> </w:t>
      </w:r>
      <w:r w:rsidRPr="00484C46">
        <w:rPr>
          <w:rFonts w:ascii="Times New Roman" w:hAnsi="Times New Roman" w:cs="Times New Roman"/>
        </w:rPr>
        <w:t xml:space="preserve">Cette remise en cause s’est traduite par un changement de stratégie de politique monétaire aux Etats-Unis et dans la zone euro </w:t>
      </w:r>
      <w:r>
        <w:rPr>
          <w:rFonts w:ascii="Times New Roman" w:hAnsi="Times New Roman" w:cs="Times New Roman"/>
        </w:rPr>
        <w:t>avec une lecture plus souple de la cible des 2%.</w:t>
      </w:r>
      <w:r w:rsidRPr="00484C46">
        <w:rPr>
          <w:rFonts w:ascii="Times New Roman" w:hAnsi="Times New Roman" w:cs="Times New Roman"/>
        </w:rPr>
        <w:t> </w:t>
      </w:r>
    </w:p>
  </w:endnote>
  <w:endnote w:id="2">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Plus précisément, la TMM repose sur deux piliers. Le premier concerne la vision </w:t>
      </w:r>
      <w:r w:rsidRPr="00484C46">
        <w:rPr>
          <w:rFonts w:ascii="Times New Roman" w:hAnsi="Times New Roman" w:cs="Times New Roman"/>
        </w:rPr>
        <w:t>chartaliste de la monnaie développée par Knapp (1924) selon laquelle la monnaie est une « créature de l’Etat » et non un simple moyen d’échange comme le suggère la théorie orthodoxe. Le second pilier est celui de la finance fonctionnelle de Lerner (1943) stipulant que l’équilibre budgétaire du gouvernement n’est pas nécessaire et que les dépenses gouvernementales peuvent être déconnectées des taxes et les précéder (« </w:t>
      </w:r>
      <w:r w:rsidRPr="00484C46">
        <w:rPr>
          <w:rFonts w:ascii="Times New Roman" w:hAnsi="Times New Roman" w:cs="Times New Roman"/>
          <w:i/>
        </w:rPr>
        <w:t>Spend first</w:t>
      </w:r>
      <w:r w:rsidRPr="00484C46">
        <w:rPr>
          <w:rFonts w:ascii="Times New Roman" w:hAnsi="Times New Roman" w:cs="Times New Roman"/>
        </w:rPr>
        <w:t> »). Ce principe se rapproche du point de vue de Minsky établissant une correspondance entre la situation financière du secteur public et celle du secteur privé : le déficit du premier répond nécessairement à l’excédent du deuxième.</w:t>
      </w:r>
    </w:p>
  </w:endnote>
  <w:endnote w:id="3">
    <w:p w:rsidR="008265CE" w:rsidRPr="00143988"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143988">
        <w:rPr>
          <w:rFonts w:ascii="Times New Roman" w:hAnsi="Times New Roman" w:cs="Times New Roman"/>
        </w:rPr>
        <w:t xml:space="preserve"> </w:t>
      </w:r>
      <w:r w:rsidRPr="00484C46">
        <w:rPr>
          <w:rFonts w:ascii="Times New Roman" w:hAnsi="Times New Roman" w:cs="Times New Roman"/>
        </w:rPr>
        <w:t xml:space="preserve">A partir d’une recherche sur </w:t>
      </w:r>
      <w:r w:rsidRPr="00484C46">
        <w:rPr>
          <w:rFonts w:ascii="Times New Roman" w:hAnsi="Times New Roman" w:cs="Times New Roman"/>
          <w:i/>
        </w:rPr>
        <w:t>Google Scholar,</w:t>
      </w:r>
      <w:r w:rsidRPr="00484C46">
        <w:rPr>
          <w:rFonts w:ascii="Times New Roman" w:hAnsi="Times New Roman" w:cs="Times New Roman"/>
        </w:rPr>
        <w:t xml:space="preserve"> on recense 3510 résultats associés à la recherche « </w:t>
      </w:r>
      <w:r w:rsidRPr="00484C46">
        <w:rPr>
          <w:rFonts w:ascii="Times New Roman" w:hAnsi="Times New Roman" w:cs="Times New Roman"/>
          <w:i/>
        </w:rPr>
        <w:t xml:space="preserve">Modern </w:t>
      </w:r>
      <w:r w:rsidRPr="00484C46">
        <w:rPr>
          <w:rFonts w:ascii="Times New Roman" w:hAnsi="Times New Roman" w:cs="Times New Roman"/>
          <w:i/>
        </w:rPr>
        <w:t>Monetary Theory</w:t>
      </w:r>
      <w:r w:rsidRPr="00484C46">
        <w:rPr>
          <w:rFonts w:ascii="Times New Roman" w:hAnsi="Times New Roman" w:cs="Times New Roman"/>
        </w:rPr>
        <w:t xml:space="preserve"> » entre </w:t>
      </w:r>
      <w:r>
        <w:rPr>
          <w:rFonts w:ascii="Times New Roman" w:hAnsi="Times New Roman" w:cs="Times New Roman"/>
        </w:rPr>
        <w:t>2</w:t>
      </w:r>
      <w:r w:rsidRPr="00484C46">
        <w:rPr>
          <w:rFonts w:ascii="Times New Roman" w:hAnsi="Times New Roman" w:cs="Times New Roman"/>
        </w:rPr>
        <w:t>009 et 20</w:t>
      </w:r>
      <w:r>
        <w:rPr>
          <w:rFonts w:ascii="Times New Roman" w:hAnsi="Times New Roman" w:cs="Times New Roman"/>
        </w:rPr>
        <w:t>2</w:t>
      </w:r>
      <w:r w:rsidRPr="00484C46">
        <w:rPr>
          <w:rFonts w:ascii="Times New Roman" w:hAnsi="Times New Roman" w:cs="Times New Roman"/>
        </w:rPr>
        <w:t>1. Un quart de ces références sont concentrées sur la seule année 2021.</w:t>
      </w:r>
      <w:r>
        <w:rPr>
          <w:rFonts w:ascii="Times New Roman" w:hAnsi="Times New Roman" w:cs="Times New Roman"/>
        </w:rPr>
        <w:t xml:space="preserve"> </w:t>
      </w:r>
      <w:r w:rsidRPr="00143988">
        <w:rPr>
          <w:rFonts w:ascii="Times New Roman" w:hAnsi="Times New Roman" w:cs="Times New Roman"/>
        </w:rPr>
        <w:t>Les contributions se retro</w:t>
      </w:r>
      <w:r>
        <w:rPr>
          <w:rFonts w:ascii="Times New Roman" w:hAnsi="Times New Roman" w:cs="Times New Roman"/>
        </w:rPr>
        <w:t>uvent essentiellement dans des revues comme</w:t>
      </w:r>
      <w:r w:rsidRPr="00143988">
        <w:rPr>
          <w:rFonts w:ascii="Times New Roman" w:hAnsi="Times New Roman" w:cs="Times New Roman"/>
        </w:rPr>
        <w:t xml:space="preserve"> </w:t>
      </w:r>
      <w:r w:rsidRPr="00143988">
        <w:rPr>
          <w:rFonts w:ascii="Times New Roman" w:hAnsi="Times New Roman" w:cs="Times New Roman"/>
          <w:i/>
        </w:rPr>
        <w:t xml:space="preserve">Review of Keynesian Economics, Journal of Post-Keynesian Economics, Review of Political Economy </w:t>
      </w:r>
      <w:r w:rsidRPr="00143988">
        <w:rPr>
          <w:rFonts w:ascii="Times New Roman" w:hAnsi="Times New Roman" w:cs="Times New Roman"/>
        </w:rPr>
        <w:t>ou</w:t>
      </w:r>
      <w:r w:rsidRPr="00143988">
        <w:rPr>
          <w:rFonts w:ascii="Times New Roman" w:hAnsi="Times New Roman" w:cs="Times New Roman"/>
          <w:i/>
        </w:rPr>
        <w:t xml:space="preserve"> International Journal </w:t>
      </w:r>
      <w:r w:rsidRPr="00143988">
        <w:rPr>
          <w:rFonts w:ascii="Times New Roman" w:hAnsi="Times New Roman" w:cs="Times New Roman"/>
        </w:rPr>
        <w:t>of</w:t>
      </w:r>
      <w:r w:rsidRPr="00143988">
        <w:rPr>
          <w:rFonts w:ascii="Times New Roman" w:hAnsi="Times New Roman" w:cs="Times New Roman"/>
          <w:i/>
        </w:rPr>
        <w:t xml:space="preserve"> Political Economy.</w:t>
      </w:r>
    </w:p>
  </w:endnote>
  <w:endnote w:id="4">
    <w:p w:rsidR="008265CE" w:rsidRPr="00484C46" w:rsidRDefault="008265CE" w:rsidP="008265CE">
      <w:pPr>
        <w:pStyle w:val="Notedebasdepage"/>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Krugman (2019) dans le </w:t>
      </w:r>
      <w:r w:rsidRPr="00484C46">
        <w:rPr>
          <w:rFonts w:ascii="Times New Roman" w:hAnsi="Times New Roman" w:cs="Times New Roman"/>
          <w:i/>
        </w:rPr>
        <w:t>New York Times</w:t>
      </w:r>
      <w:r w:rsidRPr="00484C46">
        <w:rPr>
          <w:rFonts w:ascii="Times New Roman" w:hAnsi="Times New Roman" w:cs="Times New Roman"/>
        </w:rPr>
        <w:t xml:space="preserve"> ou Summers (2019) dans le </w:t>
      </w:r>
      <w:r w:rsidRPr="00484C46">
        <w:rPr>
          <w:rFonts w:ascii="Times New Roman" w:hAnsi="Times New Roman" w:cs="Times New Roman"/>
          <w:i/>
        </w:rPr>
        <w:t>Washington Post</w:t>
      </w:r>
      <w:r w:rsidRPr="00484C46">
        <w:rPr>
          <w:rFonts w:ascii="Times New Roman" w:hAnsi="Times New Roman" w:cs="Times New Roman"/>
        </w:rPr>
        <w:t>.</w:t>
      </w:r>
    </w:p>
  </w:endnote>
  <w:endnote w:id="5">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Mankiw (2019) lors de la réunion annuelle de l’</w:t>
      </w:r>
      <w:r w:rsidRPr="00484C46">
        <w:rPr>
          <w:rFonts w:ascii="Times New Roman" w:hAnsi="Times New Roman" w:cs="Times New Roman"/>
          <w:i/>
        </w:rPr>
        <w:t xml:space="preserve">American </w:t>
      </w:r>
      <w:r w:rsidRPr="00484C46">
        <w:rPr>
          <w:rFonts w:ascii="Times New Roman" w:hAnsi="Times New Roman" w:cs="Times New Roman"/>
          <w:i/>
        </w:rPr>
        <w:t xml:space="preserve">Economic Association (AEA) </w:t>
      </w:r>
      <w:r w:rsidRPr="00484C46">
        <w:rPr>
          <w:rFonts w:ascii="Times New Roman" w:hAnsi="Times New Roman" w:cs="Times New Roman"/>
        </w:rPr>
        <w:t>de janvier 2020 dans une session intitulée « </w:t>
      </w:r>
      <w:r w:rsidRPr="00484C46">
        <w:rPr>
          <w:rFonts w:ascii="Times New Roman" w:hAnsi="Times New Roman" w:cs="Times New Roman"/>
          <w:i/>
        </w:rPr>
        <w:t>Is united States deficit Policy playing with fire ?</w:t>
      </w:r>
      <w:r w:rsidRPr="00484C46">
        <w:rPr>
          <w:rFonts w:ascii="Times New Roman" w:hAnsi="Times New Roman" w:cs="Times New Roman"/>
        </w:rPr>
        <w:t> ».</w:t>
      </w:r>
    </w:p>
  </w:endnote>
  <w:endnote w:id="6">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le détail du sondage : https://www.igmchicago.org/surveys/modern-monetary-theory/</w:t>
      </w:r>
    </w:p>
  </w:endnote>
  <w:endnote w:id="7">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En mentionnant le soutien financier de Leon Levy et Warren </w:t>
      </w:r>
      <w:r w:rsidRPr="00484C46">
        <w:rPr>
          <w:rFonts w:ascii="Times New Roman" w:hAnsi="Times New Roman" w:cs="Times New Roman"/>
        </w:rPr>
        <w:t xml:space="preserve">Mosler, il l’assimile à un cercle de réflexion. Si la plupart des membres de la TMM appartient au </w:t>
      </w:r>
      <w:r w:rsidRPr="00484C46">
        <w:rPr>
          <w:rFonts w:ascii="Times New Roman" w:hAnsi="Times New Roman" w:cs="Times New Roman"/>
          <w:i/>
        </w:rPr>
        <w:t>Levy Institute</w:t>
      </w:r>
      <w:r w:rsidRPr="00484C46">
        <w:rPr>
          <w:rFonts w:ascii="Times New Roman" w:hAnsi="Times New Roman" w:cs="Times New Roman"/>
        </w:rPr>
        <w:t>, ils occupent simultanément des postes dans des universités en Australie et aux Etats-Unis notamment.  On retrouve également la TMM lors des congrès de l’</w:t>
      </w:r>
      <w:r w:rsidRPr="00484C46">
        <w:rPr>
          <w:rFonts w:ascii="Times New Roman" w:hAnsi="Times New Roman" w:cs="Times New Roman"/>
          <w:i/>
        </w:rPr>
        <w:t>American Economic Association</w:t>
      </w:r>
      <w:r w:rsidRPr="00484C46">
        <w:rPr>
          <w:rFonts w:ascii="Times New Roman" w:hAnsi="Times New Roman" w:cs="Times New Roman"/>
        </w:rPr>
        <w:t>, notamment en 2020 où un panel spécifique lui a été consacré.</w:t>
      </w:r>
    </w:p>
  </w:endnote>
  <w:endnote w:id="8">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Krugman fait référence au « </w:t>
      </w:r>
      <w:r w:rsidRPr="00484C46">
        <w:rPr>
          <w:rFonts w:ascii="Times New Roman" w:hAnsi="Times New Roman" w:cs="Times New Roman"/>
        </w:rPr>
        <w:t>Calvinball », jeu issu de la bande dessinée Calvin et Hobbes aux règles initialement inexistantes et que les participants font évoluer progressivement au cours du jeu.</w:t>
      </w:r>
    </w:p>
  </w:endnote>
  <w:endnote w:id="9">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Ce point qui reprend le concept de finance fonctionnelle de Lerner fait débat au sein des keynésiens. Certains privilégient une approche budgétaire plus contracyclique visant un équilibre </w:t>
      </w:r>
      <w:r>
        <w:rPr>
          <w:rFonts w:ascii="Times New Roman" w:hAnsi="Times New Roman" w:cs="Times New Roman"/>
        </w:rPr>
        <w:t xml:space="preserve">budgétaire </w:t>
      </w:r>
      <w:r w:rsidRPr="00484C46">
        <w:rPr>
          <w:rFonts w:ascii="Times New Roman" w:hAnsi="Times New Roman" w:cs="Times New Roman"/>
        </w:rPr>
        <w:t>à l’échelle d</w:t>
      </w:r>
      <w:r>
        <w:rPr>
          <w:rFonts w:ascii="Times New Roman" w:hAnsi="Times New Roman" w:cs="Times New Roman"/>
        </w:rPr>
        <w:t xml:space="preserve">u </w:t>
      </w:r>
      <w:r w:rsidRPr="00484C46">
        <w:rPr>
          <w:rFonts w:ascii="Times New Roman" w:hAnsi="Times New Roman" w:cs="Times New Roman"/>
        </w:rPr>
        <w:t>cycle.</w:t>
      </w:r>
    </w:p>
  </w:endnote>
  <w:endnote w:id="10">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plus précisément </w:t>
      </w:r>
      <w:r w:rsidRPr="00484C46">
        <w:rPr>
          <w:rFonts w:ascii="Times New Roman" w:hAnsi="Times New Roman" w:cs="Times New Roman"/>
        </w:rPr>
        <w:t xml:space="preserve">Galvin et Healy (2019) pour un </w:t>
      </w:r>
      <w:r w:rsidRPr="00517027">
        <w:rPr>
          <w:rFonts w:ascii="Times New Roman" w:hAnsi="Times New Roman" w:cs="Times New Roman"/>
          <w:i/>
        </w:rPr>
        <w:t>Green New Deal</w:t>
      </w:r>
      <w:r w:rsidRPr="00484C46">
        <w:rPr>
          <w:rFonts w:ascii="Times New Roman" w:hAnsi="Times New Roman" w:cs="Times New Roman"/>
        </w:rPr>
        <w:t xml:space="preserve">, dont le projet est porté par des élus démocrates comme Sanders et Ocasio-Cortez réclamant une conversion du Parti à la TMM. </w:t>
      </w:r>
    </w:p>
  </w:endnote>
  <w:endnote w:id="11">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Toutefois, selon le </w:t>
      </w:r>
      <w:r w:rsidRPr="00484C46">
        <w:rPr>
          <w:rFonts w:ascii="Times New Roman" w:hAnsi="Times New Roman" w:cs="Times New Roman"/>
          <w:i/>
        </w:rPr>
        <w:t xml:space="preserve">PEW </w:t>
      </w:r>
      <w:r w:rsidRPr="00484C46">
        <w:rPr>
          <w:rFonts w:ascii="Times New Roman" w:hAnsi="Times New Roman" w:cs="Times New Roman"/>
          <w:i/>
        </w:rPr>
        <w:t>Research Center</w:t>
      </w:r>
      <w:r w:rsidRPr="00484C46">
        <w:rPr>
          <w:rFonts w:ascii="Times New Roman" w:hAnsi="Times New Roman" w:cs="Times New Roman"/>
        </w:rPr>
        <w:t xml:space="preserve"> (2019), 54% d’électeurs républicains voient la réduction du budget comme une priorité de la politique économique, contre 82% six ans plus tôt.</w:t>
      </w:r>
    </w:p>
  </w:endnote>
  <w:endnote w:id="12">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Le Vice-président américain entre 1981 et 1988, Georges Bush Senior, avait qualifié « d’économie Vaudou » les orientations budgétaires des mandats Reagan. Lawrence Summers a </w:t>
      </w:r>
      <w:r>
        <w:rPr>
          <w:rFonts w:ascii="Times New Roman" w:hAnsi="Times New Roman" w:cs="Times New Roman"/>
        </w:rPr>
        <w:t>repris</w:t>
      </w:r>
      <w:r w:rsidRPr="00484C46">
        <w:rPr>
          <w:rFonts w:ascii="Times New Roman" w:hAnsi="Times New Roman" w:cs="Times New Roman"/>
        </w:rPr>
        <w:t xml:space="preserve"> cette expression au sujet de la TMM.</w:t>
      </w:r>
    </w:p>
  </w:endnote>
  <w:endnote w:id="13">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le site </w:t>
      </w:r>
      <w:hyperlink r:id="rId1" w:history="1">
        <w:r w:rsidRPr="00484C46">
          <w:rPr>
            <w:rStyle w:val="Lienhypertexte"/>
            <w:rFonts w:ascii="Times New Roman" w:hAnsi="Times New Roman" w:cs="Times New Roman"/>
          </w:rPr>
          <w:t>http://presidentialdata.org/</w:t>
        </w:r>
      </w:hyperlink>
      <w:r w:rsidRPr="00484C46">
        <w:rPr>
          <w:rFonts w:ascii="Times New Roman" w:hAnsi="Times New Roman" w:cs="Times New Roman"/>
        </w:rPr>
        <w:t xml:space="preserve"> pour des visualisations à partir des données du </w:t>
      </w:r>
      <w:r w:rsidRPr="00484C46">
        <w:rPr>
          <w:rFonts w:ascii="Times New Roman" w:hAnsi="Times New Roman" w:cs="Times New Roman"/>
          <w:i/>
        </w:rPr>
        <w:t>Congress Budget office</w:t>
      </w:r>
      <w:r w:rsidRPr="00484C46">
        <w:rPr>
          <w:rFonts w:ascii="Times New Roman" w:hAnsi="Times New Roman" w:cs="Times New Roman"/>
        </w:rPr>
        <w:t>.</w:t>
      </w:r>
    </w:p>
  </w:endnote>
  <w:endnote w:id="14">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Lerner (1978) avait bien identifié les risques concernant les anticipations d’inflation et une éventuelle boucle prix-salaire. </w:t>
      </w:r>
      <w:r>
        <w:rPr>
          <w:rFonts w:ascii="Times New Roman" w:hAnsi="Times New Roman" w:cs="Times New Roman"/>
        </w:rPr>
        <w:t>I</w:t>
      </w:r>
      <w:r w:rsidRPr="00484C46">
        <w:rPr>
          <w:rFonts w:ascii="Times New Roman" w:hAnsi="Times New Roman" w:cs="Times New Roman"/>
        </w:rPr>
        <w:t xml:space="preserve">l avait également perçu l’hétérogénéité sectorielle </w:t>
      </w:r>
      <w:r>
        <w:rPr>
          <w:rFonts w:ascii="Times New Roman" w:hAnsi="Times New Roman" w:cs="Times New Roman"/>
        </w:rPr>
        <w:t xml:space="preserve">de l’évolution sectorielle au gré </w:t>
      </w:r>
      <w:r w:rsidRPr="00484C46">
        <w:rPr>
          <w:rFonts w:ascii="Times New Roman" w:hAnsi="Times New Roman" w:cs="Times New Roman"/>
        </w:rPr>
        <w:t>des évolutions de la productivité et des changements de consommation. Ainsi, il a conçu un système permettant de préserver la stabilité des prix moyenne dans l’économie au voisinage du plein emploi en délivrant des permis de hausse de salaire. Plutôt que de contrôler directement les prix et les salaires, le gouvernement a la possibilité de délivrer des permis limitant la hausse des salaires aux gains de productivité. Ces permis s’échangeraient ensuite entre les firmes sur un marché. La TMM ne se réfère curieusement jamais à cet apport de Lerner.</w:t>
      </w:r>
    </w:p>
  </w:endnote>
  <w:endnote w:id="15">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La tradition </w:t>
      </w:r>
      <w:r w:rsidRPr="00484C46">
        <w:rPr>
          <w:rFonts w:ascii="Times New Roman" w:hAnsi="Times New Roman" w:cs="Times New Roman"/>
        </w:rPr>
        <w:t xml:space="preserve">post-keynésienne </w:t>
      </w:r>
      <w:r>
        <w:rPr>
          <w:rFonts w:ascii="Times New Roman" w:hAnsi="Times New Roman" w:cs="Times New Roman"/>
        </w:rPr>
        <w:t>se réfère souvent</w:t>
      </w:r>
      <w:r w:rsidRPr="00484C46">
        <w:rPr>
          <w:rFonts w:ascii="Times New Roman" w:hAnsi="Times New Roman" w:cs="Times New Roman"/>
        </w:rPr>
        <w:t xml:space="preserve"> </w:t>
      </w:r>
      <w:r>
        <w:rPr>
          <w:rFonts w:ascii="Times New Roman" w:hAnsi="Times New Roman" w:cs="Times New Roman"/>
        </w:rPr>
        <w:t xml:space="preserve">à </w:t>
      </w:r>
      <w:r w:rsidRPr="00484C46">
        <w:rPr>
          <w:rFonts w:ascii="Times New Roman" w:hAnsi="Times New Roman" w:cs="Times New Roman"/>
        </w:rPr>
        <w:t>l’approche Kaleckienne</w:t>
      </w:r>
      <w:r>
        <w:rPr>
          <w:rFonts w:ascii="Times New Roman" w:hAnsi="Times New Roman" w:cs="Times New Roman"/>
        </w:rPr>
        <w:t xml:space="preserve"> considérant que</w:t>
      </w:r>
      <w:r w:rsidRPr="00484C46">
        <w:rPr>
          <w:rFonts w:ascii="Times New Roman" w:hAnsi="Times New Roman" w:cs="Times New Roman"/>
        </w:rPr>
        <w:t xml:space="preserve"> la dépense globale dépend de </w:t>
      </w:r>
      <w:r>
        <w:rPr>
          <w:rFonts w:ascii="Times New Roman" w:hAnsi="Times New Roman" w:cs="Times New Roman"/>
        </w:rPr>
        <w:t>la répartition</w:t>
      </w:r>
      <w:r w:rsidRPr="00484C46">
        <w:rPr>
          <w:rFonts w:ascii="Times New Roman" w:hAnsi="Times New Roman" w:cs="Times New Roman"/>
        </w:rPr>
        <w:t xml:space="preserve"> des revenus</w:t>
      </w:r>
      <w:r>
        <w:rPr>
          <w:rFonts w:ascii="Times New Roman" w:hAnsi="Times New Roman" w:cs="Times New Roman"/>
        </w:rPr>
        <w:t xml:space="preserve"> entre capital et travail</w:t>
      </w:r>
      <w:r w:rsidRPr="00484C46">
        <w:rPr>
          <w:rFonts w:ascii="Times New Roman" w:hAnsi="Times New Roman" w:cs="Times New Roman"/>
        </w:rPr>
        <w:t xml:space="preserve"> puisque le travailleur établit sa consommation à partir de son salaire quand le capitaliste dispose d’une capacité d’épargne sur les revenus du capital. La modélisation keynésienne plus usuelle consiste à généraliser une fiscalité sur le revenu global.</w:t>
      </w:r>
    </w:p>
  </w:endnote>
  <w:endnote w:id="16">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Edwards (2019) analyse trois épisodes en Amérique Latine, où une politique proche de celle recommandée par la TMM a été mise en place : Chili (1970-73), Pérou (1985-90) et Venezuela (à partir de 1998). Tous ces épisodes ont conduit à de l’hyperinflation, une récession, des déséquilibres extérieurs et une dépréciation de la monnaie.</w:t>
      </w:r>
    </w:p>
  </w:endnote>
  <w:endnote w:id="17">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Ce pourrait être la stratégie de fonds de pension ayant un horizon </w:t>
      </w:r>
      <w:r>
        <w:rPr>
          <w:rFonts w:ascii="Times New Roman" w:hAnsi="Times New Roman" w:cs="Times New Roman"/>
        </w:rPr>
        <w:t xml:space="preserve">d’investissement </w:t>
      </w:r>
      <w:r w:rsidRPr="00484C46">
        <w:rPr>
          <w:rFonts w:ascii="Times New Roman" w:hAnsi="Times New Roman" w:cs="Times New Roman"/>
        </w:rPr>
        <w:t xml:space="preserve">de long terme. </w:t>
      </w:r>
    </w:p>
  </w:endnote>
  <w:endnote w:id="18">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Les agents économiques doivent conserver des actifs en monnaie domestique pour </w:t>
      </w:r>
      <w:r>
        <w:rPr>
          <w:rFonts w:ascii="Times New Roman" w:hAnsi="Times New Roman" w:cs="Times New Roman"/>
        </w:rPr>
        <w:t>payer</w:t>
      </w:r>
      <w:r w:rsidRPr="00484C46">
        <w:rPr>
          <w:rFonts w:ascii="Times New Roman" w:hAnsi="Times New Roman" w:cs="Times New Roman"/>
        </w:rPr>
        <w:t xml:space="preserve"> les taxes</w:t>
      </w:r>
      <w:r>
        <w:rPr>
          <w:rFonts w:ascii="Times New Roman" w:hAnsi="Times New Roman" w:cs="Times New Roman"/>
        </w:rPr>
        <w:t xml:space="preserve"> au</w:t>
      </w:r>
      <w:r w:rsidRPr="00484C46">
        <w:rPr>
          <w:rFonts w:ascii="Times New Roman" w:hAnsi="Times New Roman" w:cs="Times New Roman"/>
        </w:rPr>
        <w:t xml:space="preserve"> Trésor.</w:t>
      </w:r>
    </w:p>
  </w:endnote>
  <w:endnote w:id="19">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Cette perspective ne correspond pas à la doctrine de Minsky </w:t>
      </w:r>
      <w:r>
        <w:rPr>
          <w:rFonts w:ascii="Times New Roman" w:hAnsi="Times New Roman" w:cs="Times New Roman"/>
        </w:rPr>
        <w:t xml:space="preserve">qui </w:t>
      </w:r>
      <w:r w:rsidRPr="00484C46">
        <w:rPr>
          <w:rFonts w:ascii="Times New Roman" w:hAnsi="Times New Roman" w:cs="Times New Roman"/>
        </w:rPr>
        <w:t>refus</w:t>
      </w:r>
      <w:r>
        <w:rPr>
          <w:rFonts w:ascii="Times New Roman" w:hAnsi="Times New Roman" w:cs="Times New Roman"/>
        </w:rPr>
        <w:t>e</w:t>
      </w:r>
      <w:r w:rsidRPr="00484C46">
        <w:rPr>
          <w:rFonts w:ascii="Times New Roman" w:hAnsi="Times New Roman" w:cs="Times New Roman"/>
        </w:rPr>
        <w:t xml:space="preserve"> les schémas de Ponzi</w:t>
      </w:r>
      <w:r>
        <w:rPr>
          <w:rFonts w:ascii="Times New Roman" w:hAnsi="Times New Roman" w:cs="Times New Roman"/>
        </w:rPr>
        <w:t>.</w:t>
      </w:r>
    </w:p>
  </w:endnote>
  <w:endnote w:id="20">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w:t>
      </w:r>
      <w:r w:rsidRPr="00484C46">
        <w:rPr>
          <w:rFonts w:ascii="Times New Roman" w:hAnsi="Times New Roman" w:cs="Times New Roman"/>
        </w:rPr>
        <w:t>Tymoigne (2021) reconnaît que la demande de crédits immobiliers est sensible au taux d’intérêt.</w:t>
      </w:r>
    </w:p>
  </w:endnote>
  <w:endnote w:id="21">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Pour coller à la réalité, les partisans de la TMM précisent le fonctionnement de son modèle avec une dissociation de la banque centrale et du Trésor. Selon </w:t>
      </w:r>
      <w:r w:rsidRPr="00484C46">
        <w:rPr>
          <w:rFonts w:ascii="Times New Roman" w:hAnsi="Times New Roman" w:cs="Times New Roman"/>
        </w:rPr>
        <w:t>Fullwiler et al. (2012) puis Tymoigne</w:t>
      </w:r>
      <w:r w:rsidR="00391A27">
        <w:rPr>
          <w:rFonts w:ascii="Times New Roman" w:hAnsi="Times New Roman" w:cs="Times New Roman"/>
        </w:rPr>
        <w:t xml:space="preserve"> et Wray</w:t>
      </w:r>
      <w:r w:rsidRPr="00484C46">
        <w:rPr>
          <w:rFonts w:ascii="Times New Roman" w:hAnsi="Times New Roman" w:cs="Times New Roman"/>
        </w:rPr>
        <w:t xml:space="preserve"> (2013) cette variante ne change pas fondamentalement la mécanique monétaire même si elle la rend plus complexe.</w:t>
      </w:r>
    </w:p>
  </w:endnote>
  <w:endnote w:id="22">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w:t>
      </w:r>
      <w:r w:rsidRPr="00484C46">
        <w:rPr>
          <w:rFonts w:ascii="Times New Roman" w:hAnsi="Times New Roman" w:cs="Times New Roman"/>
        </w:rPr>
        <w:t>Bonizzi et al. (2019), Epstein (2019) et Vernengo et Caldentey (2019).</w:t>
      </w:r>
    </w:p>
  </w:endnote>
  <w:endnote w:id="23">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La définition de la souveraineté monétaire pourrait exclure par principe un endettement en monnaie étrangère suggérant que les agents non-résidents souhaitent détenir des actifs en monnaie nationale. Un </w:t>
      </w:r>
      <w:r>
        <w:rPr>
          <w:rFonts w:ascii="Times New Roman" w:hAnsi="Times New Roman" w:cs="Times New Roman"/>
        </w:rPr>
        <w:t xml:space="preserve">autre </w:t>
      </w:r>
      <w:r w:rsidRPr="00484C46">
        <w:rPr>
          <w:rFonts w:ascii="Times New Roman" w:hAnsi="Times New Roman" w:cs="Times New Roman"/>
        </w:rPr>
        <w:t>point de vue « </w:t>
      </w:r>
      <w:r>
        <w:rPr>
          <w:rFonts w:ascii="Times New Roman" w:hAnsi="Times New Roman" w:cs="Times New Roman"/>
        </w:rPr>
        <w:t>extrême</w:t>
      </w:r>
      <w:r w:rsidRPr="00484C46">
        <w:rPr>
          <w:rFonts w:ascii="Times New Roman" w:hAnsi="Times New Roman" w:cs="Times New Roman"/>
        </w:rPr>
        <w:t> » considère que la capacité du gouvernement à générer sans limite de la monnaie lui permet de faire face à ses échéances du paiement de la dette, ce qui implique que les créanciers conservent une confiance indéfectible dans les débiteurs malgré la dépréciation de la monnaie.  Enfin, un point de vue intermédiaire accepte l’idée d’une hiérarchie internationale des monnaies en proposant le concept de « spectre de souveraineté monétaire » impliquant des mesures plus structurelles visant à réduire la dépendance au financement extérieur.</w:t>
      </w:r>
    </w:p>
  </w:endnote>
  <w:endnote w:id="24">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Dans une étude empirique portant sur 100 pays développés et émergents, Jeanneret et </w:t>
      </w:r>
      <w:r w:rsidRPr="00484C46">
        <w:rPr>
          <w:rFonts w:ascii="Times New Roman" w:hAnsi="Times New Roman" w:cs="Times New Roman"/>
        </w:rPr>
        <w:t>Souissi (2016) recensent 58 épisodes de défaut souverain dont 31 en monnaie locale. Les coûts relatifs à la monétisation de la dette pousseraient les gouvernements à se déclarer en défaut de paiement.</w:t>
      </w:r>
    </w:p>
  </w:endnote>
  <w:endnote w:id="25">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D’après les données de la Banque des Règlements Internationaux, 75% des échanges quotidiens sur le marché de gré-à-gré concernent le dollar américain, l’Euro, le Yen et la Livre Sterling. Ces quatre devises représentent 95% de l’encours total de dette émise vers l’étranger.</w:t>
      </w:r>
    </w:p>
  </w:endnote>
  <w:endnote w:id="26">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La Zone euro </w:t>
      </w:r>
      <w:r>
        <w:rPr>
          <w:rFonts w:ascii="Times New Roman" w:hAnsi="Times New Roman" w:cs="Times New Roman"/>
        </w:rPr>
        <w:t>est</w:t>
      </w:r>
      <w:r w:rsidRPr="00484C46">
        <w:rPr>
          <w:rFonts w:ascii="Times New Roman" w:hAnsi="Times New Roman" w:cs="Times New Roman"/>
        </w:rPr>
        <w:t xml:space="preserve"> toutefois être exclue du champ d’application puisque l’agencement institutionnel ne prévoit pas de consolidation entre un Trésor </w:t>
      </w:r>
      <w:r w:rsidRPr="00484C46">
        <w:rPr>
          <w:rFonts w:ascii="Times New Roman" w:hAnsi="Times New Roman" w:cs="Times New Roman"/>
        </w:rPr>
        <w:t>supra-national et la Banque centrale.</w:t>
      </w:r>
    </w:p>
  </w:endnote>
  <w:endnote w:id="27">
    <w:p w:rsidR="008265CE" w:rsidRPr="00484C46" w:rsidRDefault="008265CE" w:rsidP="008265CE">
      <w:pPr>
        <w:pStyle w:val="Notedebasdepage"/>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w:t>
      </w:r>
      <w:r w:rsidRPr="00484C46">
        <w:rPr>
          <w:rFonts w:ascii="Times New Roman" w:hAnsi="Times New Roman" w:cs="Times New Roman"/>
        </w:rPr>
        <w:t>Tchnerneva (2020) a travaillé sur une version de ce programme appliquée au cas américain.</w:t>
      </w:r>
    </w:p>
  </w:endnote>
  <w:endnote w:id="28">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Cette conception </w:t>
      </w:r>
      <w:r>
        <w:rPr>
          <w:rFonts w:ascii="Times New Roman" w:hAnsi="Times New Roman" w:cs="Times New Roman"/>
        </w:rPr>
        <w:t>renvoie</w:t>
      </w:r>
      <w:r w:rsidRPr="00484C46">
        <w:rPr>
          <w:rFonts w:ascii="Times New Roman" w:hAnsi="Times New Roman" w:cs="Times New Roman"/>
        </w:rPr>
        <w:t xml:space="preserve"> au point de vue </w:t>
      </w:r>
      <w:r>
        <w:rPr>
          <w:rFonts w:ascii="Times New Roman" w:hAnsi="Times New Roman" w:cs="Times New Roman"/>
        </w:rPr>
        <w:t>de</w:t>
      </w:r>
      <w:r w:rsidRPr="00484C46">
        <w:rPr>
          <w:rFonts w:ascii="Times New Roman" w:hAnsi="Times New Roman" w:cs="Times New Roman"/>
        </w:rPr>
        <w:t xml:space="preserve"> B. </w:t>
      </w:r>
      <w:r w:rsidRPr="00484C46">
        <w:rPr>
          <w:rFonts w:ascii="Times New Roman" w:hAnsi="Times New Roman" w:cs="Times New Roman"/>
        </w:rPr>
        <w:t xml:space="preserve">Ruml (1946) : </w:t>
      </w:r>
      <w:r w:rsidRPr="00484C46">
        <w:rPr>
          <w:rFonts w:ascii="Times New Roman" w:hAnsi="Times New Roman" w:cs="Times New Roman"/>
          <w:i/>
        </w:rPr>
        <w:t>« taxes for revenue are obsolete »</w:t>
      </w:r>
      <w:r w:rsidRPr="00484C46">
        <w:rPr>
          <w:rFonts w:ascii="Times New Roman" w:hAnsi="Times New Roman" w:cs="Times New Roman"/>
        </w:rPr>
        <w:t>.</w:t>
      </w:r>
    </w:p>
  </w:endnote>
  <w:endnote w:id="29">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A partir d’une augmentation des taux marginaux sur les plus hauts revenus.</w:t>
      </w:r>
    </w:p>
  </w:endnote>
  <w:endnote w:id="30">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Voir le site du CBO pour connaître l’ensemble de ses fonctions : </w:t>
      </w:r>
      <w:hyperlink r:id="rId2" w:anchor="8" w:history="1">
        <w:r w:rsidRPr="00484C46">
          <w:rPr>
            <w:rStyle w:val="Lienhypertexte"/>
            <w:rFonts w:ascii="Times New Roman" w:hAnsi="Times New Roman" w:cs="Times New Roman"/>
          </w:rPr>
          <w:t>https://www.cbo.gov/about/products#8</w:t>
        </w:r>
      </w:hyperlink>
      <w:r w:rsidRPr="00484C46">
        <w:rPr>
          <w:rFonts w:ascii="Times New Roman" w:hAnsi="Times New Roman" w:cs="Times New Roman"/>
        </w:rPr>
        <w:t xml:space="preserve">. </w:t>
      </w:r>
    </w:p>
  </w:endnote>
  <w:endnote w:id="31">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w:t>
      </w:r>
      <w:r w:rsidRPr="00484C46">
        <w:rPr>
          <w:rFonts w:ascii="Times New Roman" w:hAnsi="Times New Roman" w:cs="Times New Roman"/>
        </w:rPr>
        <w:t xml:space="preserve">Tymoigne (2021) admet que l’avis du </w:t>
      </w:r>
      <w:r w:rsidRPr="00484C46">
        <w:rPr>
          <w:rFonts w:ascii="Times New Roman" w:hAnsi="Times New Roman" w:cs="Times New Roman"/>
          <w:i/>
        </w:rPr>
        <w:t>CBO</w:t>
      </w:r>
      <w:r w:rsidRPr="00484C46">
        <w:rPr>
          <w:rFonts w:ascii="Times New Roman" w:hAnsi="Times New Roman" w:cs="Times New Roman"/>
        </w:rPr>
        <w:t xml:space="preserve"> serait utile pour apprécier l’impact inflationniste d’une mesure budgétaire ou pour juger de sa pertinence au regard de l’objectif poursuivi. Néanmoins, </w:t>
      </w:r>
      <w:r>
        <w:rPr>
          <w:rFonts w:ascii="Times New Roman" w:hAnsi="Times New Roman" w:cs="Times New Roman"/>
        </w:rPr>
        <w:t xml:space="preserve">il réfute </w:t>
      </w:r>
      <w:r w:rsidRPr="00484C46">
        <w:rPr>
          <w:rFonts w:ascii="Times New Roman" w:hAnsi="Times New Roman" w:cs="Times New Roman"/>
        </w:rPr>
        <w:t xml:space="preserve">toute analyse </w:t>
      </w:r>
      <w:r>
        <w:rPr>
          <w:rFonts w:ascii="Times New Roman" w:hAnsi="Times New Roman" w:cs="Times New Roman"/>
        </w:rPr>
        <w:t xml:space="preserve">portant sur </w:t>
      </w:r>
      <w:r w:rsidRPr="00484C46">
        <w:rPr>
          <w:rFonts w:ascii="Times New Roman" w:hAnsi="Times New Roman" w:cs="Times New Roman"/>
        </w:rPr>
        <w:t xml:space="preserve">son financement </w:t>
      </w:r>
      <w:r>
        <w:rPr>
          <w:rFonts w:ascii="Times New Roman" w:hAnsi="Times New Roman" w:cs="Times New Roman"/>
        </w:rPr>
        <w:t>ou soutenabilité</w:t>
      </w:r>
      <w:r w:rsidRPr="00484C46">
        <w:rPr>
          <w:rFonts w:ascii="Times New Roman" w:hAnsi="Times New Roman" w:cs="Times New Roman"/>
        </w:rPr>
        <w:t>.</w:t>
      </w:r>
    </w:p>
  </w:endnote>
  <w:endnote w:id="32">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La TMM n’aborde pas cette question</w:t>
      </w:r>
      <w:r>
        <w:rPr>
          <w:rFonts w:ascii="Times New Roman" w:hAnsi="Times New Roman" w:cs="Times New Roman"/>
        </w:rPr>
        <w:t xml:space="preserve"> même si elle semble</w:t>
      </w:r>
      <w:r w:rsidRPr="00484C46">
        <w:rPr>
          <w:rFonts w:ascii="Times New Roman" w:hAnsi="Times New Roman" w:cs="Times New Roman"/>
        </w:rPr>
        <w:t xml:space="preserve"> </w:t>
      </w:r>
      <w:r>
        <w:rPr>
          <w:rFonts w:ascii="Times New Roman" w:hAnsi="Times New Roman" w:cs="Times New Roman"/>
        </w:rPr>
        <w:t xml:space="preserve">désapprouver </w:t>
      </w:r>
      <w:r w:rsidRPr="00484C46">
        <w:rPr>
          <w:rFonts w:ascii="Times New Roman" w:hAnsi="Times New Roman" w:cs="Times New Roman"/>
        </w:rPr>
        <w:t>l’appartenance à une union monétaire qui revient à fixer le taux de change entre Etats membres</w:t>
      </w:r>
      <w:r>
        <w:rPr>
          <w:rFonts w:ascii="Times New Roman" w:hAnsi="Times New Roman" w:cs="Times New Roman"/>
        </w:rPr>
        <w:t>.</w:t>
      </w:r>
      <w:r w:rsidRPr="00484C46">
        <w:rPr>
          <w:rFonts w:ascii="Times New Roman" w:hAnsi="Times New Roman" w:cs="Times New Roman"/>
        </w:rPr>
        <w:t xml:space="preserve"> En s’en tenant à la notion de souveraineté monétaire, l’espace pertinent devra</w:t>
      </w:r>
      <w:r>
        <w:rPr>
          <w:rFonts w:ascii="Times New Roman" w:hAnsi="Times New Roman" w:cs="Times New Roman"/>
        </w:rPr>
        <w:t>it être</w:t>
      </w:r>
      <w:r w:rsidRPr="00484C46">
        <w:rPr>
          <w:rFonts w:ascii="Times New Roman" w:hAnsi="Times New Roman" w:cs="Times New Roman"/>
        </w:rPr>
        <w:t xml:space="preserve"> celui de l’Etat-Nation où la consolidation banque centrale-Trésor est la plus évidente.</w:t>
      </w:r>
    </w:p>
  </w:endnote>
  <w:endnote w:id="33">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w:t>
      </w:r>
      <w:r w:rsidRPr="00484C46">
        <w:rPr>
          <w:rFonts w:ascii="Times New Roman" w:hAnsi="Times New Roman" w:cs="Times New Roman"/>
        </w:rPr>
        <w:t xml:space="preserve">Tymoigne (2021) </w:t>
      </w:r>
      <w:r>
        <w:rPr>
          <w:rFonts w:ascii="Times New Roman" w:hAnsi="Times New Roman" w:cs="Times New Roman"/>
        </w:rPr>
        <w:t>voit au contraire</w:t>
      </w:r>
      <w:r w:rsidRPr="00484C46">
        <w:rPr>
          <w:rFonts w:ascii="Times New Roman" w:hAnsi="Times New Roman" w:cs="Times New Roman"/>
        </w:rPr>
        <w:t xml:space="preserve"> </w:t>
      </w:r>
      <w:r>
        <w:rPr>
          <w:rFonts w:ascii="Times New Roman" w:hAnsi="Times New Roman" w:cs="Times New Roman"/>
        </w:rPr>
        <w:t>l’</w:t>
      </w:r>
      <w:r w:rsidRPr="00484C46">
        <w:rPr>
          <w:rFonts w:ascii="Times New Roman" w:hAnsi="Times New Roman" w:cs="Times New Roman"/>
        </w:rPr>
        <w:t xml:space="preserve">excédent budgétaire </w:t>
      </w:r>
      <w:r>
        <w:rPr>
          <w:rFonts w:ascii="Times New Roman" w:hAnsi="Times New Roman" w:cs="Times New Roman"/>
        </w:rPr>
        <w:t>comme</w:t>
      </w:r>
      <w:r w:rsidRPr="00484C46">
        <w:rPr>
          <w:rFonts w:ascii="Times New Roman" w:hAnsi="Times New Roman" w:cs="Times New Roman"/>
        </w:rPr>
        <w:t xml:space="preserve"> un indicateur avancé de crise financière.</w:t>
      </w:r>
    </w:p>
  </w:endnote>
  <w:endnote w:id="34">
    <w:p w:rsidR="008265CE" w:rsidRPr="00484C46"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Un ratio de fonds propres élevé </w:t>
      </w:r>
      <w:r>
        <w:rPr>
          <w:rFonts w:ascii="Times New Roman" w:hAnsi="Times New Roman" w:cs="Times New Roman"/>
        </w:rPr>
        <w:t>favoriserait</w:t>
      </w:r>
      <w:r w:rsidRPr="00484C46">
        <w:rPr>
          <w:rFonts w:ascii="Times New Roman" w:hAnsi="Times New Roman" w:cs="Times New Roman"/>
        </w:rPr>
        <w:t xml:space="preserve"> la prise de risque. Le sentiment d’être bien capitalisé provoquerait un sentiment de sécurité poussant l’institution à prendre plus de risques pour rémunérer ses fonds propres.</w:t>
      </w:r>
    </w:p>
  </w:endnote>
  <w:endnote w:id="35">
    <w:p w:rsidR="008265CE" w:rsidRPr="003965AF" w:rsidRDefault="008265CE" w:rsidP="008265CE">
      <w:pPr>
        <w:pStyle w:val="Notedefin"/>
        <w:jc w:val="both"/>
        <w:rPr>
          <w:rFonts w:ascii="Times New Roman" w:hAnsi="Times New Roman" w:cs="Times New Roman"/>
        </w:rPr>
      </w:pPr>
      <w:r w:rsidRPr="00484C46">
        <w:rPr>
          <w:rStyle w:val="Appeldenotedefin"/>
          <w:rFonts w:ascii="Times New Roman" w:hAnsi="Times New Roman" w:cs="Times New Roman"/>
        </w:rPr>
        <w:endnoteRef/>
      </w:r>
      <w:r w:rsidRPr="00484C46">
        <w:rPr>
          <w:rFonts w:ascii="Times New Roman" w:hAnsi="Times New Roman" w:cs="Times New Roman"/>
        </w:rPr>
        <w:t xml:space="preserve"> Une vague proposition de rationnement du crédit est formulée par la TMM sans être formalisée pour autant.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12654"/>
      <w:docPartObj>
        <w:docPartGallery w:val="Page Numbers (Bottom of Page)"/>
        <w:docPartUnique/>
      </w:docPartObj>
    </w:sdtPr>
    <w:sdtEndPr/>
    <w:sdtContent>
      <w:p w:rsidR="008265CE" w:rsidRDefault="008265CE">
        <w:pPr>
          <w:pStyle w:val="Pieddepage"/>
          <w:jc w:val="center"/>
        </w:pPr>
        <w:r>
          <w:fldChar w:fldCharType="begin"/>
        </w:r>
        <w:r>
          <w:instrText>PAGE   \* MERGEFORMAT</w:instrText>
        </w:r>
        <w:r>
          <w:fldChar w:fldCharType="separate"/>
        </w:r>
        <w:r>
          <w:t>2</w:t>
        </w:r>
        <w:r>
          <w:fldChar w:fldCharType="end"/>
        </w:r>
      </w:p>
    </w:sdtContent>
  </w:sdt>
  <w:p w:rsidR="008265CE" w:rsidRDefault="008265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3FC" w:rsidRDefault="006503FC" w:rsidP="008265CE">
      <w:pPr>
        <w:spacing w:after="0" w:line="240" w:lineRule="auto"/>
      </w:pPr>
      <w:r>
        <w:separator/>
      </w:r>
    </w:p>
  </w:footnote>
  <w:footnote w:type="continuationSeparator" w:id="0">
    <w:p w:rsidR="006503FC" w:rsidRDefault="006503FC" w:rsidP="008265CE">
      <w:pPr>
        <w:spacing w:after="0" w:line="240" w:lineRule="auto"/>
      </w:pPr>
      <w:r>
        <w:continuationSeparator/>
      </w:r>
    </w:p>
  </w:footnote>
  <w:footnote w:id="1">
    <w:p w:rsidR="00890B46" w:rsidRPr="00202F11" w:rsidRDefault="00890B46" w:rsidP="00890B46">
      <w:pPr>
        <w:pStyle w:val="Notedebasdepage"/>
        <w:rPr>
          <w:rFonts w:ascii="Times New Roman" w:hAnsi="Times New Roman" w:cs="Times New Roman"/>
        </w:rPr>
      </w:pPr>
      <w:r>
        <w:rPr>
          <w:rStyle w:val="Appelnotedebasdep"/>
        </w:rPr>
        <w:footnoteRef/>
      </w:r>
      <w:r>
        <w:t xml:space="preserve"> </w:t>
      </w:r>
      <w:r w:rsidRPr="00202F11">
        <w:rPr>
          <w:rFonts w:ascii="Times New Roman" w:hAnsi="Times New Roman" w:cs="Times New Roman"/>
          <w:sz w:val="22"/>
          <w:szCs w:val="22"/>
        </w:rPr>
        <w:t xml:space="preserve">Maître de conférences, Université de Rennes1 ; </w:t>
      </w:r>
      <w:r w:rsidRPr="00202F11">
        <w:rPr>
          <w:rStyle w:val="markedcontent"/>
          <w:rFonts w:ascii="Times New Roman" w:hAnsi="Times New Roman" w:cs="Times New Roman"/>
          <w:sz w:val="22"/>
          <w:szCs w:val="22"/>
        </w:rPr>
        <w:t>CNRS, CREM – UMR6211, F-35000 Rennes France.</w:t>
      </w:r>
      <w:r w:rsidRPr="00202F11">
        <w:rPr>
          <w:rFonts w:ascii="Times New Roman" w:hAnsi="Times New Roman" w:cs="Times New Roman"/>
          <w:sz w:val="22"/>
          <w:szCs w:val="22"/>
        </w:rPr>
        <w:t xml:space="preserve"> Contact : </w:t>
      </w:r>
      <w:hyperlink r:id="rId1" w:history="1">
        <w:r w:rsidRPr="00202F11">
          <w:rPr>
            <w:rStyle w:val="Lienhypertexte"/>
            <w:rFonts w:ascii="Times New Roman" w:hAnsi="Times New Roman" w:cs="Times New Roman"/>
            <w:sz w:val="22"/>
            <w:szCs w:val="22"/>
          </w:rPr>
          <w:t>Guillaume.loeillet@univ-rennes1.fr</w:t>
        </w:r>
      </w:hyperlink>
      <w:r w:rsidRPr="00202F11">
        <w:rPr>
          <w:rFonts w:ascii="Times New Roman" w:hAnsi="Times New Roman" w:cs="Times New Roman"/>
          <w:sz w:val="22"/>
          <w:szCs w:val="22"/>
        </w:rPr>
        <w:t xml:space="preserve">; </w:t>
      </w:r>
      <w:proofErr w:type="gramStart"/>
      <w:r w:rsidRPr="00202F11">
        <w:rPr>
          <w:rFonts w:ascii="Times New Roman" w:hAnsi="Times New Roman" w:cs="Times New Roman"/>
          <w:sz w:val="22"/>
          <w:szCs w:val="22"/>
        </w:rPr>
        <w:t>Adresse:</w:t>
      </w:r>
      <w:proofErr w:type="gramEnd"/>
      <w:r w:rsidRPr="00202F11">
        <w:rPr>
          <w:rFonts w:ascii="Times New Roman" w:hAnsi="Times New Roman" w:cs="Times New Roman"/>
          <w:sz w:val="22"/>
          <w:szCs w:val="22"/>
        </w:rPr>
        <w:t xml:space="preserve"> Faculté des sciences économiques, Université de Rennes 1, 7 place Hoche 35065 Rennes Cedex</w:t>
      </w:r>
    </w:p>
    <w:p w:rsidR="00890B46" w:rsidRDefault="00890B46" w:rsidP="00890B46">
      <w:pPr>
        <w:pStyle w:val="Notedebasdepage"/>
      </w:pPr>
      <w:r w:rsidRPr="00202F11">
        <w:rPr>
          <w:rFonts w:ascii="Times New Roman" w:hAnsi="Times New Roman" w:cs="Times New Roman"/>
          <w:sz w:val="22"/>
        </w:rPr>
        <w:t>Je remercie le Professeur Jean-Jacques Durand pour sa relecture attentive et ses commentaires précieux.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00C24"/>
    <w:multiLevelType w:val="hybridMultilevel"/>
    <w:tmpl w:val="5596E7AA"/>
    <w:lvl w:ilvl="0" w:tplc="040C000F">
      <w:start w:val="1"/>
      <w:numFmt w:val="decimal"/>
      <w:lvlText w:val="%1."/>
      <w:lvlJc w:val="left"/>
      <w:pPr>
        <w:ind w:left="5605" w:hanging="360"/>
      </w:pPr>
      <w:rPr>
        <w:rFonts w:hint="default"/>
      </w:rPr>
    </w:lvl>
    <w:lvl w:ilvl="1" w:tplc="040C0019" w:tentative="1">
      <w:start w:val="1"/>
      <w:numFmt w:val="lowerLetter"/>
      <w:lvlText w:val="%2."/>
      <w:lvlJc w:val="left"/>
      <w:pPr>
        <w:ind w:left="6325" w:hanging="360"/>
      </w:pPr>
    </w:lvl>
    <w:lvl w:ilvl="2" w:tplc="040C001B" w:tentative="1">
      <w:start w:val="1"/>
      <w:numFmt w:val="lowerRoman"/>
      <w:lvlText w:val="%3."/>
      <w:lvlJc w:val="right"/>
      <w:pPr>
        <w:ind w:left="7045" w:hanging="180"/>
      </w:pPr>
    </w:lvl>
    <w:lvl w:ilvl="3" w:tplc="040C000F" w:tentative="1">
      <w:start w:val="1"/>
      <w:numFmt w:val="decimal"/>
      <w:lvlText w:val="%4."/>
      <w:lvlJc w:val="left"/>
      <w:pPr>
        <w:ind w:left="7765" w:hanging="360"/>
      </w:pPr>
    </w:lvl>
    <w:lvl w:ilvl="4" w:tplc="040C0019" w:tentative="1">
      <w:start w:val="1"/>
      <w:numFmt w:val="lowerLetter"/>
      <w:lvlText w:val="%5."/>
      <w:lvlJc w:val="left"/>
      <w:pPr>
        <w:ind w:left="8485" w:hanging="360"/>
      </w:pPr>
    </w:lvl>
    <w:lvl w:ilvl="5" w:tplc="040C001B" w:tentative="1">
      <w:start w:val="1"/>
      <w:numFmt w:val="lowerRoman"/>
      <w:lvlText w:val="%6."/>
      <w:lvlJc w:val="right"/>
      <w:pPr>
        <w:ind w:left="9205" w:hanging="180"/>
      </w:pPr>
    </w:lvl>
    <w:lvl w:ilvl="6" w:tplc="040C000F" w:tentative="1">
      <w:start w:val="1"/>
      <w:numFmt w:val="decimal"/>
      <w:lvlText w:val="%7."/>
      <w:lvlJc w:val="left"/>
      <w:pPr>
        <w:ind w:left="9925" w:hanging="360"/>
      </w:pPr>
    </w:lvl>
    <w:lvl w:ilvl="7" w:tplc="040C0019" w:tentative="1">
      <w:start w:val="1"/>
      <w:numFmt w:val="lowerLetter"/>
      <w:lvlText w:val="%8."/>
      <w:lvlJc w:val="left"/>
      <w:pPr>
        <w:ind w:left="10645" w:hanging="360"/>
      </w:pPr>
    </w:lvl>
    <w:lvl w:ilvl="8" w:tplc="040C001B" w:tentative="1">
      <w:start w:val="1"/>
      <w:numFmt w:val="lowerRoman"/>
      <w:lvlText w:val="%9."/>
      <w:lvlJc w:val="right"/>
      <w:pPr>
        <w:ind w:left="11365" w:hanging="180"/>
      </w:pPr>
    </w:lvl>
  </w:abstractNum>
  <w:abstractNum w:abstractNumId="1" w15:restartNumberingAfterBreak="0">
    <w:nsid w:val="4DC8388E"/>
    <w:multiLevelType w:val="hybridMultilevel"/>
    <w:tmpl w:val="C67AEC9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892E4A2">
      <w:start w:val="3"/>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D0328A"/>
    <w:multiLevelType w:val="hybridMultilevel"/>
    <w:tmpl w:val="4650F95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70EE2001"/>
    <w:multiLevelType w:val="multilevel"/>
    <w:tmpl w:val="6E5E8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1F10C4"/>
    <w:multiLevelType w:val="hybridMultilevel"/>
    <w:tmpl w:val="67FE1654"/>
    <w:lvl w:ilvl="0" w:tplc="7548C948">
      <w:start w:val="2"/>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CE"/>
    <w:rsid w:val="0018152D"/>
    <w:rsid w:val="001C005B"/>
    <w:rsid w:val="00274306"/>
    <w:rsid w:val="002B04F8"/>
    <w:rsid w:val="00391A27"/>
    <w:rsid w:val="003E3E17"/>
    <w:rsid w:val="003F5ADF"/>
    <w:rsid w:val="003F7492"/>
    <w:rsid w:val="00464812"/>
    <w:rsid w:val="004A3638"/>
    <w:rsid w:val="0050331C"/>
    <w:rsid w:val="005A3098"/>
    <w:rsid w:val="00617F4C"/>
    <w:rsid w:val="006503FC"/>
    <w:rsid w:val="00727BEE"/>
    <w:rsid w:val="008265CE"/>
    <w:rsid w:val="00890B46"/>
    <w:rsid w:val="00897B04"/>
    <w:rsid w:val="00921360"/>
    <w:rsid w:val="00AC40FC"/>
    <w:rsid w:val="00AE2F27"/>
    <w:rsid w:val="00B265A0"/>
    <w:rsid w:val="00B52026"/>
    <w:rsid w:val="00BA64A5"/>
    <w:rsid w:val="00BC73A0"/>
    <w:rsid w:val="00C7742C"/>
    <w:rsid w:val="00E759BB"/>
    <w:rsid w:val="00E764AF"/>
    <w:rsid w:val="00ED2401"/>
    <w:rsid w:val="00F77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5532"/>
  <w15:chartTrackingRefBased/>
  <w15:docId w15:val="{AA991C72-6BB2-4E02-AC31-2CC71701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5CE"/>
  </w:style>
  <w:style w:type="paragraph" w:styleId="Titre1">
    <w:name w:val="heading 1"/>
    <w:basedOn w:val="Normal"/>
    <w:link w:val="Titre1Car"/>
    <w:uiPriority w:val="9"/>
    <w:qFormat/>
    <w:rsid w:val="0082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8265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65C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265CE"/>
    <w:rPr>
      <w:rFonts w:asciiTheme="majorHAnsi" w:eastAsiaTheme="majorEastAsia" w:hAnsiTheme="majorHAnsi" w:cstheme="majorBidi"/>
      <w:color w:val="1F3763" w:themeColor="accent1" w:themeShade="7F"/>
      <w:sz w:val="24"/>
      <w:szCs w:val="24"/>
    </w:rPr>
  </w:style>
  <w:style w:type="character" w:customStyle="1" w:styleId="CommentaireCar">
    <w:name w:val="Commentaire Car"/>
    <w:basedOn w:val="Policepardfaut"/>
    <w:link w:val="Commentaire"/>
    <w:uiPriority w:val="99"/>
    <w:semiHidden/>
    <w:rsid w:val="008265CE"/>
    <w:rPr>
      <w:sz w:val="20"/>
      <w:szCs w:val="20"/>
    </w:rPr>
  </w:style>
  <w:style w:type="paragraph" w:styleId="Commentaire">
    <w:name w:val="annotation text"/>
    <w:basedOn w:val="Normal"/>
    <w:link w:val="CommentaireCar"/>
    <w:uiPriority w:val="99"/>
    <w:semiHidden/>
    <w:unhideWhenUsed/>
    <w:rsid w:val="008265CE"/>
    <w:pPr>
      <w:spacing w:line="240" w:lineRule="auto"/>
    </w:pPr>
    <w:rPr>
      <w:sz w:val="20"/>
      <w:szCs w:val="20"/>
    </w:rPr>
  </w:style>
  <w:style w:type="character" w:customStyle="1" w:styleId="CommentaireCar1">
    <w:name w:val="Commentaire Car1"/>
    <w:basedOn w:val="Policepardfaut"/>
    <w:uiPriority w:val="99"/>
    <w:semiHidden/>
    <w:rsid w:val="008265CE"/>
    <w:rPr>
      <w:sz w:val="20"/>
      <w:szCs w:val="20"/>
    </w:rPr>
  </w:style>
  <w:style w:type="character" w:customStyle="1" w:styleId="ObjetducommentaireCar">
    <w:name w:val="Objet du commentaire Car"/>
    <w:basedOn w:val="CommentaireCar"/>
    <w:link w:val="Objetducommentaire"/>
    <w:uiPriority w:val="99"/>
    <w:semiHidden/>
    <w:rsid w:val="008265CE"/>
    <w:rPr>
      <w:b/>
      <w:bCs/>
      <w:sz w:val="20"/>
      <w:szCs w:val="20"/>
    </w:rPr>
  </w:style>
  <w:style w:type="paragraph" w:styleId="Objetducommentaire">
    <w:name w:val="annotation subject"/>
    <w:basedOn w:val="Commentaire"/>
    <w:next w:val="Commentaire"/>
    <w:link w:val="ObjetducommentaireCar"/>
    <w:uiPriority w:val="99"/>
    <w:semiHidden/>
    <w:unhideWhenUsed/>
    <w:rsid w:val="008265CE"/>
    <w:rPr>
      <w:b/>
      <w:bCs/>
    </w:rPr>
  </w:style>
  <w:style w:type="character" w:customStyle="1" w:styleId="ObjetducommentaireCar1">
    <w:name w:val="Objet du commentaire Car1"/>
    <w:basedOn w:val="CommentaireCar1"/>
    <w:uiPriority w:val="99"/>
    <w:semiHidden/>
    <w:rsid w:val="008265CE"/>
    <w:rPr>
      <w:b/>
      <w:bCs/>
      <w:sz w:val="20"/>
      <w:szCs w:val="20"/>
    </w:rPr>
  </w:style>
  <w:style w:type="character" w:customStyle="1" w:styleId="TextedebullesCar">
    <w:name w:val="Texte de bulles Car"/>
    <w:basedOn w:val="Policepardfaut"/>
    <w:link w:val="Textedebulles"/>
    <w:uiPriority w:val="99"/>
    <w:semiHidden/>
    <w:rsid w:val="008265CE"/>
    <w:rPr>
      <w:rFonts w:ascii="Segoe UI" w:hAnsi="Segoe UI" w:cs="Segoe UI"/>
      <w:sz w:val="18"/>
      <w:szCs w:val="18"/>
    </w:rPr>
  </w:style>
  <w:style w:type="paragraph" w:styleId="Textedebulles">
    <w:name w:val="Balloon Text"/>
    <w:basedOn w:val="Normal"/>
    <w:link w:val="TextedebullesCar"/>
    <w:uiPriority w:val="99"/>
    <w:semiHidden/>
    <w:unhideWhenUsed/>
    <w:rsid w:val="008265CE"/>
    <w:pPr>
      <w:spacing w:after="0" w:line="240" w:lineRule="auto"/>
    </w:pPr>
    <w:rPr>
      <w:rFonts w:ascii="Segoe UI" w:hAnsi="Segoe UI" w:cs="Segoe UI"/>
      <w:sz w:val="18"/>
      <w:szCs w:val="18"/>
    </w:rPr>
  </w:style>
  <w:style w:type="character" w:customStyle="1" w:styleId="TextedebullesCar1">
    <w:name w:val="Texte de bulles Car1"/>
    <w:basedOn w:val="Policepardfaut"/>
    <w:uiPriority w:val="99"/>
    <w:semiHidden/>
    <w:rsid w:val="008265CE"/>
    <w:rPr>
      <w:rFonts w:ascii="Segoe UI" w:hAnsi="Segoe UI" w:cs="Segoe UI"/>
      <w:sz w:val="18"/>
      <w:szCs w:val="18"/>
    </w:rPr>
  </w:style>
  <w:style w:type="paragraph" w:styleId="Notedebasdepage">
    <w:name w:val="footnote text"/>
    <w:basedOn w:val="Normal"/>
    <w:link w:val="NotedebasdepageCar"/>
    <w:uiPriority w:val="99"/>
    <w:unhideWhenUsed/>
    <w:rsid w:val="008265CE"/>
    <w:pPr>
      <w:spacing w:after="0" w:line="240" w:lineRule="auto"/>
    </w:pPr>
    <w:rPr>
      <w:sz w:val="20"/>
      <w:szCs w:val="20"/>
    </w:rPr>
  </w:style>
  <w:style w:type="character" w:customStyle="1" w:styleId="NotedebasdepageCar">
    <w:name w:val="Note de bas de page Car"/>
    <w:basedOn w:val="Policepardfaut"/>
    <w:link w:val="Notedebasdepage"/>
    <w:uiPriority w:val="99"/>
    <w:rsid w:val="008265CE"/>
    <w:rPr>
      <w:sz w:val="20"/>
      <w:szCs w:val="20"/>
    </w:rPr>
  </w:style>
  <w:style w:type="character" w:styleId="Appelnotedebasdep">
    <w:name w:val="footnote reference"/>
    <w:basedOn w:val="Policepardfaut"/>
    <w:uiPriority w:val="99"/>
    <w:semiHidden/>
    <w:unhideWhenUsed/>
    <w:rsid w:val="008265CE"/>
    <w:rPr>
      <w:vertAlign w:val="superscript"/>
    </w:rPr>
  </w:style>
  <w:style w:type="paragraph" w:styleId="Paragraphedeliste">
    <w:name w:val="List Paragraph"/>
    <w:basedOn w:val="Normal"/>
    <w:uiPriority w:val="34"/>
    <w:qFormat/>
    <w:rsid w:val="008265CE"/>
    <w:pPr>
      <w:ind w:left="720"/>
      <w:contextualSpacing/>
    </w:pPr>
  </w:style>
  <w:style w:type="paragraph" w:styleId="Lgende">
    <w:name w:val="caption"/>
    <w:basedOn w:val="Normal"/>
    <w:next w:val="Normal"/>
    <w:uiPriority w:val="35"/>
    <w:unhideWhenUsed/>
    <w:qFormat/>
    <w:rsid w:val="008265CE"/>
    <w:pPr>
      <w:spacing w:after="200" w:line="240" w:lineRule="auto"/>
    </w:pPr>
    <w:rPr>
      <w:i/>
      <w:iCs/>
      <w:color w:val="44546A" w:themeColor="text2"/>
      <w:sz w:val="18"/>
      <w:szCs w:val="18"/>
    </w:rPr>
  </w:style>
  <w:style w:type="character" w:styleId="Lienhypertexte">
    <w:name w:val="Hyperlink"/>
    <w:basedOn w:val="Policepardfaut"/>
    <w:uiPriority w:val="99"/>
    <w:unhideWhenUsed/>
    <w:rsid w:val="008265CE"/>
    <w:rPr>
      <w:color w:val="0563C1" w:themeColor="hyperlink"/>
      <w:u w:val="single"/>
    </w:rPr>
  </w:style>
  <w:style w:type="paragraph" w:styleId="En-tte">
    <w:name w:val="header"/>
    <w:basedOn w:val="Normal"/>
    <w:link w:val="En-tteCar"/>
    <w:uiPriority w:val="99"/>
    <w:unhideWhenUsed/>
    <w:rsid w:val="008265CE"/>
    <w:pPr>
      <w:tabs>
        <w:tab w:val="center" w:pos="4536"/>
        <w:tab w:val="right" w:pos="9072"/>
      </w:tabs>
      <w:spacing w:after="0" w:line="240" w:lineRule="auto"/>
    </w:pPr>
  </w:style>
  <w:style w:type="character" w:customStyle="1" w:styleId="En-tteCar">
    <w:name w:val="En-tête Car"/>
    <w:basedOn w:val="Policepardfaut"/>
    <w:link w:val="En-tte"/>
    <w:uiPriority w:val="99"/>
    <w:rsid w:val="008265CE"/>
  </w:style>
  <w:style w:type="paragraph" w:styleId="Pieddepage">
    <w:name w:val="footer"/>
    <w:basedOn w:val="Normal"/>
    <w:link w:val="PieddepageCar"/>
    <w:uiPriority w:val="99"/>
    <w:unhideWhenUsed/>
    <w:rsid w:val="00826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65CE"/>
  </w:style>
  <w:style w:type="character" w:customStyle="1" w:styleId="NotedefinCar">
    <w:name w:val="Note de fin Car"/>
    <w:basedOn w:val="Policepardfaut"/>
    <w:link w:val="Notedefin"/>
    <w:uiPriority w:val="99"/>
    <w:rsid w:val="008265CE"/>
    <w:rPr>
      <w:sz w:val="20"/>
      <w:szCs w:val="20"/>
    </w:rPr>
  </w:style>
  <w:style w:type="paragraph" w:styleId="Notedefin">
    <w:name w:val="endnote text"/>
    <w:basedOn w:val="Normal"/>
    <w:link w:val="NotedefinCar"/>
    <w:uiPriority w:val="99"/>
    <w:unhideWhenUsed/>
    <w:rsid w:val="008265CE"/>
    <w:pPr>
      <w:spacing w:after="0" w:line="240" w:lineRule="auto"/>
    </w:pPr>
    <w:rPr>
      <w:sz w:val="20"/>
      <w:szCs w:val="20"/>
    </w:rPr>
  </w:style>
  <w:style w:type="character" w:customStyle="1" w:styleId="NotedefinCar1">
    <w:name w:val="Note de fin Car1"/>
    <w:basedOn w:val="Policepardfaut"/>
    <w:uiPriority w:val="99"/>
    <w:semiHidden/>
    <w:rsid w:val="008265CE"/>
    <w:rPr>
      <w:sz w:val="20"/>
      <w:szCs w:val="20"/>
    </w:rPr>
  </w:style>
  <w:style w:type="table" w:styleId="Grilledutableau">
    <w:name w:val="Table Grid"/>
    <w:basedOn w:val="TableauNormal"/>
    <w:uiPriority w:val="39"/>
    <w:rsid w:val="0082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8265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8265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8265C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265CE"/>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markedcontent">
    <w:name w:val="markedcontent"/>
    <w:basedOn w:val="Policepardfaut"/>
    <w:rsid w:val="008265CE"/>
  </w:style>
  <w:style w:type="paragraph" w:styleId="Sansinterligne">
    <w:name w:val="No Spacing"/>
    <w:uiPriority w:val="1"/>
    <w:qFormat/>
    <w:rsid w:val="008265CE"/>
    <w:pPr>
      <w:spacing w:after="0" w:line="240" w:lineRule="auto"/>
    </w:pPr>
  </w:style>
  <w:style w:type="character" w:styleId="Appeldenotedefin">
    <w:name w:val="endnote reference"/>
    <w:basedOn w:val="Policepardfaut"/>
    <w:uiPriority w:val="99"/>
    <w:semiHidden/>
    <w:unhideWhenUsed/>
    <w:rsid w:val="008265CE"/>
    <w:rPr>
      <w:vertAlign w:val="superscript"/>
    </w:rPr>
  </w:style>
  <w:style w:type="character" w:styleId="Marquedecommentaire">
    <w:name w:val="annotation reference"/>
    <w:basedOn w:val="Policepardfaut"/>
    <w:uiPriority w:val="99"/>
    <w:semiHidden/>
    <w:unhideWhenUsed/>
    <w:rsid w:val="00826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deas.repec.org/s/bin/bpeajo.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cbo.gov/about/products" TargetMode="External"/><Relationship Id="rId1" Type="http://schemas.openxmlformats.org/officeDocument/2006/relationships/hyperlink" Target="http://presidentialdata.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uillaume.loeillet@univ-rennes1.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loeille\AppData\Local\Temp\05d80431-9f6a-4ee7-8e22-5b49f8c11c33.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loeille\AppData\Local\Temp\df09f8b6-4c24-4259-a1cd-d63c0b6d8b26.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Feuil2!$D$1:$D$2</c:f>
              <c:strCache>
                <c:ptCount val="2"/>
                <c:pt idx="0">
                  <c:v>Japon</c:v>
                </c:pt>
              </c:strCache>
            </c:strRef>
          </c:tx>
          <c:spPr>
            <a:ln w="25400" cap="rnd">
              <a:solidFill>
                <a:schemeClr val="tx1"/>
              </a:solidFill>
              <a:round/>
            </a:ln>
            <a:effectLst/>
          </c:spPr>
          <c:marker>
            <c:symbol val="triangle"/>
            <c:size val="6"/>
            <c:spPr>
              <a:solidFill>
                <a:schemeClr val="tx1"/>
              </a:solidFill>
              <a:ln w="9525">
                <a:solidFill>
                  <a:schemeClr val="tx1"/>
                </a:solidFill>
              </a:ln>
              <a:effectLst/>
            </c:spPr>
          </c:marker>
          <c:cat>
            <c:strRef>
              <c:f>Feuil2!$A$3:$A$28</c:f>
              <c:strCache>
                <c:ptCount val="2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strCache>
            </c:strRef>
          </c:cat>
          <c:val>
            <c:numRef>
              <c:f>Feuil2!$D$3:$D$28</c:f>
              <c:numCache>
                <c:formatCode>#\ ##0.00_ ;\-#\ ##0.00\ </c:formatCode>
                <c:ptCount val="26"/>
                <c:pt idx="0">
                  <c:v>99.185959999999994</c:v>
                </c:pt>
                <c:pt idx="1">
                  <c:v>108.4692</c:v>
                </c:pt>
                <c:pt idx="2">
                  <c:v>118.5201</c:v>
                </c:pt>
                <c:pt idx="3">
                  <c:v>130.90100000000001</c:v>
                </c:pt>
                <c:pt idx="4">
                  <c:v>140.80350000000001</c:v>
                </c:pt>
                <c:pt idx="5">
                  <c:v>146.8432</c:v>
                </c:pt>
                <c:pt idx="6">
                  <c:v>157.09520000000001</c:v>
                </c:pt>
                <c:pt idx="7">
                  <c:v>166.31469999999999</c:v>
                </c:pt>
                <c:pt idx="8">
                  <c:v>171.67580000000001</c:v>
                </c:pt>
                <c:pt idx="9">
                  <c:v>172.3288</c:v>
                </c:pt>
                <c:pt idx="10">
                  <c:v>172.69970000000001</c:v>
                </c:pt>
                <c:pt idx="11">
                  <c:v>174.25</c:v>
                </c:pt>
                <c:pt idx="12">
                  <c:v>178.16200000000001</c:v>
                </c:pt>
                <c:pt idx="13">
                  <c:v>199.3785</c:v>
                </c:pt>
                <c:pt idx="14">
                  <c:v>204.4288</c:v>
                </c:pt>
                <c:pt idx="15">
                  <c:v>217.99090000000001</c:v>
                </c:pt>
                <c:pt idx="16">
                  <c:v>226.65180000000001</c:v>
                </c:pt>
                <c:pt idx="17">
                  <c:v>229.6815</c:v>
                </c:pt>
                <c:pt idx="18">
                  <c:v>234.38499999999999</c:v>
                </c:pt>
                <c:pt idx="19">
                  <c:v>233.2885</c:v>
                </c:pt>
                <c:pt idx="20">
                  <c:v>231.37629999999999</c:v>
                </c:pt>
                <c:pt idx="21">
                  <c:v>230.30500000000001</c:v>
                </c:pt>
                <c:pt idx="22">
                  <c:v>234.2955</c:v>
                </c:pt>
                <c:pt idx="23">
                  <c:v>234.54589999999999</c:v>
                </c:pt>
                <c:pt idx="24">
                  <c:v>257.75049999999999</c:v>
                </c:pt>
                <c:pt idx="25">
                  <c:v>261.30499734547215</c:v>
                </c:pt>
              </c:numCache>
            </c:numRef>
          </c:val>
          <c:smooth val="0"/>
          <c:extLst>
            <c:ext xmlns:c16="http://schemas.microsoft.com/office/drawing/2014/chart" uri="{C3380CC4-5D6E-409C-BE32-E72D297353CC}">
              <c16:uniqueId val="{00000000-956E-4401-96EF-2004294F698B}"/>
            </c:ext>
          </c:extLst>
        </c:ser>
        <c:ser>
          <c:idx val="4"/>
          <c:order val="1"/>
          <c:tx>
            <c:strRef>
              <c:f>Feuil2!$G$1:$G$2</c:f>
              <c:strCache>
                <c:ptCount val="2"/>
                <c:pt idx="0">
                  <c:v>Royaume-Uni</c:v>
                </c:pt>
              </c:strCache>
            </c:strRef>
          </c:tx>
          <c:spPr>
            <a:ln w="25400" cap="rnd">
              <a:solidFill>
                <a:schemeClr val="tx1"/>
              </a:solidFill>
              <a:round/>
            </a:ln>
            <a:effectLst/>
          </c:spPr>
          <c:marker>
            <c:symbol val="square"/>
            <c:size val="5"/>
            <c:spPr>
              <a:solidFill>
                <a:schemeClr val="tx1"/>
              </a:solidFill>
              <a:ln w="9525">
                <a:solidFill>
                  <a:schemeClr val="tx1"/>
                </a:solidFill>
              </a:ln>
              <a:effectLst/>
            </c:spPr>
          </c:marker>
          <c:cat>
            <c:strRef>
              <c:f>Feuil2!$A$3:$A$28</c:f>
              <c:strCache>
                <c:ptCount val="2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strCache>
            </c:strRef>
          </c:cat>
          <c:val>
            <c:numRef>
              <c:f>Feuil2!$G$3:$G$28</c:f>
              <c:numCache>
                <c:formatCode>#\ ##0.00_ ;\-#\ ##0.00\ </c:formatCode>
                <c:ptCount val="26"/>
                <c:pt idx="0">
                  <c:v>52.389679999999998</c:v>
                </c:pt>
                <c:pt idx="1">
                  <c:v>52.071469999999998</c:v>
                </c:pt>
                <c:pt idx="2">
                  <c:v>53.089100000000002</c:v>
                </c:pt>
                <c:pt idx="3">
                  <c:v>47.81232</c:v>
                </c:pt>
                <c:pt idx="4">
                  <c:v>49.31953</c:v>
                </c:pt>
                <c:pt idx="5">
                  <c:v>46.679270000000002</c:v>
                </c:pt>
                <c:pt idx="6">
                  <c:v>49.489139999999999</c:v>
                </c:pt>
                <c:pt idx="7">
                  <c:v>48.559649999999998</c:v>
                </c:pt>
                <c:pt idx="8">
                  <c:v>51.820430000000002</c:v>
                </c:pt>
                <c:pt idx="9">
                  <c:v>52.11374</c:v>
                </c:pt>
                <c:pt idx="10">
                  <c:v>51.153770000000002</c:v>
                </c:pt>
                <c:pt idx="11">
                  <c:v>52.86524</c:v>
                </c:pt>
                <c:pt idx="12">
                  <c:v>65.331580000000002</c:v>
                </c:pt>
                <c:pt idx="13">
                  <c:v>78.35915</c:v>
                </c:pt>
                <c:pt idx="14">
                  <c:v>89.120360000000005</c:v>
                </c:pt>
                <c:pt idx="15">
                  <c:v>102.7466</c:v>
                </c:pt>
                <c:pt idx="16">
                  <c:v>106.84350000000001</c:v>
                </c:pt>
                <c:pt idx="17">
                  <c:v>102.6056</c:v>
                </c:pt>
                <c:pt idx="18">
                  <c:v>112.41670000000001</c:v>
                </c:pt>
                <c:pt idx="19">
                  <c:v>111.7456</c:v>
                </c:pt>
                <c:pt idx="20">
                  <c:v>118.4909</c:v>
                </c:pt>
                <c:pt idx="21">
                  <c:v>119.1195</c:v>
                </c:pt>
                <c:pt idx="22">
                  <c:v>115.6084</c:v>
                </c:pt>
                <c:pt idx="23">
                  <c:v>118.4764</c:v>
                </c:pt>
                <c:pt idx="24">
                  <c:v>148.99610000000001</c:v>
                </c:pt>
                <c:pt idx="25">
                  <c:v>142.99369999999999</c:v>
                </c:pt>
              </c:numCache>
            </c:numRef>
          </c:val>
          <c:smooth val="0"/>
          <c:extLst>
            <c:ext xmlns:c16="http://schemas.microsoft.com/office/drawing/2014/chart" uri="{C3380CC4-5D6E-409C-BE32-E72D297353CC}">
              <c16:uniqueId val="{00000001-956E-4401-96EF-2004294F698B}"/>
            </c:ext>
          </c:extLst>
        </c:ser>
        <c:ser>
          <c:idx val="5"/>
          <c:order val="2"/>
          <c:tx>
            <c:strRef>
              <c:f>Feuil2!$H$1:$H$2</c:f>
              <c:strCache>
                <c:ptCount val="2"/>
                <c:pt idx="0">
                  <c:v>Etats-Unis</c:v>
                </c:pt>
              </c:strCache>
            </c:strRef>
          </c:tx>
          <c:spPr>
            <a:ln w="25400" cap="rnd">
              <a:solidFill>
                <a:schemeClr val="tx1"/>
              </a:solidFill>
              <a:prstDash val="solid"/>
              <a:round/>
            </a:ln>
            <a:effectLst/>
          </c:spPr>
          <c:marker>
            <c:symbol val="none"/>
          </c:marker>
          <c:cat>
            <c:strRef>
              <c:f>Feuil2!$A$3:$A$28</c:f>
              <c:strCache>
                <c:ptCount val="2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strCache>
            </c:strRef>
          </c:cat>
          <c:val>
            <c:numRef>
              <c:f>Feuil2!$H$3:$H$28</c:f>
              <c:numCache>
                <c:formatCode>#\ ##0.00_ ;\-#\ ##0.00\ </c:formatCode>
                <c:ptCount val="26"/>
                <c:pt idx="0">
                  <c:v>91.184780000000003</c:v>
                </c:pt>
                <c:pt idx="1">
                  <c:v>86.101749999999996</c:v>
                </c:pt>
                <c:pt idx="2">
                  <c:v>81.561440000000005</c:v>
                </c:pt>
                <c:pt idx="3">
                  <c:v>76.157070000000004</c:v>
                </c:pt>
                <c:pt idx="4">
                  <c:v>72.13879</c:v>
                </c:pt>
                <c:pt idx="5">
                  <c:v>74.789389999999997</c:v>
                </c:pt>
                <c:pt idx="6">
                  <c:v>80.457400000000007</c:v>
                </c:pt>
                <c:pt idx="7">
                  <c:v>81.890789999999996</c:v>
                </c:pt>
                <c:pt idx="8">
                  <c:v>88.888729999999995</c:v>
                </c:pt>
                <c:pt idx="9">
                  <c:v>88.614680000000007</c:v>
                </c:pt>
                <c:pt idx="10">
                  <c:v>85.977999999999994</c:v>
                </c:pt>
                <c:pt idx="11">
                  <c:v>86.302319999999995</c:v>
                </c:pt>
                <c:pt idx="12">
                  <c:v>102.0617</c:v>
                </c:pt>
                <c:pt idx="13">
                  <c:v>115.50709999999999</c:v>
                </c:pt>
                <c:pt idx="14">
                  <c:v>125.3952</c:v>
                </c:pt>
                <c:pt idx="15">
                  <c:v>130.54820000000001</c:v>
                </c:pt>
                <c:pt idx="16">
                  <c:v>132.3252</c:v>
                </c:pt>
                <c:pt idx="17">
                  <c:v>135.87440000000001</c:v>
                </c:pt>
                <c:pt idx="18">
                  <c:v>135.54650000000001</c:v>
                </c:pt>
                <c:pt idx="19">
                  <c:v>136.9701</c:v>
                </c:pt>
                <c:pt idx="20">
                  <c:v>138.82140000000001</c:v>
                </c:pt>
                <c:pt idx="21">
                  <c:v>135.5308</c:v>
                </c:pt>
                <c:pt idx="22">
                  <c:v>137.46559999999999</c:v>
                </c:pt>
                <c:pt idx="23">
                  <c:v>136.245</c:v>
                </c:pt>
                <c:pt idx="24">
                  <c:v>161.43690000000001</c:v>
                </c:pt>
                <c:pt idx="25">
                  <c:v>150.35769999999999</c:v>
                </c:pt>
              </c:numCache>
            </c:numRef>
          </c:val>
          <c:smooth val="0"/>
          <c:extLst>
            <c:ext xmlns:c16="http://schemas.microsoft.com/office/drawing/2014/chart" uri="{C3380CC4-5D6E-409C-BE32-E72D297353CC}">
              <c16:uniqueId val="{00000002-956E-4401-96EF-2004294F698B}"/>
            </c:ext>
          </c:extLst>
        </c:ser>
        <c:dLbls>
          <c:showLegendKey val="0"/>
          <c:showVal val="0"/>
          <c:showCatName val="0"/>
          <c:showSerName val="0"/>
          <c:showPercent val="0"/>
          <c:showBubbleSize val="0"/>
        </c:dLbls>
        <c:marker val="1"/>
        <c:smooth val="0"/>
        <c:axId val="97527328"/>
        <c:axId val="207313152"/>
      </c:lineChart>
      <c:catAx>
        <c:axId val="9752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07313152"/>
        <c:crosses val="autoZero"/>
        <c:auto val="1"/>
        <c:lblAlgn val="ctr"/>
        <c:lblOffset val="100"/>
        <c:noMultiLvlLbl val="0"/>
      </c:catAx>
      <c:valAx>
        <c:axId val="207313152"/>
        <c:scaling>
          <c:orientation val="minMax"/>
          <c:max val="275"/>
          <c:min val="0"/>
        </c:scaling>
        <c:delete val="0"/>
        <c:axPos val="l"/>
        <c:majorGridlines>
          <c:spPr>
            <a:ln w="9525" cap="flat" cmpd="sng" algn="ctr">
              <a:solidFill>
                <a:schemeClr val="tx1">
                  <a:lumMod val="15000"/>
                  <a:lumOff val="85000"/>
                </a:schemeClr>
              </a:solidFill>
              <a:round/>
            </a:ln>
            <a:effectLst/>
          </c:spPr>
        </c:majorGridlines>
        <c:numFmt formatCode="#\ ##0.00_ ;\-#\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97527328"/>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'OECD.Stat export'!$D$5</c:f>
              <c:strCache>
                <c:ptCount val="1"/>
                <c:pt idx="0">
                  <c:v>Japon</c:v>
                </c:pt>
              </c:strCache>
            </c:strRef>
          </c:tx>
          <c:spPr>
            <a:ln w="19050" cap="rnd">
              <a:solidFill>
                <a:schemeClr val="tx1"/>
              </a:solidFill>
              <a:round/>
            </a:ln>
            <a:effectLst/>
          </c:spPr>
          <c:marker>
            <c:symbol val="triangle"/>
            <c:size val="5"/>
            <c:spPr>
              <a:solidFill>
                <a:schemeClr val="tx1"/>
              </a:solidFill>
              <a:ln w="9525">
                <a:solidFill>
                  <a:schemeClr val="tx1"/>
                </a:solidFill>
              </a:ln>
              <a:effectLst/>
            </c:spPr>
          </c:marker>
          <c:cat>
            <c:strRef>
              <c:f>'OECD.Stat export'!$A$6:$A$67</c:f>
              <c:strCach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strCache>
            </c:strRef>
          </c:cat>
          <c:val>
            <c:numRef>
              <c:f>'OECD.Stat export'!$D$6:$D$67</c:f>
              <c:numCache>
                <c:formatCode>#\ ##0.0_ ;\-#\ ##0.0\ </c:formatCode>
                <c:ptCount val="62"/>
                <c:pt idx="0">
                  <c:v>-1.65515246829923</c:v>
                </c:pt>
                <c:pt idx="1">
                  <c:v>-0.75719619799059201</c:v>
                </c:pt>
                <c:pt idx="2">
                  <c:v>-1.5393595694909601</c:v>
                </c:pt>
                <c:pt idx="3">
                  <c:v>-1.9621583449023501</c:v>
                </c:pt>
                <c:pt idx="4">
                  <c:v>-1.9672977560231999</c:v>
                </c:pt>
                <c:pt idx="5">
                  <c:v>-2.24651616346293</c:v>
                </c:pt>
                <c:pt idx="6">
                  <c:v>-2.7128257721235598</c:v>
                </c:pt>
                <c:pt idx="7">
                  <c:v>-1.45201516477902</c:v>
                </c:pt>
                <c:pt idx="8">
                  <c:v>-1.2904711495015899</c:v>
                </c:pt>
                <c:pt idx="9">
                  <c:v>-0.96145472539303001</c:v>
                </c:pt>
                <c:pt idx="10">
                  <c:v>-0.59092378219497599</c:v>
                </c:pt>
                <c:pt idx="11">
                  <c:v>-1.0903057771881799</c:v>
                </c:pt>
                <c:pt idx="12">
                  <c:v>-2.24092344263055</c:v>
                </c:pt>
                <c:pt idx="13">
                  <c:v>-1.7909655719456901</c:v>
                </c:pt>
                <c:pt idx="14">
                  <c:v>-1.74833404024339</c:v>
                </c:pt>
                <c:pt idx="15">
                  <c:v>-4.6803008585837604</c:v>
                </c:pt>
                <c:pt idx="16">
                  <c:v>-5.2796049330277501</c:v>
                </c:pt>
                <c:pt idx="17">
                  <c:v>-5.1916342869109702</c:v>
                </c:pt>
                <c:pt idx="18">
                  <c:v>-6.22537517131172</c:v>
                </c:pt>
                <c:pt idx="19">
                  <c:v>-5.3035423812682003</c:v>
                </c:pt>
                <c:pt idx="20">
                  <c:v>-4.6543730046093303</c:v>
                </c:pt>
                <c:pt idx="21">
                  <c:v>-4.0054389538050996</c:v>
                </c:pt>
                <c:pt idx="22">
                  <c:v>-3.8837138914010998</c:v>
                </c:pt>
                <c:pt idx="23">
                  <c:v>-3.9606593531171699</c:v>
                </c:pt>
                <c:pt idx="24">
                  <c:v>-2.5890254291871102</c:v>
                </c:pt>
                <c:pt idx="25">
                  <c:v>-1.2658413514530999</c:v>
                </c:pt>
                <c:pt idx="26">
                  <c:v>-1.24069272966796</c:v>
                </c:pt>
                <c:pt idx="27">
                  <c:v>-0.25736714786576598</c:v>
                </c:pt>
                <c:pt idx="28">
                  <c:v>0.60777091225483704</c:v>
                </c:pt>
                <c:pt idx="29">
                  <c:v>1.3953904939647299</c:v>
                </c:pt>
                <c:pt idx="30">
                  <c:v>2.1107301040853201</c:v>
                </c:pt>
                <c:pt idx="31">
                  <c:v>1.92887336173777</c:v>
                </c:pt>
                <c:pt idx="32">
                  <c:v>0.628719196321052</c:v>
                </c:pt>
                <c:pt idx="33">
                  <c:v>-2.4424397647006</c:v>
                </c:pt>
                <c:pt idx="34">
                  <c:v>-3.7619092449817102</c:v>
                </c:pt>
                <c:pt idx="35">
                  <c:v>-4.2956118675563904</c:v>
                </c:pt>
                <c:pt idx="36">
                  <c:v>-4.86922149069576</c:v>
                </c:pt>
                <c:pt idx="37">
                  <c:v>-3.52631142243342</c:v>
                </c:pt>
                <c:pt idx="38">
                  <c:v>-10.0468539170654</c:v>
                </c:pt>
                <c:pt idx="39">
                  <c:v>-6.7486533030292604</c:v>
                </c:pt>
                <c:pt idx="40">
                  <c:v>-7.2818287479102697</c:v>
                </c:pt>
                <c:pt idx="41">
                  <c:v>-6.2004435592403304</c:v>
                </c:pt>
                <c:pt idx="42">
                  <c:v>-7.3359890496983002</c:v>
                </c:pt>
                <c:pt idx="43">
                  <c:v>-7.4333843669258002</c:v>
                </c:pt>
                <c:pt idx="44">
                  <c:v>-5.3141778403054998</c:v>
                </c:pt>
                <c:pt idx="45">
                  <c:v>-4.4384623546169104</c:v>
                </c:pt>
                <c:pt idx="46">
                  <c:v>-3.0287560854472</c:v>
                </c:pt>
                <c:pt idx="47">
                  <c:v>-2.90100756265372</c:v>
                </c:pt>
                <c:pt idx="48">
                  <c:v>-4.1096290087714902</c:v>
                </c:pt>
                <c:pt idx="49">
                  <c:v>-9.6930042203231608</c:v>
                </c:pt>
                <c:pt idx="50">
                  <c:v>-9.0758502057046506</c:v>
                </c:pt>
                <c:pt idx="51">
                  <c:v>-8.9855259505046607</c:v>
                </c:pt>
                <c:pt idx="52">
                  <c:v>-8.1964766257961408</c:v>
                </c:pt>
                <c:pt idx="53">
                  <c:v>-7.6114122924171799</c:v>
                </c:pt>
                <c:pt idx="54">
                  <c:v>-5.6160710516794898</c:v>
                </c:pt>
                <c:pt idx="55">
                  <c:v>-3.6778461070088202</c:v>
                </c:pt>
                <c:pt idx="56">
                  <c:v>-3.5995727863273901</c:v>
                </c:pt>
                <c:pt idx="57">
                  <c:v>-3.0987591149811999</c:v>
                </c:pt>
                <c:pt idx="58">
                  <c:v>-2.4726639980323202</c:v>
                </c:pt>
                <c:pt idx="59">
                  <c:v>-2.8996599520381898</c:v>
                </c:pt>
                <c:pt idx="60">
                  <c:v>-9.5308085675793599</c:v>
                </c:pt>
                <c:pt idx="61">
                  <c:v>-6.3611225552000796</c:v>
                </c:pt>
              </c:numCache>
            </c:numRef>
          </c:val>
          <c:smooth val="0"/>
          <c:extLst>
            <c:ext xmlns:c16="http://schemas.microsoft.com/office/drawing/2014/chart" uri="{C3380CC4-5D6E-409C-BE32-E72D297353CC}">
              <c16:uniqueId val="{00000000-937D-459E-838B-462FD4C3CFB9}"/>
            </c:ext>
          </c:extLst>
        </c:ser>
        <c:ser>
          <c:idx val="5"/>
          <c:order val="1"/>
          <c:tx>
            <c:strRef>
              <c:f>'OECD.Stat export'!$G$5</c:f>
              <c:strCache>
                <c:ptCount val="1"/>
                <c:pt idx="0">
                  <c:v>Royaume-Uni</c:v>
                </c:pt>
              </c:strCache>
            </c:strRef>
          </c:tx>
          <c:spPr>
            <a:ln w="19050" cap="rnd">
              <a:solidFill>
                <a:schemeClr val="tx1"/>
              </a:solidFill>
              <a:round/>
            </a:ln>
            <a:effectLst/>
          </c:spPr>
          <c:marker>
            <c:symbol val="square"/>
            <c:size val="5"/>
            <c:spPr>
              <a:solidFill>
                <a:schemeClr val="tx1"/>
              </a:solidFill>
              <a:ln w="9525">
                <a:solidFill>
                  <a:schemeClr val="tx1"/>
                </a:solidFill>
              </a:ln>
              <a:effectLst/>
            </c:spPr>
          </c:marker>
          <c:cat>
            <c:strRef>
              <c:f>'OECD.Stat export'!$A$6:$A$67</c:f>
              <c:strCach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strCache>
            </c:strRef>
          </c:cat>
          <c:val>
            <c:numRef>
              <c:f>'OECD.Stat export'!$G$6:$G$67</c:f>
              <c:numCache>
                <c:formatCode>General</c:formatCode>
                <c:ptCount val="62"/>
                <c:pt idx="10" formatCode="#\ ##0.0_ ;\-#\ ##0.0\ ">
                  <c:v>2.6810219933027399</c:v>
                </c:pt>
                <c:pt idx="11" formatCode="#\ ##0.0_ ;\-#\ ##0.0\ ">
                  <c:v>1.50994927556069</c:v>
                </c:pt>
                <c:pt idx="12" formatCode="#\ ##0.0_ ;\-#\ ##0.0\ ">
                  <c:v>-1.6938069831609901</c:v>
                </c:pt>
                <c:pt idx="13" formatCode="#\ ##0.0_ ;\-#\ ##0.0\ ">
                  <c:v>-3.6594831580524998</c:v>
                </c:pt>
                <c:pt idx="14" formatCode="#\ ##0.0_ ;\-#\ ##0.0\ ">
                  <c:v>-3.60284632129849</c:v>
                </c:pt>
                <c:pt idx="15" formatCode="#\ ##0.0_ ;\-#\ ##0.0\ ">
                  <c:v>-4.62062143195599</c:v>
                </c:pt>
                <c:pt idx="16" formatCode="#\ ##0.0_ ;\-#\ ##0.0\ ">
                  <c:v>-4.7403912289872601</c:v>
                </c:pt>
                <c:pt idx="17" formatCode="#\ ##0.0_ ;\-#\ ##0.0\ ">
                  <c:v>-3.3417087686363498</c:v>
                </c:pt>
                <c:pt idx="18" formatCode="#\ ##0.0_ ;\-#\ ##0.0\ ">
                  <c:v>-4.3799238472312201</c:v>
                </c:pt>
                <c:pt idx="19" formatCode="#\ ##0.0_ ;\-#\ ##0.0\ ">
                  <c:v>-3.5534750048875399</c:v>
                </c:pt>
                <c:pt idx="20" formatCode="#\ ##0.0_ ;\-#\ ##0.0\ ">
                  <c:v>-3.2169775485609602</c:v>
                </c:pt>
                <c:pt idx="21" formatCode="#\ ##0.0_ ;\-#\ ##0.0\ ">
                  <c:v>-4.2601781876145104</c:v>
                </c:pt>
                <c:pt idx="22" formatCode="#\ ##0.0_ ;\-#\ ##0.0\ ">
                  <c:v>-2.5886317377267098</c:v>
                </c:pt>
                <c:pt idx="23" formatCode="#\ ##0.0_ ;\-#\ ##0.0\ ">
                  <c:v>-3.2574795654003399</c:v>
                </c:pt>
                <c:pt idx="24" formatCode="#\ ##0.0_ ;\-#\ ##0.0\ ">
                  <c:v>-3.4940408254588502</c:v>
                </c:pt>
                <c:pt idx="25" formatCode="#\ ##0.0_ ;\-#\ ##0.0\ ">
                  <c:v>-2.7304252472112198</c:v>
                </c:pt>
                <c:pt idx="26" formatCode="#\ ##0.0_ ;\-#\ ##0.0\ ">
                  <c:v>-2.4914891912603401</c:v>
                </c:pt>
                <c:pt idx="27" formatCode="#\ ##0.0_ ;\-#\ ##0.0\ ">
                  <c:v>-1.7193778641183699</c:v>
                </c:pt>
                <c:pt idx="28" formatCode="#\ ##0.0_ ;\-#\ ##0.0\ ">
                  <c:v>1.9784884348358001E-2</c:v>
                </c:pt>
                <c:pt idx="29" formatCode="#\ ##0.0_ ;\-#\ ##0.0\ ">
                  <c:v>4.9908555171712998E-2</c:v>
                </c:pt>
                <c:pt idx="30" formatCode="#\ ##0.0_ ;\-#\ ##0.0\ ">
                  <c:v>-1.8715487861131901</c:v>
                </c:pt>
                <c:pt idx="31" formatCode="#\ ##0.0_ ;\-#\ ##0.0\ ">
                  <c:v>-2.9177118393482901</c:v>
                </c:pt>
                <c:pt idx="32" formatCode="#\ ##0.0_ ;\-#\ ##0.0\ ">
                  <c:v>-5.5424384981462396</c:v>
                </c:pt>
                <c:pt idx="33" formatCode="#\ ##0.0_ ;\-#\ ##0.0\ ">
                  <c:v>-6.7955728052640998</c:v>
                </c:pt>
                <c:pt idx="34" formatCode="#\ ##0.0_ ;\-#\ ##0.0\ ">
                  <c:v>-5.9251079357223801</c:v>
                </c:pt>
                <c:pt idx="35" formatCode="#\ ##0.0_ ;\-#\ ##0.0\ ">
                  <c:v>-5.02468273427501</c:v>
                </c:pt>
                <c:pt idx="36" formatCode="#\ ##0.0_ ;\-#\ ##0.0\ ">
                  <c:v>-3.5696138350795801</c:v>
                </c:pt>
                <c:pt idx="37" formatCode="#\ ##0.0_ ;\-#\ ##0.0\ ">
                  <c:v>-2.0873727803817999</c:v>
                </c:pt>
                <c:pt idx="38" formatCode="#\ ##0.0_ ;\-#\ ##0.0\ ">
                  <c:v>-0.332960038785237</c:v>
                </c:pt>
                <c:pt idx="39" formatCode="#\ ##0.0_ ;\-#\ ##0.0\ ">
                  <c:v>0.61306947416912205</c:v>
                </c:pt>
                <c:pt idx="40" formatCode="#\ ##0.0_ ;\-#\ ##0.0\ ">
                  <c:v>1.34264906690942</c:v>
                </c:pt>
                <c:pt idx="41" formatCode="#\ ##0.0_ ;\-#\ ##0.0\ ">
                  <c:v>0.19780687429237401</c:v>
                </c:pt>
                <c:pt idx="42" formatCode="#\ ##0.0_ ;\-#\ ##0.0\ ">
                  <c:v>-1.9189539760202201</c:v>
                </c:pt>
                <c:pt idx="43" formatCode="#\ ##0.0_ ;\-#\ ##0.0\ ">
                  <c:v>-3.16348801955602</c:v>
                </c:pt>
                <c:pt idx="44" formatCode="#\ ##0.0_ ;\-#\ ##0.0\ ">
                  <c:v>-3.0802202911259902</c:v>
                </c:pt>
                <c:pt idx="45" formatCode="#\ ##0.0_ ;\-#\ ##0.0\ ">
                  <c:v>-2.9599415856467601</c:v>
                </c:pt>
                <c:pt idx="46" formatCode="#\ ##0.0_ ;\-#\ ##0.0\ ">
                  <c:v>-2.8637075901896201</c:v>
                </c:pt>
                <c:pt idx="47" formatCode="#\ ##0.0_ ;\-#\ ##0.0\ ">
                  <c:v>-2.67406133451854</c:v>
                </c:pt>
                <c:pt idx="48" formatCode="#\ ##0.0_ ;\-#\ ##0.0\ ">
                  <c:v>-5.1625893196693404</c:v>
                </c:pt>
                <c:pt idx="49" formatCode="#\ ##0.0_ ;\-#\ ##0.0\ ">
                  <c:v>-10.3394086518701</c:v>
                </c:pt>
                <c:pt idx="50" formatCode="#\ ##0.0_ ;\-#\ ##0.0\ ">
                  <c:v>-9.2551459345798701</c:v>
                </c:pt>
                <c:pt idx="51" formatCode="#\ ##0.0_ ;\-#\ ##0.0\ ">
                  <c:v>-7.4508133828568797</c:v>
                </c:pt>
                <c:pt idx="52" formatCode="#\ ##0.0_ ;\-#\ ##0.0\ ">
                  <c:v>-8.1064626413494008</c:v>
                </c:pt>
                <c:pt idx="53" formatCode="#\ ##0.0_ ;\-#\ ##0.0\ ">
                  <c:v>-5.4844115539370604</c:v>
                </c:pt>
                <c:pt idx="54" formatCode="#\ ##0.0_ ;\-#\ ##0.0\ ">
                  <c:v>-5.5095455509705404</c:v>
                </c:pt>
                <c:pt idx="55" formatCode="#\ ##0.0_ ;\-#\ ##0.0\ ">
                  <c:v>-4.5307697554583202</c:v>
                </c:pt>
                <c:pt idx="56" formatCode="#\ ##0.0_ ;\-#\ ##0.0\ ">
                  <c:v>-3.2673687592914602</c:v>
                </c:pt>
                <c:pt idx="57" formatCode="#\ ##0.0_ ;\-#\ ##0.0\ ">
                  <c:v>-2.4259194532752399</c:v>
                </c:pt>
                <c:pt idx="58" formatCode="#\ ##0.0_ ;\-#\ ##0.0\ ">
                  <c:v>-2.19717804615569</c:v>
                </c:pt>
                <c:pt idx="59" formatCode="#\ ##0.0_ ;\-#\ ##0.0\ ">
                  <c:v>-2.28920272976828</c:v>
                </c:pt>
                <c:pt idx="60" formatCode="#\ ##0.0_ ;\-#\ ##0.0\ ">
                  <c:v>-12.881057366796</c:v>
                </c:pt>
                <c:pt idx="61" formatCode="#\ ##0.0_ ;\-#\ ##0.0\ ">
                  <c:v>-9.0659757406933092</c:v>
                </c:pt>
              </c:numCache>
            </c:numRef>
          </c:val>
          <c:smooth val="0"/>
          <c:extLst>
            <c:ext xmlns:c16="http://schemas.microsoft.com/office/drawing/2014/chart" uri="{C3380CC4-5D6E-409C-BE32-E72D297353CC}">
              <c16:uniqueId val="{00000001-937D-459E-838B-462FD4C3CFB9}"/>
            </c:ext>
          </c:extLst>
        </c:ser>
        <c:ser>
          <c:idx val="6"/>
          <c:order val="2"/>
          <c:tx>
            <c:strRef>
              <c:f>'OECD.Stat export'!$H$5</c:f>
              <c:strCache>
                <c:ptCount val="1"/>
                <c:pt idx="0">
                  <c:v>États-Unis</c:v>
                </c:pt>
              </c:strCache>
            </c:strRef>
          </c:tx>
          <c:spPr>
            <a:ln w="19050" cap="rnd">
              <a:solidFill>
                <a:schemeClr val="tx1"/>
              </a:solidFill>
              <a:round/>
            </a:ln>
            <a:effectLst/>
          </c:spPr>
          <c:marker>
            <c:symbol val="none"/>
          </c:marker>
          <c:cat>
            <c:strRef>
              <c:f>'OECD.Stat export'!$A$6:$A$67</c:f>
              <c:strCach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strCache>
            </c:strRef>
          </c:cat>
          <c:val>
            <c:numRef>
              <c:f>'OECD.Stat export'!$H$6:$H$67</c:f>
              <c:numCache>
                <c:formatCode>#\ ##0.0_ ;\-#\ ##0.0\ </c:formatCode>
                <c:ptCount val="62"/>
                <c:pt idx="0">
                  <c:v>-2.36069672265271</c:v>
                </c:pt>
                <c:pt idx="1">
                  <c:v>-3.6836785559126302</c:v>
                </c:pt>
                <c:pt idx="2">
                  <c:v>-3.6012958637836201</c:v>
                </c:pt>
                <c:pt idx="3">
                  <c:v>-2.8773561596450898</c:v>
                </c:pt>
                <c:pt idx="4">
                  <c:v>-3.3470838023760301</c:v>
                </c:pt>
                <c:pt idx="5">
                  <c:v>-2.8980240546066698</c:v>
                </c:pt>
                <c:pt idx="6">
                  <c:v>-3.18398846835328</c:v>
                </c:pt>
                <c:pt idx="7">
                  <c:v>-4.6762553327567504</c:v>
                </c:pt>
                <c:pt idx="8">
                  <c:v>-3.5416864890264299</c:v>
                </c:pt>
                <c:pt idx="9">
                  <c:v>-2.2255469897751099</c:v>
                </c:pt>
                <c:pt idx="10">
                  <c:v>-4.7316456887359202</c:v>
                </c:pt>
                <c:pt idx="11">
                  <c:v>-5.5753757083263302</c:v>
                </c:pt>
                <c:pt idx="12">
                  <c:v>-4.2588139271619703</c:v>
                </c:pt>
                <c:pt idx="13">
                  <c:v>-3.0364619581079002</c:v>
                </c:pt>
                <c:pt idx="14">
                  <c:v>-3.6412893121953398</c:v>
                </c:pt>
                <c:pt idx="15">
                  <c:v>-7.63805674503904</c:v>
                </c:pt>
                <c:pt idx="16">
                  <c:v>-5.5322172772947802</c:v>
                </c:pt>
                <c:pt idx="17">
                  <c:v>-4.2499369543549497</c:v>
                </c:pt>
                <c:pt idx="18">
                  <c:v>-3.4818546318754402</c:v>
                </c:pt>
                <c:pt idx="19">
                  <c:v>-2.9493482204579702</c:v>
                </c:pt>
                <c:pt idx="20">
                  <c:v>-4.4416887430951197</c:v>
                </c:pt>
                <c:pt idx="21">
                  <c:v>-3.9931276219163099</c:v>
                </c:pt>
                <c:pt idx="22">
                  <c:v>-6.5559379975876197</c:v>
                </c:pt>
                <c:pt idx="23">
                  <c:v>-7.2114094065923702</c:v>
                </c:pt>
                <c:pt idx="24">
                  <c:v>-6.0766024191515102</c:v>
                </c:pt>
                <c:pt idx="25">
                  <c:v>-6.2427798419467404</c:v>
                </c:pt>
                <c:pt idx="26">
                  <c:v>-6.4419852466327798</c:v>
                </c:pt>
                <c:pt idx="27">
                  <c:v>-5.4364416826953903</c:v>
                </c:pt>
                <c:pt idx="28">
                  <c:v>-4.7031875484823802</c:v>
                </c:pt>
                <c:pt idx="29">
                  <c:v>-4.4766673942997697</c:v>
                </c:pt>
                <c:pt idx="30">
                  <c:v>-5.4723644546933299</c:v>
                </c:pt>
                <c:pt idx="31">
                  <c:v>-6.2900393004904798</c:v>
                </c:pt>
                <c:pt idx="32">
                  <c:v>-7.2802710937553003</c:v>
                </c:pt>
                <c:pt idx="33">
                  <c:v>-6.4418200996608803</c:v>
                </c:pt>
                <c:pt idx="34">
                  <c:v>-5.0488103412041001</c:v>
                </c:pt>
                <c:pt idx="35">
                  <c:v>-4.6838153752232099</c:v>
                </c:pt>
                <c:pt idx="36">
                  <c:v>-3.5334658491927202</c:v>
                </c:pt>
                <c:pt idx="37">
                  <c:v>-2.0919662106410901</c:v>
                </c:pt>
                <c:pt idx="38">
                  <c:v>-0.93298808011317202</c:v>
                </c:pt>
                <c:pt idx="39">
                  <c:v>-0.52066354231508705</c:v>
                </c:pt>
                <c:pt idx="40">
                  <c:v>0.313685499649203</c:v>
                </c:pt>
                <c:pt idx="41">
                  <c:v>-1.90328719839266</c:v>
                </c:pt>
                <c:pt idx="42">
                  <c:v>-5.3510815944201102</c:v>
                </c:pt>
                <c:pt idx="43">
                  <c:v>-6.4814277756821603</c:v>
                </c:pt>
                <c:pt idx="44">
                  <c:v>-5.8091010778803298</c:v>
                </c:pt>
                <c:pt idx="45">
                  <c:v>-4.5016518271792396</c:v>
                </c:pt>
                <c:pt idx="46">
                  <c:v>-3.43636421278784</c:v>
                </c:pt>
                <c:pt idx="47">
                  <c:v>-4.0939405606945396</c:v>
                </c:pt>
                <c:pt idx="48">
                  <c:v>-7.48275466225597</c:v>
                </c:pt>
                <c:pt idx="49">
                  <c:v>-13.231642270194699</c:v>
                </c:pt>
                <c:pt idx="50">
                  <c:v>-12.5200943984871</c:v>
                </c:pt>
                <c:pt idx="51">
                  <c:v>-11.082254667616301</c:v>
                </c:pt>
                <c:pt idx="52">
                  <c:v>-9.3201799314259794</c:v>
                </c:pt>
                <c:pt idx="53">
                  <c:v>-5.9443900365523001</c:v>
                </c:pt>
                <c:pt idx="54">
                  <c:v>-5.3600549072500003</c:v>
                </c:pt>
                <c:pt idx="55">
                  <c:v>-4.6904394032008101</c:v>
                </c:pt>
                <c:pt idx="56">
                  <c:v>-5.4638859157028303</c:v>
                </c:pt>
                <c:pt idx="57">
                  <c:v>-4.33434990847487</c:v>
                </c:pt>
                <c:pt idx="58">
                  <c:v>-6.2126084546406197</c:v>
                </c:pt>
                <c:pt idx="59">
                  <c:v>-6.4387844384129096</c:v>
                </c:pt>
                <c:pt idx="60">
                  <c:v>-15.396532182322201</c:v>
                </c:pt>
                <c:pt idx="61">
                  <c:v>-12.522879707338801</c:v>
                </c:pt>
              </c:numCache>
            </c:numRef>
          </c:val>
          <c:smooth val="0"/>
          <c:extLst>
            <c:ext xmlns:c16="http://schemas.microsoft.com/office/drawing/2014/chart" uri="{C3380CC4-5D6E-409C-BE32-E72D297353CC}">
              <c16:uniqueId val="{00000002-937D-459E-838B-462FD4C3CFB9}"/>
            </c:ext>
          </c:extLst>
        </c:ser>
        <c:dLbls>
          <c:showLegendKey val="0"/>
          <c:showVal val="0"/>
          <c:showCatName val="0"/>
          <c:showSerName val="0"/>
          <c:showPercent val="0"/>
          <c:showBubbleSize val="0"/>
        </c:dLbls>
        <c:marker val="1"/>
        <c:smooth val="0"/>
        <c:axId val="412569920"/>
        <c:axId val="402808320"/>
      </c:lineChart>
      <c:catAx>
        <c:axId val="4125699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02808320"/>
        <c:crosses val="autoZero"/>
        <c:auto val="1"/>
        <c:lblAlgn val="ctr"/>
        <c:lblOffset val="100"/>
        <c:noMultiLvlLbl val="0"/>
      </c:catAx>
      <c:valAx>
        <c:axId val="402808320"/>
        <c:scaling>
          <c:orientation val="minMax"/>
          <c:min val="-16"/>
        </c:scaling>
        <c:delete val="0"/>
        <c:axPos val="l"/>
        <c:majorGridlines>
          <c:spPr>
            <a:ln w="9525" cap="flat" cmpd="sng" algn="ctr">
              <a:solidFill>
                <a:schemeClr val="tx1">
                  <a:lumMod val="15000"/>
                  <a:lumOff val="85000"/>
                </a:schemeClr>
              </a:solidFill>
              <a:round/>
            </a:ln>
            <a:effectLst/>
          </c:spPr>
        </c:majorGridlines>
        <c:numFmt formatCode="#\ ##0.0_ ;\-#\ ##0.0\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1256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2112</TotalTime>
  <Pages>22</Pages>
  <Words>8980</Words>
  <Characters>49392</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L'Oeillet</dc:creator>
  <cp:keywords/>
  <dc:description/>
  <cp:lastModifiedBy>Guillaume L'Oeillet</cp:lastModifiedBy>
  <cp:revision>7</cp:revision>
  <dcterms:created xsi:type="dcterms:W3CDTF">2022-11-05T22:34:00Z</dcterms:created>
  <dcterms:modified xsi:type="dcterms:W3CDTF">2022-11-16T08:27:00Z</dcterms:modified>
</cp:coreProperties>
</file>