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3E05" w14:textId="3DFBC4BC" w:rsidR="007F423C" w:rsidRPr="00CD345E" w:rsidRDefault="00641C50" w:rsidP="00641C50">
      <w:pPr>
        <w:pStyle w:val="Titel1"/>
        <w:tabs>
          <w:tab w:val="center" w:pos="4649"/>
          <w:tab w:val="right" w:pos="9299"/>
        </w:tabs>
        <w:jc w:val="left"/>
        <w:rPr>
          <w:lang w:val="en-GB"/>
        </w:rPr>
      </w:pPr>
      <w:r>
        <w:rPr>
          <w:lang w:val="en-GB"/>
        </w:rPr>
        <w:tab/>
      </w:r>
      <w:r w:rsidR="00EE51A0">
        <w:rPr>
          <w:lang w:val="en-GB"/>
        </w:rPr>
        <w:t>C</w:t>
      </w:r>
      <w:r w:rsidR="00EE51A0">
        <w:t>oncept of Collective Ownership under the Indian Geographical Indications Act</w:t>
      </w:r>
      <w:r>
        <w:rPr>
          <w:lang w:val="en-GB"/>
        </w:rPr>
        <w:tab/>
      </w:r>
    </w:p>
    <w:p w14:paraId="56B54BA3" w14:textId="77777777" w:rsidR="007F423C" w:rsidRPr="00BF3817" w:rsidRDefault="007F423C">
      <w:pPr>
        <w:pStyle w:val="Titel1"/>
        <w:rPr>
          <w:lang w:val="en-GB"/>
        </w:rPr>
      </w:pPr>
    </w:p>
    <w:p w14:paraId="042395F1" w14:textId="1FC3CF3F" w:rsidR="007F423C" w:rsidRPr="00BF3817" w:rsidRDefault="00EE51A0">
      <w:pPr>
        <w:pStyle w:val="Authors"/>
        <w:rPr>
          <w:sz w:val="20"/>
          <w:lang w:val="en-GB"/>
        </w:rPr>
      </w:pPr>
      <w:r>
        <w:rPr>
          <w:sz w:val="20"/>
          <w:lang w:val="en-GB"/>
        </w:rPr>
        <w:t>SULOK S K</w:t>
      </w:r>
      <w:r w:rsidR="000A201C" w:rsidRPr="00BF3817">
        <w:rPr>
          <w:sz w:val="20"/>
          <w:vertAlign w:val="superscript"/>
          <w:lang w:val="en-GB"/>
        </w:rPr>
        <w:t>1</w:t>
      </w:r>
    </w:p>
    <w:p w14:paraId="643BFD57" w14:textId="77777777" w:rsidR="007F423C" w:rsidRPr="00BF3817" w:rsidRDefault="007F423C">
      <w:pPr>
        <w:pStyle w:val="Authors"/>
        <w:rPr>
          <w:sz w:val="20"/>
          <w:lang w:val="en-GB"/>
        </w:rPr>
      </w:pPr>
    </w:p>
    <w:p w14:paraId="0C5634DD" w14:textId="77777777" w:rsidR="007F423C" w:rsidRPr="00EE51A0" w:rsidRDefault="007F423C">
      <w:pPr>
        <w:pStyle w:val="Authors"/>
        <w:jc w:val="left"/>
        <w:rPr>
          <w:sz w:val="16"/>
          <w:szCs w:val="16"/>
          <w:lang w:val="en-GB"/>
        </w:rPr>
        <w:sectPr w:rsidR="007F423C" w:rsidRPr="00EE51A0" w:rsidSect="002F01EA">
          <w:headerReference w:type="even" r:id="rId6"/>
          <w:headerReference w:type="default" r:id="rId7"/>
          <w:footerReference w:type="even" r:id="rId8"/>
          <w:footerReference w:type="default" r:id="rId9"/>
          <w:headerReference w:type="first" r:id="rId10"/>
          <w:footerReference w:type="first" r:id="rId11"/>
          <w:pgSz w:w="11907" w:h="16840" w:code="9"/>
          <w:pgMar w:top="1251" w:right="1134" w:bottom="1418" w:left="1474" w:header="142" w:footer="709" w:gutter="0"/>
          <w:cols w:space="720"/>
        </w:sectPr>
      </w:pPr>
    </w:p>
    <w:p w14:paraId="2854C25D" w14:textId="6529A5E3" w:rsidR="00EE51A0" w:rsidRPr="00EE51A0" w:rsidRDefault="007F423C" w:rsidP="00EE51A0">
      <w:pPr>
        <w:pStyle w:val="NormalWeb"/>
        <w:shd w:val="clear" w:color="auto" w:fill="FFFFFF"/>
        <w:jc w:val="both"/>
        <w:rPr>
          <w:rFonts w:ascii="Verdana" w:hAnsi="Verdana"/>
          <w:color w:val="151515"/>
          <w:sz w:val="16"/>
          <w:szCs w:val="16"/>
        </w:rPr>
      </w:pPr>
      <w:r w:rsidRPr="00EE51A0">
        <w:rPr>
          <w:rFonts w:ascii="Verdana" w:hAnsi="Verdana"/>
          <w:i/>
          <w:iCs/>
          <w:sz w:val="16"/>
          <w:szCs w:val="16"/>
        </w:rPr>
        <w:t xml:space="preserve">Abstract </w:t>
      </w:r>
      <w:r w:rsidR="00D54350" w:rsidRPr="00EE51A0">
        <w:rPr>
          <w:rFonts w:ascii="Verdana" w:hAnsi="Verdana"/>
          <w:i/>
          <w:iCs/>
          <w:sz w:val="16"/>
          <w:szCs w:val="16"/>
        </w:rPr>
        <w:t>–</w:t>
      </w:r>
      <w:r w:rsidRPr="00EE51A0">
        <w:rPr>
          <w:rFonts w:ascii="Verdana" w:hAnsi="Verdana"/>
          <w:sz w:val="16"/>
          <w:szCs w:val="16"/>
        </w:rPr>
        <w:t xml:space="preserve"> </w:t>
      </w:r>
      <w:r w:rsidR="00EE51A0" w:rsidRPr="00EE51A0">
        <w:rPr>
          <w:rFonts w:ascii="Verdana" w:hAnsi="Verdana"/>
          <w:color w:val="151515"/>
          <w:sz w:val="16"/>
          <w:szCs w:val="16"/>
        </w:rPr>
        <w:t>The recent Basmati Rice controversy has</w:t>
      </w:r>
      <w:r w:rsidR="000D779A">
        <w:rPr>
          <w:rFonts w:ascii="Verdana" w:hAnsi="Verdana"/>
          <w:color w:val="151515"/>
          <w:sz w:val="16"/>
          <w:szCs w:val="16"/>
        </w:rPr>
        <w:t xml:space="preserve"> </w:t>
      </w:r>
      <w:r w:rsidR="00EE51A0" w:rsidRPr="00EE51A0">
        <w:rPr>
          <w:rFonts w:ascii="Verdana" w:hAnsi="Verdana"/>
          <w:color w:val="151515"/>
          <w:sz w:val="16"/>
          <w:szCs w:val="16"/>
        </w:rPr>
        <w:t>brought t</w:t>
      </w:r>
      <w:r w:rsidR="00683B76">
        <w:rPr>
          <w:rFonts w:ascii="Verdana" w:hAnsi="Verdana"/>
          <w:color w:val="151515"/>
          <w:sz w:val="16"/>
          <w:szCs w:val="16"/>
        </w:rPr>
        <w:t>he subject matter of Geographical Indications to the limelight</w:t>
      </w:r>
      <w:r w:rsidR="00EE51A0" w:rsidRPr="00EE51A0">
        <w:rPr>
          <w:rFonts w:ascii="Verdana" w:hAnsi="Verdana"/>
          <w:color w:val="151515"/>
          <w:sz w:val="16"/>
          <w:szCs w:val="16"/>
        </w:rPr>
        <w:t xml:space="preserve"> </w:t>
      </w:r>
      <w:r w:rsidR="00F159B7">
        <w:rPr>
          <w:rFonts w:ascii="Verdana" w:hAnsi="Verdana"/>
          <w:color w:val="151515"/>
          <w:sz w:val="16"/>
          <w:szCs w:val="16"/>
        </w:rPr>
        <w:t xml:space="preserve">once again </w:t>
      </w:r>
      <w:r w:rsidR="00EE51A0" w:rsidRPr="00EE51A0">
        <w:rPr>
          <w:rFonts w:ascii="Verdana" w:hAnsi="Verdana"/>
          <w:color w:val="151515"/>
          <w:sz w:val="16"/>
          <w:szCs w:val="16"/>
        </w:rPr>
        <w:t>in India. It puts forth the pertinent question of</w:t>
      </w:r>
      <w:r w:rsidR="00683B76">
        <w:rPr>
          <w:rFonts w:ascii="Verdana" w:hAnsi="Verdana"/>
          <w:color w:val="151515"/>
          <w:sz w:val="16"/>
          <w:szCs w:val="16"/>
        </w:rPr>
        <w:t>;</w:t>
      </w:r>
      <w:r w:rsidR="00EE51A0" w:rsidRPr="00EE51A0">
        <w:rPr>
          <w:rFonts w:ascii="Verdana" w:hAnsi="Verdana"/>
          <w:color w:val="151515"/>
          <w:sz w:val="16"/>
          <w:szCs w:val="16"/>
        </w:rPr>
        <w:t xml:space="preserve"> who are the real owners of GI and whether India has any legal clarity about the ownership notion. It has led to my research paper attempting to unearth the legal notion of collective ownership in GI and whether it is adequately conceptualised in the Indian scenario. </w:t>
      </w:r>
    </w:p>
    <w:p w14:paraId="6236BC5A" w14:textId="4C5DEF77" w:rsidR="007F423C" w:rsidRPr="00EE51A0" w:rsidRDefault="00EE51A0" w:rsidP="00EE51A0">
      <w:pPr>
        <w:jc w:val="both"/>
        <w:rPr>
          <w:rFonts w:ascii="Verdana" w:hAnsi="Verdana"/>
          <w:color w:val="151515"/>
          <w:sz w:val="16"/>
          <w:szCs w:val="16"/>
        </w:rPr>
      </w:pPr>
      <w:r w:rsidRPr="00EE51A0">
        <w:rPr>
          <w:rFonts w:ascii="Verdana" w:hAnsi="Verdana"/>
          <w:color w:val="151515"/>
          <w:sz w:val="16"/>
          <w:szCs w:val="16"/>
        </w:rPr>
        <w:t xml:space="preserve">The research has led to the understanding that the concept of collective ownership in GI in the Indian scenario is not adequately conceptualised. The history of the legal protection of GI traces back to the Pre-TRIPS period, wherein it was narrow in scope. In the </w:t>
      </w:r>
      <w:r w:rsidR="004432EE">
        <w:rPr>
          <w:rFonts w:ascii="Verdana" w:hAnsi="Verdana"/>
          <w:color w:val="151515"/>
          <w:sz w:val="16"/>
          <w:szCs w:val="16"/>
        </w:rPr>
        <w:t>P</w:t>
      </w:r>
      <w:r w:rsidRPr="00EE51A0">
        <w:rPr>
          <w:rFonts w:ascii="Verdana" w:hAnsi="Verdana"/>
          <w:color w:val="151515"/>
          <w:sz w:val="16"/>
          <w:szCs w:val="16"/>
        </w:rPr>
        <w:t>ost-TRIPS scenario</w:t>
      </w:r>
      <w:r w:rsidR="000D779A">
        <w:rPr>
          <w:rFonts w:ascii="Verdana" w:hAnsi="Verdana"/>
          <w:color w:val="151515"/>
          <w:sz w:val="16"/>
          <w:szCs w:val="16"/>
        </w:rPr>
        <w:t>,</w:t>
      </w:r>
      <w:r w:rsidRPr="00EE51A0">
        <w:rPr>
          <w:rFonts w:ascii="Verdana" w:hAnsi="Verdana"/>
          <w:color w:val="151515"/>
          <w:sz w:val="16"/>
          <w:szCs w:val="16"/>
        </w:rPr>
        <w:t xml:space="preserve"> the sui-generis legislation was adopted under the TRIPS mandate. There is a lack of legislative clarity on the concept, and the judicial contribution remains minimal. The case studies conducted reveal the lacunas when the concept is implemented on the ground, necessitating a proper legal articulation of collective ownership in the Indian scenario so that the real owners of GI are identified and protected.</w:t>
      </w:r>
      <w:r w:rsidR="007F423C" w:rsidRPr="00EA1A08">
        <w:rPr>
          <w:rStyle w:val="FootnoteReference"/>
          <w:color w:val="FFFFFF"/>
        </w:rPr>
        <w:footnoteReference w:id="1"/>
      </w:r>
    </w:p>
    <w:p w14:paraId="29899D32" w14:textId="77777777" w:rsidR="00EE51A0" w:rsidRPr="00BF3817" w:rsidRDefault="00EE51A0">
      <w:pPr>
        <w:pStyle w:val="abstract"/>
      </w:pPr>
    </w:p>
    <w:p w14:paraId="68E4C021" w14:textId="62882530" w:rsidR="007F423C" w:rsidRPr="00AB65F9" w:rsidRDefault="008B0641">
      <w:pPr>
        <w:pStyle w:val="Normaltext"/>
        <w:rPr>
          <w:b/>
          <w:sz w:val="14"/>
          <w:szCs w:val="20"/>
        </w:rPr>
      </w:pPr>
      <w:r w:rsidRPr="00F7029F">
        <w:rPr>
          <w:b/>
          <w:i/>
          <w:iCs/>
          <w:sz w:val="14"/>
          <w:szCs w:val="20"/>
        </w:rPr>
        <w:t>Keywords</w:t>
      </w:r>
      <w:r w:rsidR="00F7029F" w:rsidRPr="00F7029F">
        <w:rPr>
          <w:b/>
          <w:i/>
          <w:iCs/>
          <w:sz w:val="14"/>
          <w:szCs w:val="20"/>
        </w:rPr>
        <w:t xml:space="preserve"> </w:t>
      </w:r>
      <w:r w:rsidR="00F7029F">
        <w:rPr>
          <w:i/>
          <w:iCs/>
        </w:rPr>
        <w:t>–</w:t>
      </w:r>
      <w:r w:rsidR="00EE51A0" w:rsidRPr="00EE51A0">
        <w:t xml:space="preserve"> </w:t>
      </w:r>
      <w:r w:rsidR="00EE51A0">
        <w:t>Geographical Indications, Geographical Indications Act, Collective Ownership, TRIPS Agreement</w:t>
      </w:r>
      <w:r w:rsidR="00EE51A0">
        <w:rPr>
          <w:b/>
          <w:sz w:val="14"/>
          <w:szCs w:val="20"/>
        </w:rPr>
        <w:t>.</w:t>
      </w:r>
    </w:p>
    <w:p w14:paraId="2AABA05C" w14:textId="77777777" w:rsidR="00A36F85" w:rsidRPr="008B0641" w:rsidRDefault="00A36F85">
      <w:pPr>
        <w:pStyle w:val="Normaltext"/>
        <w:rPr>
          <w:sz w:val="14"/>
          <w:szCs w:val="20"/>
        </w:rPr>
      </w:pPr>
    </w:p>
    <w:p w14:paraId="608B8265" w14:textId="110BB4BE" w:rsidR="00B70B6B" w:rsidRPr="00922A0A" w:rsidRDefault="007F423C" w:rsidP="00922A0A">
      <w:pPr>
        <w:pStyle w:val="berschrift11"/>
      </w:pPr>
      <w:r w:rsidRPr="00DD7EB9">
        <w:rPr>
          <w:b/>
          <w:color w:val="C0504D" w:themeColor="accent2"/>
        </w:rPr>
        <w:t>Introduction</w:t>
      </w:r>
      <w:r w:rsidR="00D7446A" w:rsidRPr="00DD7EB9">
        <w:rPr>
          <w:b/>
          <w:color w:val="C0504D" w:themeColor="accent2"/>
        </w:rPr>
        <w:t xml:space="preserve"> </w:t>
      </w:r>
    </w:p>
    <w:p w14:paraId="08ED1527" w14:textId="15C46945" w:rsidR="00070FFE" w:rsidRDefault="00070FFE" w:rsidP="00070FFE">
      <w:pPr>
        <w:jc w:val="both"/>
        <w:rPr>
          <w:rFonts w:ascii="Verdana" w:hAnsi="Verdana"/>
          <w:sz w:val="16"/>
          <w:szCs w:val="16"/>
        </w:rPr>
      </w:pPr>
      <w:r w:rsidRPr="00070FFE">
        <w:rPr>
          <w:rFonts w:ascii="Verdana" w:hAnsi="Verdana"/>
          <w:sz w:val="16"/>
          <w:szCs w:val="16"/>
        </w:rPr>
        <w:t>With more than 350 G</w:t>
      </w:r>
      <w:r w:rsidR="00B70B6B">
        <w:rPr>
          <w:rFonts w:ascii="Verdana" w:hAnsi="Verdana"/>
          <w:sz w:val="16"/>
          <w:szCs w:val="16"/>
        </w:rPr>
        <w:t xml:space="preserve">eographical </w:t>
      </w:r>
      <w:r w:rsidRPr="00070FFE">
        <w:rPr>
          <w:rFonts w:ascii="Verdana" w:hAnsi="Verdana"/>
          <w:sz w:val="16"/>
          <w:szCs w:val="16"/>
        </w:rPr>
        <w:t>I</w:t>
      </w:r>
      <w:r w:rsidR="00B70B6B">
        <w:rPr>
          <w:rFonts w:ascii="Verdana" w:hAnsi="Verdana"/>
          <w:sz w:val="16"/>
          <w:szCs w:val="16"/>
        </w:rPr>
        <w:t>ndications (GI)</w:t>
      </w:r>
      <w:r w:rsidRPr="00070FFE">
        <w:rPr>
          <w:rFonts w:ascii="Verdana" w:hAnsi="Verdana"/>
          <w:sz w:val="16"/>
          <w:szCs w:val="16"/>
        </w:rPr>
        <w:t xml:space="preserve"> registrations and the recent </w:t>
      </w:r>
      <w:r w:rsidR="00B70B6B">
        <w:rPr>
          <w:rFonts w:ascii="Verdana" w:hAnsi="Verdana"/>
          <w:sz w:val="16"/>
          <w:szCs w:val="16"/>
        </w:rPr>
        <w:t>Basmati Rice controversy</w:t>
      </w:r>
      <w:r w:rsidRPr="00070FFE">
        <w:rPr>
          <w:rFonts w:ascii="Verdana" w:hAnsi="Verdana"/>
          <w:sz w:val="16"/>
          <w:szCs w:val="16"/>
        </w:rPr>
        <w:t>, the subject matter of geographical indications is attracting more attention than ever before</w:t>
      </w:r>
      <w:r w:rsidR="0024685C">
        <w:rPr>
          <w:rFonts w:ascii="Verdana" w:hAnsi="Verdana"/>
          <w:sz w:val="16"/>
          <w:szCs w:val="16"/>
        </w:rPr>
        <w:t xml:space="preserve"> in India</w:t>
      </w:r>
      <w:r w:rsidRPr="00070FFE">
        <w:rPr>
          <w:rFonts w:ascii="Verdana" w:hAnsi="Verdana"/>
          <w:sz w:val="16"/>
          <w:szCs w:val="16"/>
        </w:rPr>
        <w:t xml:space="preserve">. The ongoing Basmati Rice controversy in which the State of Madhya Pradesh has knocked </w:t>
      </w:r>
      <w:r w:rsidR="00B70B6B">
        <w:rPr>
          <w:rFonts w:ascii="Verdana" w:hAnsi="Verdana"/>
          <w:sz w:val="16"/>
          <w:szCs w:val="16"/>
        </w:rPr>
        <w:t xml:space="preserve">on </w:t>
      </w:r>
      <w:r w:rsidRPr="00070FFE">
        <w:rPr>
          <w:rFonts w:ascii="Verdana" w:hAnsi="Verdana"/>
          <w:sz w:val="16"/>
          <w:szCs w:val="16"/>
        </w:rPr>
        <w:t xml:space="preserve">the doors of the Apex court of India for </w:t>
      </w:r>
      <w:r w:rsidR="00B70B6B">
        <w:rPr>
          <w:rFonts w:ascii="Verdana" w:hAnsi="Verdana"/>
          <w:sz w:val="16"/>
          <w:szCs w:val="16"/>
        </w:rPr>
        <w:t xml:space="preserve">the </w:t>
      </w:r>
      <w:r w:rsidRPr="00070FFE">
        <w:rPr>
          <w:rFonts w:ascii="Verdana" w:hAnsi="Verdana"/>
          <w:sz w:val="16"/>
          <w:szCs w:val="16"/>
        </w:rPr>
        <w:t xml:space="preserve">inclusion </w:t>
      </w:r>
      <w:r w:rsidR="00B70B6B">
        <w:rPr>
          <w:rFonts w:ascii="Verdana" w:hAnsi="Verdana"/>
          <w:sz w:val="16"/>
          <w:szCs w:val="16"/>
        </w:rPr>
        <w:t xml:space="preserve">of </w:t>
      </w:r>
      <w:r w:rsidRPr="00070FFE">
        <w:rPr>
          <w:rFonts w:ascii="Verdana" w:hAnsi="Verdana"/>
          <w:sz w:val="16"/>
          <w:szCs w:val="16"/>
        </w:rPr>
        <w:t xml:space="preserve">its regions under the Basmati producing areas begs one pertinent question; who are the real owners of GIs? And why is </w:t>
      </w:r>
      <w:r w:rsidR="00B70B6B">
        <w:rPr>
          <w:rFonts w:ascii="Verdana" w:hAnsi="Verdana"/>
          <w:sz w:val="16"/>
          <w:szCs w:val="16"/>
        </w:rPr>
        <w:t xml:space="preserve">it </w:t>
      </w:r>
      <w:r w:rsidRPr="00070FFE">
        <w:rPr>
          <w:rFonts w:ascii="Verdana" w:hAnsi="Verdana"/>
          <w:sz w:val="16"/>
          <w:szCs w:val="16"/>
        </w:rPr>
        <w:t>that nearly two decades after the first application for registration of Basmati was filed in the GI Registry, the ownership issues remain unresolved</w:t>
      </w:r>
      <w:r w:rsidR="00B70B6B">
        <w:rPr>
          <w:rFonts w:ascii="Verdana" w:hAnsi="Verdana"/>
          <w:sz w:val="16"/>
          <w:szCs w:val="16"/>
        </w:rPr>
        <w:t>?</w:t>
      </w:r>
      <w:r w:rsidRPr="00070FFE">
        <w:rPr>
          <w:rFonts w:ascii="Verdana" w:hAnsi="Verdana"/>
          <w:sz w:val="16"/>
          <w:szCs w:val="16"/>
        </w:rPr>
        <w:t xml:space="preserve"> </w:t>
      </w:r>
    </w:p>
    <w:p w14:paraId="2B07267A" w14:textId="77777777" w:rsidR="00274469" w:rsidRPr="00070FFE" w:rsidRDefault="00274469" w:rsidP="00070FFE">
      <w:pPr>
        <w:jc w:val="both"/>
        <w:rPr>
          <w:rFonts w:ascii="Verdana" w:hAnsi="Verdana"/>
          <w:sz w:val="16"/>
          <w:szCs w:val="16"/>
        </w:rPr>
      </w:pPr>
    </w:p>
    <w:p w14:paraId="0A513F87" w14:textId="682D9DF8" w:rsidR="00070FFE" w:rsidRDefault="00070FFE" w:rsidP="00070FFE">
      <w:pPr>
        <w:jc w:val="both"/>
        <w:rPr>
          <w:rFonts w:ascii="Verdana" w:hAnsi="Verdana"/>
          <w:sz w:val="16"/>
          <w:szCs w:val="16"/>
        </w:rPr>
      </w:pPr>
      <w:r w:rsidRPr="00070FFE">
        <w:rPr>
          <w:rFonts w:ascii="Verdana" w:hAnsi="Verdana"/>
          <w:sz w:val="16"/>
          <w:szCs w:val="16"/>
        </w:rPr>
        <w:t xml:space="preserve">It brings attention to the fact that the concept of ownership in GI is collective, as opposed to patent or copyright, which are generally individualistic, making it complicated as </w:t>
      </w:r>
      <w:r w:rsidR="00B70B6B">
        <w:rPr>
          <w:rFonts w:ascii="Verdana" w:hAnsi="Verdana"/>
          <w:sz w:val="16"/>
          <w:szCs w:val="16"/>
        </w:rPr>
        <w:t>multiple parties are</w:t>
      </w:r>
      <w:r w:rsidRPr="00070FFE">
        <w:rPr>
          <w:rFonts w:ascii="Verdana" w:hAnsi="Verdana"/>
          <w:sz w:val="16"/>
          <w:szCs w:val="16"/>
        </w:rPr>
        <w:t xml:space="preserve"> involved. </w:t>
      </w:r>
      <w:r w:rsidR="00B70B6B">
        <w:rPr>
          <w:rFonts w:ascii="Verdana" w:hAnsi="Verdana"/>
          <w:sz w:val="16"/>
          <w:szCs w:val="16"/>
        </w:rPr>
        <w:t>Understanding the complexities involved in articulating</w:t>
      </w:r>
      <w:r w:rsidRPr="00070FFE">
        <w:rPr>
          <w:rFonts w:ascii="Verdana" w:hAnsi="Verdana"/>
          <w:sz w:val="16"/>
          <w:szCs w:val="16"/>
        </w:rPr>
        <w:t xml:space="preserve"> the concept of collective ownership in the Indian scenario is thus essential to ensure that the real owners of GI are identified and protected.</w:t>
      </w:r>
    </w:p>
    <w:p w14:paraId="391220DD" w14:textId="77777777" w:rsidR="0024685C" w:rsidRPr="00070FFE" w:rsidRDefault="0024685C" w:rsidP="00070FFE">
      <w:pPr>
        <w:jc w:val="both"/>
        <w:rPr>
          <w:rFonts w:ascii="Verdana" w:hAnsi="Verdana"/>
          <w:sz w:val="16"/>
          <w:szCs w:val="16"/>
        </w:rPr>
      </w:pPr>
    </w:p>
    <w:p w14:paraId="61191E8B" w14:textId="77777777" w:rsidR="00526941" w:rsidRDefault="00526941" w:rsidP="0024685C">
      <w:pPr>
        <w:pStyle w:val="Normaltext"/>
        <w:tabs>
          <w:tab w:val="left" w:pos="240"/>
        </w:tabs>
        <w:spacing w:line="240" w:lineRule="auto"/>
        <w:rPr>
          <w:szCs w:val="16"/>
        </w:rPr>
      </w:pPr>
    </w:p>
    <w:p w14:paraId="66A32100" w14:textId="32040946" w:rsidR="00DF166F" w:rsidRDefault="00DF166F" w:rsidP="00DF166F">
      <w:pPr>
        <w:pStyle w:val="Normaltext"/>
        <w:tabs>
          <w:tab w:val="left" w:pos="240"/>
        </w:tabs>
        <w:spacing w:line="240" w:lineRule="auto"/>
        <w:rPr>
          <w:szCs w:val="16"/>
        </w:rPr>
      </w:pPr>
      <w:r w:rsidRPr="00070FFE">
        <w:rPr>
          <w:szCs w:val="16"/>
        </w:rPr>
        <w:t xml:space="preserve">The main objective of this study is to </w:t>
      </w:r>
      <w:r>
        <w:rPr>
          <w:szCs w:val="16"/>
        </w:rPr>
        <w:t>unearth</w:t>
      </w:r>
      <w:r w:rsidRPr="00070FFE">
        <w:rPr>
          <w:szCs w:val="16"/>
        </w:rPr>
        <w:t xml:space="preserve"> the concept of </w:t>
      </w:r>
      <w:r>
        <w:rPr>
          <w:szCs w:val="16"/>
        </w:rPr>
        <w:t xml:space="preserve">collective </w:t>
      </w:r>
      <w:r w:rsidRPr="00070FFE">
        <w:rPr>
          <w:szCs w:val="16"/>
        </w:rPr>
        <w:t xml:space="preserve">ownership of geographical indications </w:t>
      </w:r>
      <w:r>
        <w:rPr>
          <w:szCs w:val="16"/>
        </w:rPr>
        <w:t>and to understand whether it has been adequately conceptualised</w:t>
      </w:r>
      <w:r w:rsidRPr="0024685C">
        <w:rPr>
          <w:szCs w:val="16"/>
        </w:rPr>
        <w:t xml:space="preserve"> </w:t>
      </w:r>
      <w:r>
        <w:rPr>
          <w:szCs w:val="16"/>
        </w:rPr>
        <w:t>in the Indian scenario?</w:t>
      </w:r>
    </w:p>
    <w:p w14:paraId="1EBE4113" w14:textId="77777777" w:rsidR="00DF166F" w:rsidRDefault="00DF166F" w:rsidP="00DF166F">
      <w:pPr>
        <w:pStyle w:val="Normaltext"/>
        <w:tabs>
          <w:tab w:val="left" w:pos="240"/>
        </w:tabs>
        <w:spacing w:line="240" w:lineRule="auto"/>
        <w:rPr>
          <w:szCs w:val="16"/>
        </w:rPr>
      </w:pPr>
    </w:p>
    <w:p w14:paraId="3A9AF56C" w14:textId="4005933B" w:rsidR="00526941" w:rsidRDefault="0024685C" w:rsidP="00526941">
      <w:pPr>
        <w:pStyle w:val="Normaltext"/>
        <w:tabs>
          <w:tab w:val="left" w:pos="240"/>
        </w:tabs>
        <w:spacing w:line="240" w:lineRule="auto"/>
        <w:rPr>
          <w:szCs w:val="16"/>
        </w:rPr>
      </w:pPr>
      <w:r>
        <w:rPr>
          <w:szCs w:val="16"/>
        </w:rPr>
        <w:t xml:space="preserve">A literature review </w:t>
      </w:r>
      <w:r w:rsidR="00DF166F">
        <w:rPr>
          <w:szCs w:val="16"/>
        </w:rPr>
        <w:t xml:space="preserve">conducted highlights similar concerns being raised. </w:t>
      </w:r>
      <w:r w:rsidR="00683B76">
        <w:rPr>
          <w:szCs w:val="16"/>
        </w:rPr>
        <w:t>In their study, Nitya Nanda and Indrani Barpujari et al. (2013)</w:t>
      </w:r>
      <w:r w:rsidR="00526941">
        <w:rPr>
          <w:szCs w:val="16"/>
        </w:rPr>
        <w:t xml:space="preserve"> ha</w:t>
      </w:r>
      <w:r w:rsidR="002E44DA">
        <w:rPr>
          <w:szCs w:val="16"/>
        </w:rPr>
        <w:t>ve</w:t>
      </w:r>
      <w:r w:rsidR="00526941">
        <w:rPr>
          <w:szCs w:val="16"/>
        </w:rPr>
        <w:t xml:space="preserve"> pointed out the ambiguities in the </w:t>
      </w:r>
      <w:r w:rsidR="00683B76">
        <w:rPr>
          <w:szCs w:val="16"/>
        </w:rPr>
        <w:t>‘</w:t>
      </w:r>
      <w:r w:rsidR="00526941">
        <w:rPr>
          <w:szCs w:val="16"/>
        </w:rPr>
        <w:t>producer</w:t>
      </w:r>
      <w:r w:rsidR="002A3F4A">
        <w:rPr>
          <w:szCs w:val="16"/>
        </w:rPr>
        <w:t>’</w:t>
      </w:r>
      <w:r w:rsidR="00526941">
        <w:rPr>
          <w:szCs w:val="16"/>
        </w:rPr>
        <w:t xml:space="preserve"> definition under the GI Act and </w:t>
      </w:r>
      <w:r w:rsidR="00DF166F">
        <w:rPr>
          <w:szCs w:val="16"/>
        </w:rPr>
        <w:t xml:space="preserve">the </w:t>
      </w:r>
      <w:r w:rsidR="00526941">
        <w:rPr>
          <w:szCs w:val="16"/>
        </w:rPr>
        <w:t xml:space="preserve">lack of adequate consultative process with stakeholders during GI registration. </w:t>
      </w:r>
    </w:p>
    <w:p w14:paraId="7DDCF8CB" w14:textId="77777777" w:rsidR="00526941" w:rsidRPr="00F87357" w:rsidRDefault="00526941" w:rsidP="00526941">
      <w:pPr>
        <w:pStyle w:val="Normaltext"/>
        <w:tabs>
          <w:tab w:val="left" w:pos="240"/>
        </w:tabs>
        <w:spacing w:line="240" w:lineRule="auto"/>
        <w:rPr>
          <w:szCs w:val="16"/>
        </w:rPr>
      </w:pPr>
    </w:p>
    <w:p w14:paraId="4BCB0EC7" w14:textId="74FB766B" w:rsidR="0024685C" w:rsidRDefault="00526941" w:rsidP="0024685C">
      <w:pPr>
        <w:pStyle w:val="Normaltext"/>
        <w:tabs>
          <w:tab w:val="left" w:pos="240"/>
        </w:tabs>
        <w:spacing w:line="240" w:lineRule="auto"/>
        <w:rPr>
          <w:szCs w:val="16"/>
        </w:rPr>
      </w:pPr>
      <w:bookmarkStart w:id="0" w:name="_Hlk100863407"/>
      <w:r w:rsidRPr="00F87357">
        <w:rPr>
          <w:szCs w:val="16"/>
        </w:rPr>
        <w:t>Yogesh Pai</w:t>
      </w:r>
      <w:r w:rsidR="00F87357" w:rsidRPr="00F87357">
        <w:rPr>
          <w:szCs w:val="16"/>
        </w:rPr>
        <w:t xml:space="preserve"> and Tania Singla</w:t>
      </w:r>
      <w:r w:rsidRPr="00F87357">
        <w:rPr>
          <w:szCs w:val="16"/>
        </w:rPr>
        <w:t xml:space="preserve"> (</w:t>
      </w:r>
      <w:r>
        <w:rPr>
          <w:szCs w:val="16"/>
        </w:rPr>
        <w:t xml:space="preserve">2016) </w:t>
      </w:r>
      <w:bookmarkEnd w:id="0"/>
      <w:r>
        <w:rPr>
          <w:szCs w:val="16"/>
        </w:rPr>
        <w:t>identif</w:t>
      </w:r>
      <w:r w:rsidR="00DF166F">
        <w:rPr>
          <w:szCs w:val="16"/>
        </w:rPr>
        <w:t>y</w:t>
      </w:r>
      <w:r>
        <w:rPr>
          <w:szCs w:val="16"/>
        </w:rPr>
        <w:t xml:space="preserve"> the problems of lack of collective action by producers when competing with other products and </w:t>
      </w:r>
      <w:r w:rsidR="00DF166F">
        <w:rPr>
          <w:szCs w:val="16"/>
        </w:rPr>
        <w:t>throw light on</w:t>
      </w:r>
      <w:r>
        <w:rPr>
          <w:szCs w:val="16"/>
        </w:rPr>
        <w:t xml:space="preserve"> the inability of </w:t>
      </w:r>
      <w:r w:rsidR="00DF166F">
        <w:rPr>
          <w:szCs w:val="16"/>
        </w:rPr>
        <w:t xml:space="preserve">Indian GI </w:t>
      </w:r>
      <w:r>
        <w:rPr>
          <w:szCs w:val="16"/>
        </w:rPr>
        <w:t>stakeholders to take action against infringing goods</w:t>
      </w:r>
      <w:r w:rsidR="00C3339D">
        <w:rPr>
          <w:szCs w:val="16"/>
        </w:rPr>
        <w:t xml:space="preserve">. </w:t>
      </w:r>
      <w:r w:rsidR="00683B76">
        <w:rPr>
          <w:szCs w:val="16"/>
        </w:rPr>
        <w:t>In their study, Akanksha Jumde and Nishant Kumar (2020)</w:t>
      </w:r>
      <w:r w:rsidR="002A3F4A">
        <w:rPr>
          <w:szCs w:val="16"/>
        </w:rPr>
        <w:t xml:space="preserve"> highlight the an</w:t>
      </w:r>
      <w:r w:rsidR="00DF166F">
        <w:rPr>
          <w:szCs w:val="16"/>
        </w:rPr>
        <w:t>oma</w:t>
      </w:r>
      <w:r w:rsidR="002A3F4A">
        <w:rPr>
          <w:szCs w:val="16"/>
        </w:rPr>
        <w:t xml:space="preserve">ly of the authorised user concept under the GI Act and </w:t>
      </w:r>
      <w:r w:rsidR="00DF166F">
        <w:rPr>
          <w:szCs w:val="16"/>
        </w:rPr>
        <w:t xml:space="preserve">the </w:t>
      </w:r>
      <w:r w:rsidR="002A3F4A">
        <w:rPr>
          <w:szCs w:val="16"/>
        </w:rPr>
        <w:t>need for legislative intervention.</w:t>
      </w:r>
    </w:p>
    <w:p w14:paraId="17359634" w14:textId="7DD007AD" w:rsidR="002A3F4A" w:rsidRDefault="002A3F4A" w:rsidP="0024685C">
      <w:pPr>
        <w:pStyle w:val="Normaltext"/>
        <w:tabs>
          <w:tab w:val="left" w:pos="240"/>
        </w:tabs>
        <w:spacing w:line="240" w:lineRule="auto"/>
        <w:rPr>
          <w:szCs w:val="16"/>
        </w:rPr>
      </w:pPr>
    </w:p>
    <w:p w14:paraId="301D1EA6" w14:textId="43266F4B" w:rsidR="0024685C" w:rsidRDefault="002A3F4A" w:rsidP="0024685C">
      <w:pPr>
        <w:pStyle w:val="Normaltext"/>
        <w:tabs>
          <w:tab w:val="left" w:pos="240"/>
        </w:tabs>
        <w:spacing w:line="240" w:lineRule="auto"/>
        <w:rPr>
          <w:szCs w:val="16"/>
        </w:rPr>
      </w:pPr>
      <w:r>
        <w:rPr>
          <w:szCs w:val="16"/>
        </w:rPr>
        <w:t xml:space="preserve">The above studies </w:t>
      </w:r>
      <w:r w:rsidR="00DF166F">
        <w:rPr>
          <w:szCs w:val="16"/>
        </w:rPr>
        <w:t>point toward</w:t>
      </w:r>
      <w:r>
        <w:rPr>
          <w:szCs w:val="16"/>
        </w:rPr>
        <w:t xml:space="preserve"> the lacunas in the collective ownership relationship </w:t>
      </w:r>
      <w:r w:rsidR="00DF166F">
        <w:rPr>
          <w:szCs w:val="16"/>
        </w:rPr>
        <w:t xml:space="preserve">(of which registered proprietors, authorised users and producers form part) </w:t>
      </w:r>
      <w:r>
        <w:rPr>
          <w:szCs w:val="16"/>
        </w:rPr>
        <w:t>in the Indian scena</w:t>
      </w:r>
      <w:r w:rsidR="00DF166F">
        <w:rPr>
          <w:szCs w:val="16"/>
        </w:rPr>
        <w:t>ri</w:t>
      </w:r>
      <w:r>
        <w:rPr>
          <w:szCs w:val="16"/>
        </w:rPr>
        <w:t>o</w:t>
      </w:r>
      <w:r w:rsidR="00DF166F">
        <w:rPr>
          <w:szCs w:val="16"/>
        </w:rPr>
        <w:t xml:space="preserve"> and the need for further enquiry into it.</w:t>
      </w:r>
    </w:p>
    <w:p w14:paraId="6A727406" w14:textId="43D9F45A" w:rsidR="00F61D82" w:rsidRDefault="00F61D82" w:rsidP="00070FFE">
      <w:pPr>
        <w:pStyle w:val="Normaltext"/>
        <w:tabs>
          <w:tab w:val="left" w:pos="240"/>
        </w:tabs>
        <w:spacing w:line="240" w:lineRule="auto"/>
        <w:rPr>
          <w:szCs w:val="16"/>
        </w:rPr>
      </w:pPr>
    </w:p>
    <w:p w14:paraId="2F2A9ACA" w14:textId="70D69D9E" w:rsidR="007F635E" w:rsidRPr="00922A0A" w:rsidRDefault="00F61D82" w:rsidP="0097118D">
      <w:pPr>
        <w:pStyle w:val="Normaltext"/>
        <w:tabs>
          <w:tab w:val="left" w:pos="240"/>
        </w:tabs>
        <w:spacing w:line="240" w:lineRule="auto"/>
        <w:rPr>
          <w:szCs w:val="16"/>
        </w:rPr>
      </w:pPr>
      <w:r>
        <w:t>Part I of th</w:t>
      </w:r>
      <w:r w:rsidR="002E44DA">
        <w:t>is</w:t>
      </w:r>
      <w:r>
        <w:t xml:space="preserve"> study gives introductory remarks on collective ownership and a brief overview of India’s articulation of collective ownership during the Pre-TRIPS period. Part II deals with how the TRIPS Agreement handled the concept and India’s obligations under the Agreement. In Part III, the Geographical Indications Bill, the Bill introduced for domestic implementation of the TRIPS obligations relating to GI, is explored to comprehend the legislative intent behind the </w:t>
      </w:r>
      <w:r w:rsidR="00DF166F">
        <w:t xml:space="preserve">concept of </w:t>
      </w:r>
      <w:r>
        <w:t>collective ownership envisaged. Part IV discusses the notion’s present understanding under the Geographical Indications Act, the Geographical Indications Rules and the Manual of Geographical Indications. Part V looks at the judicial contribution to the concept. Part VI deals with four case studies (GIs in Kerala) to appreciate the gap between the collective ownership notion envisaged and the ground reality. Finally, Part VII concludes with the research findings, the lacunas in the Indian scenario and suggestions to remedy the same</w:t>
      </w:r>
      <w:r w:rsidR="00DF166F">
        <w:t>.</w:t>
      </w:r>
    </w:p>
    <w:p w14:paraId="419E5377" w14:textId="77777777" w:rsidR="007F635E" w:rsidRDefault="007F635E" w:rsidP="0097118D">
      <w:pPr>
        <w:pStyle w:val="Normaltext"/>
        <w:tabs>
          <w:tab w:val="left" w:pos="240"/>
        </w:tabs>
        <w:spacing w:line="240" w:lineRule="auto"/>
        <w:rPr>
          <w:i/>
          <w:iCs/>
          <w:szCs w:val="16"/>
        </w:rPr>
      </w:pPr>
    </w:p>
    <w:p w14:paraId="282883FB" w14:textId="6B92875F" w:rsidR="005078CE" w:rsidRDefault="007F635E" w:rsidP="007F635E">
      <w:pPr>
        <w:pStyle w:val="Normaltext"/>
        <w:tabs>
          <w:tab w:val="left" w:pos="240"/>
        </w:tabs>
        <w:spacing w:line="240" w:lineRule="auto"/>
        <w:rPr>
          <w:szCs w:val="16"/>
        </w:rPr>
      </w:pPr>
      <w:r>
        <w:rPr>
          <w:szCs w:val="16"/>
        </w:rPr>
        <w:t>The study comprises of two parts;</w:t>
      </w:r>
      <w:r w:rsidR="00963EFE">
        <w:rPr>
          <w:szCs w:val="16"/>
        </w:rPr>
        <w:t xml:space="preserve"> </w:t>
      </w:r>
      <w:r>
        <w:rPr>
          <w:szCs w:val="16"/>
        </w:rPr>
        <w:t xml:space="preserve">a theoretical and an empirical component. The </w:t>
      </w:r>
      <w:r w:rsidR="0097118D" w:rsidRPr="0097118D">
        <w:rPr>
          <w:szCs w:val="16"/>
        </w:rPr>
        <w:t xml:space="preserve">theoretical </w:t>
      </w:r>
      <w:r>
        <w:rPr>
          <w:szCs w:val="16"/>
        </w:rPr>
        <w:t>component</w:t>
      </w:r>
      <w:r w:rsidR="0097118D" w:rsidRPr="0097118D">
        <w:rPr>
          <w:szCs w:val="16"/>
        </w:rPr>
        <w:t xml:space="preserve"> comprises of unearthing the concept of ownership in GI </w:t>
      </w:r>
      <w:r>
        <w:rPr>
          <w:szCs w:val="16"/>
        </w:rPr>
        <w:t>in the Indian scenario</w:t>
      </w:r>
      <w:r w:rsidR="0097118D" w:rsidRPr="0097118D">
        <w:rPr>
          <w:szCs w:val="16"/>
        </w:rPr>
        <w:t xml:space="preserve"> and identifying the lacunas thereof</w:t>
      </w:r>
      <w:r>
        <w:rPr>
          <w:szCs w:val="16"/>
        </w:rPr>
        <w:t>. A</w:t>
      </w:r>
      <w:r w:rsidR="0097118D" w:rsidRPr="0097118D">
        <w:rPr>
          <w:szCs w:val="16"/>
        </w:rPr>
        <w:t xml:space="preserve">nd </w:t>
      </w:r>
      <w:r>
        <w:rPr>
          <w:szCs w:val="16"/>
        </w:rPr>
        <w:t>the</w:t>
      </w:r>
      <w:r w:rsidR="0097118D" w:rsidRPr="0097118D">
        <w:rPr>
          <w:szCs w:val="16"/>
        </w:rPr>
        <w:t xml:space="preserve"> empirical component would utilise empirical analysis to comprehend the practical limitations when the ownership concept is implemented</w:t>
      </w:r>
      <w:r>
        <w:rPr>
          <w:szCs w:val="16"/>
        </w:rPr>
        <w:t xml:space="preserve"> on the ground</w:t>
      </w:r>
      <w:r w:rsidR="0097118D" w:rsidRPr="0097118D">
        <w:rPr>
          <w:szCs w:val="16"/>
        </w:rPr>
        <w:t xml:space="preserve">. The empirical analysis </w:t>
      </w:r>
      <w:r>
        <w:rPr>
          <w:szCs w:val="16"/>
        </w:rPr>
        <w:t>is conducted with</w:t>
      </w:r>
      <w:r w:rsidR="0097118D" w:rsidRPr="0097118D">
        <w:rPr>
          <w:szCs w:val="16"/>
        </w:rPr>
        <w:t xml:space="preserve"> </w:t>
      </w:r>
      <w:r>
        <w:rPr>
          <w:szCs w:val="16"/>
        </w:rPr>
        <w:lastRenderedPageBreak/>
        <w:t>particular</w:t>
      </w:r>
      <w:r w:rsidR="0097118D" w:rsidRPr="0097118D">
        <w:rPr>
          <w:szCs w:val="16"/>
        </w:rPr>
        <w:t xml:space="preserve"> reference to the agriculture</w:t>
      </w:r>
      <w:r w:rsidR="002A3F4A">
        <w:rPr>
          <w:szCs w:val="16"/>
        </w:rPr>
        <w:t xml:space="preserve"> and handicrafts</w:t>
      </w:r>
      <w:r w:rsidR="0097118D" w:rsidRPr="0097118D">
        <w:rPr>
          <w:szCs w:val="16"/>
        </w:rPr>
        <w:t xml:space="preserve"> </w:t>
      </w:r>
      <w:r w:rsidR="005078CE">
        <w:rPr>
          <w:szCs w:val="16"/>
        </w:rPr>
        <w:t>goods</w:t>
      </w:r>
      <w:r w:rsidR="002A3F4A">
        <w:rPr>
          <w:szCs w:val="16"/>
        </w:rPr>
        <w:t xml:space="preserve"> </w:t>
      </w:r>
      <w:r w:rsidR="0097118D" w:rsidRPr="0097118D">
        <w:rPr>
          <w:szCs w:val="16"/>
        </w:rPr>
        <w:t xml:space="preserve">in </w:t>
      </w:r>
      <w:r w:rsidR="00963EFE">
        <w:rPr>
          <w:szCs w:val="16"/>
        </w:rPr>
        <w:t xml:space="preserve">the State of </w:t>
      </w:r>
      <w:r w:rsidR="0097118D" w:rsidRPr="0097118D">
        <w:rPr>
          <w:szCs w:val="16"/>
        </w:rPr>
        <w:t>Kerala</w:t>
      </w:r>
      <w:r w:rsidR="00963EFE">
        <w:rPr>
          <w:szCs w:val="16"/>
        </w:rPr>
        <w:t>.</w:t>
      </w:r>
    </w:p>
    <w:p w14:paraId="086CAE16" w14:textId="77777777" w:rsidR="005078CE" w:rsidRDefault="005078CE" w:rsidP="005078CE">
      <w:pPr>
        <w:jc w:val="both"/>
        <w:rPr>
          <w:rFonts w:ascii="Verdana" w:hAnsi="Verdana"/>
          <w:sz w:val="16"/>
          <w:szCs w:val="16"/>
        </w:rPr>
      </w:pPr>
    </w:p>
    <w:p w14:paraId="0AD6C98E" w14:textId="1AB86645" w:rsidR="006C47B3" w:rsidRDefault="005078CE" w:rsidP="005078CE">
      <w:pPr>
        <w:pStyle w:val="Normaltext"/>
        <w:tabs>
          <w:tab w:val="left" w:pos="240"/>
        </w:tabs>
        <w:spacing w:line="240" w:lineRule="auto"/>
        <w:rPr>
          <w:szCs w:val="16"/>
        </w:rPr>
      </w:pPr>
      <w:r>
        <w:rPr>
          <w:szCs w:val="16"/>
        </w:rPr>
        <w:t xml:space="preserve">The methodology used </w:t>
      </w:r>
      <w:r w:rsidR="00963EFE">
        <w:rPr>
          <w:szCs w:val="16"/>
        </w:rPr>
        <w:t>to conduct the empirical study is</w:t>
      </w:r>
      <w:r>
        <w:rPr>
          <w:szCs w:val="16"/>
        </w:rPr>
        <w:t xml:space="preserve"> the case study method. The data was collected with the help of a semi-structured questionnaire from relevant stakeholders. The </w:t>
      </w:r>
      <w:r w:rsidR="002E44DA">
        <w:rPr>
          <w:szCs w:val="16"/>
        </w:rPr>
        <w:t>f</w:t>
      </w:r>
      <w:r>
        <w:rPr>
          <w:szCs w:val="16"/>
        </w:rPr>
        <w:t>our case studies conducted are on four registered GIs, namely Pokkali Rice</w:t>
      </w:r>
      <w:r w:rsidR="002E44DA">
        <w:rPr>
          <w:szCs w:val="16"/>
        </w:rPr>
        <w:t xml:space="preserve">, </w:t>
      </w:r>
      <w:r>
        <w:rPr>
          <w:szCs w:val="16"/>
        </w:rPr>
        <w:t>Nilambur teak (Agriculture goods) and</w:t>
      </w:r>
      <w:r w:rsidR="00683B76">
        <w:rPr>
          <w:szCs w:val="16"/>
        </w:rPr>
        <w:t>,</w:t>
      </w:r>
      <w:r>
        <w:rPr>
          <w:szCs w:val="16"/>
        </w:rPr>
        <w:t xml:space="preserve"> Aranmula Kannadi</w:t>
      </w:r>
      <w:r w:rsidR="002E44DA">
        <w:rPr>
          <w:szCs w:val="16"/>
        </w:rPr>
        <w:t xml:space="preserve">, </w:t>
      </w:r>
      <w:r>
        <w:rPr>
          <w:szCs w:val="16"/>
        </w:rPr>
        <w:t xml:space="preserve">Alleppey Coir (Handicraft goods). Within each case study, responses from all the relevant stakeholders (Registered proprietors, Authorised Users and producers) </w:t>
      </w:r>
      <w:r w:rsidR="00963EFE">
        <w:rPr>
          <w:szCs w:val="16"/>
        </w:rPr>
        <w:t>were</w:t>
      </w:r>
      <w:r>
        <w:rPr>
          <w:szCs w:val="16"/>
        </w:rPr>
        <w:t xml:space="preserve"> obtained.</w:t>
      </w:r>
      <w:r w:rsidR="00F07D15">
        <w:rPr>
          <w:szCs w:val="16"/>
        </w:rPr>
        <w:t xml:space="preserve"> </w:t>
      </w:r>
    </w:p>
    <w:p w14:paraId="5BE24643" w14:textId="20374BD8" w:rsidR="0097118D" w:rsidRPr="00922A0A" w:rsidRDefault="0097118D" w:rsidP="00922A0A">
      <w:pPr>
        <w:pStyle w:val="Normaltext"/>
        <w:tabs>
          <w:tab w:val="left" w:pos="240"/>
        </w:tabs>
        <w:spacing w:line="240" w:lineRule="auto"/>
        <w:rPr>
          <w:szCs w:val="16"/>
        </w:rPr>
      </w:pPr>
    </w:p>
    <w:p w14:paraId="0A6E11D2" w14:textId="738B24A3" w:rsidR="00EC7333" w:rsidRDefault="004D19AF" w:rsidP="00D80745">
      <w:pPr>
        <w:spacing w:line="276" w:lineRule="auto"/>
        <w:jc w:val="both"/>
        <w:rPr>
          <w:rFonts w:ascii="Verdana" w:hAnsi="Verdana"/>
          <w:sz w:val="16"/>
          <w:szCs w:val="16"/>
        </w:rPr>
      </w:pPr>
      <w:r w:rsidRPr="008565EF">
        <w:rPr>
          <w:rFonts w:ascii="Verdana" w:hAnsi="Verdana"/>
          <w:sz w:val="16"/>
          <w:szCs w:val="16"/>
        </w:rPr>
        <w:t>The</w:t>
      </w:r>
      <w:r w:rsidR="0097118D" w:rsidRPr="008565EF">
        <w:rPr>
          <w:rFonts w:ascii="Verdana" w:hAnsi="Verdana"/>
          <w:sz w:val="16"/>
          <w:szCs w:val="16"/>
        </w:rPr>
        <w:t xml:space="preserve"> </w:t>
      </w:r>
      <w:r w:rsidR="00F07D15" w:rsidRPr="008565EF">
        <w:rPr>
          <w:rFonts w:ascii="Verdana" w:hAnsi="Verdana"/>
          <w:sz w:val="16"/>
          <w:szCs w:val="16"/>
        </w:rPr>
        <w:t>major findings of the research are;</w:t>
      </w:r>
      <w:r w:rsidR="005C529B" w:rsidRPr="008565EF">
        <w:rPr>
          <w:rFonts w:ascii="Verdana" w:hAnsi="Verdana"/>
          <w:sz w:val="16"/>
          <w:szCs w:val="16"/>
        </w:rPr>
        <w:t xml:space="preserve"> </w:t>
      </w:r>
      <w:r w:rsidR="002E44DA">
        <w:rPr>
          <w:rFonts w:ascii="Verdana" w:hAnsi="Verdana"/>
          <w:sz w:val="16"/>
          <w:szCs w:val="16"/>
        </w:rPr>
        <w:t xml:space="preserve">that </w:t>
      </w:r>
      <w:r w:rsidR="005C529B" w:rsidRPr="008565EF">
        <w:rPr>
          <w:rFonts w:ascii="Verdana" w:hAnsi="Verdana"/>
          <w:sz w:val="16"/>
          <w:szCs w:val="16"/>
        </w:rPr>
        <w:t xml:space="preserve">India has a long history of </w:t>
      </w:r>
      <w:r w:rsidR="00D80745">
        <w:rPr>
          <w:rFonts w:ascii="Verdana" w:hAnsi="Verdana"/>
          <w:sz w:val="16"/>
          <w:szCs w:val="16"/>
        </w:rPr>
        <w:t>providing legal remedies to</w:t>
      </w:r>
      <w:r w:rsidR="005C529B" w:rsidRPr="008565EF">
        <w:rPr>
          <w:rFonts w:ascii="Verdana" w:hAnsi="Verdana"/>
          <w:sz w:val="16"/>
          <w:szCs w:val="16"/>
        </w:rPr>
        <w:t xml:space="preserve"> </w:t>
      </w:r>
      <w:r w:rsidR="00D80745">
        <w:rPr>
          <w:rFonts w:ascii="Verdana" w:hAnsi="Verdana"/>
          <w:sz w:val="16"/>
          <w:szCs w:val="16"/>
        </w:rPr>
        <w:t xml:space="preserve">protect </w:t>
      </w:r>
      <w:r w:rsidR="005C529B" w:rsidRPr="008565EF">
        <w:rPr>
          <w:rFonts w:ascii="Verdana" w:hAnsi="Verdana"/>
          <w:sz w:val="16"/>
          <w:szCs w:val="16"/>
        </w:rPr>
        <w:t>GI goods which extends to the Pre-TRIPS period. During the Pre-TRIPS era, both statutory and common law protection</w:t>
      </w:r>
      <w:r w:rsidR="008565EF" w:rsidRPr="008565EF">
        <w:rPr>
          <w:rFonts w:ascii="Verdana" w:hAnsi="Verdana"/>
          <w:sz w:val="16"/>
          <w:szCs w:val="16"/>
        </w:rPr>
        <w:t>s</w:t>
      </w:r>
      <w:r w:rsidR="005C529B" w:rsidRPr="008565EF">
        <w:rPr>
          <w:rFonts w:ascii="Verdana" w:hAnsi="Verdana"/>
          <w:sz w:val="16"/>
          <w:szCs w:val="16"/>
        </w:rPr>
        <w:t xml:space="preserve"> w</w:t>
      </w:r>
      <w:r w:rsidR="008B55C7">
        <w:rPr>
          <w:rFonts w:ascii="Verdana" w:hAnsi="Verdana"/>
          <w:sz w:val="16"/>
          <w:szCs w:val="16"/>
        </w:rPr>
        <w:t>ere</w:t>
      </w:r>
      <w:r w:rsidR="0097118D" w:rsidRPr="008565EF">
        <w:rPr>
          <w:rFonts w:ascii="Verdana" w:hAnsi="Verdana"/>
          <w:sz w:val="16"/>
          <w:szCs w:val="16"/>
        </w:rPr>
        <w:t xml:space="preserve"> </w:t>
      </w:r>
      <w:r w:rsidR="00FE3B94">
        <w:rPr>
          <w:rFonts w:ascii="Verdana" w:hAnsi="Verdana"/>
          <w:sz w:val="16"/>
          <w:szCs w:val="16"/>
        </w:rPr>
        <w:t xml:space="preserve">available for </w:t>
      </w:r>
      <w:r w:rsidR="0097118D" w:rsidRPr="008565EF">
        <w:rPr>
          <w:rFonts w:ascii="Verdana" w:hAnsi="Verdana"/>
          <w:sz w:val="16"/>
          <w:szCs w:val="16"/>
        </w:rPr>
        <w:t xml:space="preserve">GIs. </w:t>
      </w:r>
      <w:r w:rsidR="00D33D4E">
        <w:rPr>
          <w:rFonts w:ascii="Verdana" w:hAnsi="Verdana"/>
          <w:sz w:val="16"/>
          <w:szCs w:val="16"/>
        </w:rPr>
        <w:t xml:space="preserve">It provided remedies to not only </w:t>
      </w:r>
      <w:r w:rsidR="00683B76">
        <w:rPr>
          <w:rFonts w:ascii="Verdana" w:hAnsi="Verdana"/>
          <w:sz w:val="16"/>
          <w:szCs w:val="16"/>
        </w:rPr>
        <w:t>GI owners but als</w:t>
      </w:r>
      <w:r w:rsidR="00D33D4E">
        <w:rPr>
          <w:rFonts w:ascii="Verdana" w:hAnsi="Verdana"/>
          <w:sz w:val="16"/>
          <w:szCs w:val="16"/>
        </w:rPr>
        <w:t>o consumers and other</w:t>
      </w:r>
      <w:r w:rsidR="008B55C7">
        <w:rPr>
          <w:rFonts w:ascii="Verdana" w:hAnsi="Verdana"/>
          <w:sz w:val="16"/>
          <w:szCs w:val="16"/>
        </w:rPr>
        <w:t xml:space="preserve"> </w:t>
      </w:r>
      <w:r w:rsidR="00D33D4E">
        <w:rPr>
          <w:rFonts w:ascii="Verdana" w:hAnsi="Verdana"/>
          <w:sz w:val="16"/>
          <w:szCs w:val="16"/>
        </w:rPr>
        <w:t xml:space="preserve">stakeholders. </w:t>
      </w:r>
      <w:r w:rsidR="00FE3B94">
        <w:rPr>
          <w:rFonts w:ascii="Verdana" w:hAnsi="Verdana"/>
          <w:sz w:val="16"/>
          <w:szCs w:val="16"/>
        </w:rPr>
        <w:t>Nevertheless</w:t>
      </w:r>
      <w:r w:rsidR="00257487">
        <w:rPr>
          <w:rFonts w:ascii="Verdana" w:hAnsi="Verdana"/>
          <w:sz w:val="16"/>
          <w:szCs w:val="16"/>
        </w:rPr>
        <w:t>,</w:t>
      </w:r>
      <w:r w:rsidR="00FE3B94">
        <w:rPr>
          <w:rFonts w:ascii="Verdana" w:hAnsi="Verdana"/>
          <w:sz w:val="16"/>
          <w:szCs w:val="16"/>
        </w:rPr>
        <w:t xml:space="preserve"> b</w:t>
      </w:r>
      <w:r w:rsidR="005C529B" w:rsidRPr="008565EF">
        <w:rPr>
          <w:rFonts w:ascii="Verdana" w:hAnsi="Verdana"/>
          <w:sz w:val="16"/>
          <w:szCs w:val="16"/>
        </w:rPr>
        <w:t xml:space="preserve">oth the laws remained </w:t>
      </w:r>
      <w:r w:rsidR="005C529B" w:rsidRPr="00D80745">
        <w:rPr>
          <w:rFonts w:ascii="Verdana" w:hAnsi="Verdana"/>
          <w:sz w:val="16"/>
          <w:szCs w:val="16"/>
        </w:rPr>
        <w:t>underutilised</w:t>
      </w:r>
      <w:r w:rsidR="00D33D4E">
        <w:rPr>
          <w:rFonts w:ascii="Verdana" w:hAnsi="Verdana"/>
          <w:sz w:val="16"/>
          <w:szCs w:val="16"/>
        </w:rPr>
        <w:t xml:space="preserve">. </w:t>
      </w:r>
      <w:r w:rsidR="00D80745" w:rsidRPr="00D80745">
        <w:rPr>
          <w:rFonts w:ascii="Verdana" w:hAnsi="Verdana"/>
          <w:sz w:val="16"/>
          <w:szCs w:val="16"/>
        </w:rPr>
        <w:t xml:space="preserve">So </w:t>
      </w:r>
      <w:r w:rsidR="0097118D" w:rsidRPr="00D80745">
        <w:rPr>
          <w:rFonts w:ascii="Verdana" w:hAnsi="Verdana"/>
          <w:sz w:val="16"/>
          <w:szCs w:val="16"/>
        </w:rPr>
        <w:t xml:space="preserve">the concept of collective ownership articulated remained narrow in scope. </w:t>
      </w:r>
      <w:r w:rsidR="00D80745" w:rsidRPr="00D80745">
        <w:rPr>
          <w:rFonts w:ascii="Verdana" w:hAnsi="Verdana"/>
          <w:sz w:val="16"/>
          <w:szCs w:val="16"/>
        </w:rPr>
        <w:t>Further</w:t>
      </w:r>
      <w:r w:rsidR="009E533E">
        <w:rPr>
          <w:rFonts w:ascii="Verdana" w:hAnsi="Verdana"/>
          <w:sz w:val="16"/>
          <w:szCs w:val="16"/>
        </w:rPr>
        <w:t>,</w:t>
      </w:r>
      <w:r w:rsidR="00D80745" w:rsidRPr="00D80745">
        <w:rPr>
          <w:rFonts w:ascii="Verdana" w:hAnsi="Verdana"/>
          <w:sz w:val="16"/>
          <w:szCs w:val="16"/>
        </w:rPr>
        <w:t xml:space="preserve"> the pre-TRIPS history suggests that </w:t>
      </w:r>
      <w:r w:rsidR="00AC2319">
        <w:rPr>
          <w:rFonts w:ascii="Verdana" w:hAnsi="Verdana"/>
          <w:sz w:val="16"/>
          <w:szCs w:val="16"/>
        </w:rPr>
        <w:t xml:space="preserve">the Indian GI owners </w:t>
      </w:r>
      <w:r w:rsidR="00D80745" w:rsidRPr="00D80745">
        <w:rPr>
          <w:rFonts w:ascii="Verdana" w:hAnsi="Verdana"/>
          <w:sz w:val="16"/>
          <w:szCs w:val="16"/>
        </w:rPr>
        <w:t xml:space="preserve">were not so keen </w:t>
      </w:r>
      <w:r w:rsidR="008B55C7">
        <w:rPr>
          <w:rFonts w:ascii="Verdana" w:hAnsi="Verdana"/>
          <w:sz w:val="16"/>
          <w:szCs w:val="16"/>
        </w:rPr>
        <w:t>o</w:t>
      </w:r>
      <w:r w:rsidR="00D80745" w:rsidRPr="00D80745">
        <w:rPr>
          <w:rFonts w:ascii="Verdana" w:hAnsi="Verdana"/>
          <w:sz w:val="16"/>
          <w:szCs w:val="16"/>
        </w:rPr>
        <w:t>n actively asserting their rights/ defending GIs against usurp</w:t>
      </w:r>
      <w:r w:rsidR="008B55C7">
        <w:rPr>
          <w:rFonts w:ascii="Verdana" w:hAnsi="Verdana"/>
          <w:sz w:val="16"/>
          <w:szCs w:val="16"/>
        </w:rPr>
        <w:t>a</w:t>
      </w:r>
      <w:r w:rsidR="00D80745" w:rsidRPr="00D80745">
        <w:rPr>
          <w:rFonts w:ascii="Verdana" w:hAnsi="Verdana"/>
          <w:sz w:val="16"/>
          <w:szCs w:val="16"/>
        </w:rPr>
        <w:t>tion.</w:t>
      </w:r>
      <w:r w:rsidR="00D80745">
        <w:rPr>
          <w:rFonts w:ascii="Times New Roman" w:hAnsi="Times New Roman"/>
        </w:rPr>
        <w:t xml:space="preserve"> </w:t>
      </w:r>
      <w:r w:rsidR="00D33D4E">
        <w:rPr>
          <w:rFonts w:ascii="Verdana" w:hAnsi="Verdana"/>
          <w:sz w:val="16"/>
          <w:szCs w:val="16"/>
        </w:rPr>
        <w:t>It was the reason why only</w:t>
      </w:r>
      <w:r w:rsidR="00D33D4E" w:rsidRPr="00D33D4E">
        <w:rPr>
          <w:rFonts w:ascii="Verdana" w:hAnsi="Verdana"/>
          <w:sz w:val="16"/>
          <w:szCs w:val="16"/>
        </w:rPr>
        <w:t xml:space="preserve"> </w:t>
      </w:r>
      <w:r w:rsidR="00D33D4E">
        <w:rPr>
          <w:rFonts w:ascii="Verdana" w:hAnsi="Verdana"/>
          <w:sz w:val="16"/>
          <w:szCs w:val="16"/>
        </w:rPr>
        <w:t xml:space="preserve">one GI was registered, that is </w:t>
      </w:r>
      <w:r w:rsidR="00D33D4E" w:rsidRPr="00D33D4E">
        <w:rPr>
          <w:rFonts w:ascii="Verdana" w:hAnsi="Verdana"/>
          <w:sz w:val="16"/>
          <w:szCs w:val="16"/>
        </w:rPr>
        <w:t>Darjeeling tea</w:t>
      </w:r>
      <w:r w:rsidR="00D33D4E">
        <w:rPr>
          <w:rFonts w:ascii="Times New Roman" w:hAnsi="Times New Roman"/>
        </w:rPr>
        <w:t>.</w:t>
      </w:r>
    </w:p>
    <w:p w14:paraId="3CBF670E" w14:textId="77777777" w:rsidR="008B55C7" w:rsidRPr="008B55C7" w:rsidRDefault="008B55C7" w:rsidP="00D80745">
      <w:pPr>
        <w:spacing w:line="276" w:lineRule="auto"/>
        <w:jc w:val="both"/>
        <w:rPr>
          <w:rFonts w:ascii="Verdana" w:hAnsi="Verdana"/>
          <w:sz w:val="16"/>
          <w:szCs w:val="16"/>
        </w:rPr>
      </w:pPr>
    </w:p>
    <w:p w14:paraId="13AD7CC1" w14:textId="2A8C0471" w:rsidR="007E1C74" w:rsidRDefault="00EC7333">
      <w:pPr>
        <w:pStyle w:val="Normaltext"/>
      </w:pPr>
      <w:r>
        <w:t>The TRIPS Agreement represented a fundamental shift in the GI protection in India. The</w:t>
      </w:r>
      <w:r w:rsidR="005C529B">
        <w:t xml:space="preserve"> Agreement does not explicitly mention collective ownership but </w:t>
      </w:r>
      <w:r w:rsidR="007E1C74">
        <w:t xml:space="preserve">implicitly recognises GI </w:t>
      </w:r>
      <w:r w:rsidR="008B55C7">
        <w:t xml:space="preserve">as </w:t>
      </w:r>
      <w:r w:rsidR="007E1C74">
        <w:t xml:space="preserve">collective property. The countries </w:t>
      </w:r>
      <w:r w:rsidR="0097118D">
        <w:t>have the full flexibility to contemplate collective</w:t>
      </w:r>
      <w:r w:rsidR="0097118D" w:rsidRPr="0097118D">
        <w:t xml:space="preserve"> </w:t>
      </w:r>
      <w:r w:rsidR="0097118D">
        <w:t xml:space="preserve">ownership; nevertheless, the TRIPS </w:t>
      </w:r>
      <w:r w:rsidR="00FE3B94">
        <w:t>negotiating history</w:t>
      </w:r>
      <w:r w:rsidR="0097118D">
        <w:t xml:space="preserve"> give some guidance from which India can gain useful cues. </w:t>
      </w:r>
      <w:r w:rsidR="00FE3B94">
        <w:t>Further</w:t>
      </w:r>
      <w:r w:rsidR="00683B76">
        <w:t>,</w:t>
      </w:r>
      <w:r w:rsidR="00FE3B94">
        <w:t xml:space="preserve"> I</w:t>
      </w:r>
      <w:r w:rsidR="00214C49">
        <w:t>ndia is full</w:t>
      </w:r>
      <w:r w:rsidR="008B55C7">
        <w:t>y</w:t>
      </w:r>
      <w:r w:rsidR="00214C49">
        <w:t xml:space="preserve"> TRIPS compliant with respect to its obligations as far as GI is concerned. </w:t>
      </w:r>
    </w:p>
    <w:p w14:paraId="03A0005C" w14:textId="2C3A8A9C" w:rsidR="00A53E8D" w:rsidRDefault="00A53E8D">
      <w:pPr>
        <w:pStyle w:val="Normaltext"/>
      </w:pPr>
    </w:p>
    <w:p w14:paraId="0CDB303D" w14:textId="154EC8BC" w:rsidR="00D0056A" w:rsidRPr="00D0056A" w:rsidRDefault="00A53E8D" w:rsidP="00D0056A">
      <w:pPr>
        <w:spacing w:line="276" w:lineRule="auto"/>
        <w:jc w:val="both"/>
        <w:rPr>
          <w:rFonts w:ascii="Verdana" w:hAnsi="Verdana"/>
          <w:sz w:val="16"/>
          <w:szCs w:val="16"/>
        </w:rPr>
      </w:pPr>
      <w:r w:rsidRPr="00D0056A">
        <w:rPr>
          <w:rFonts w:ascii="Verdana" w:hAnsi="Verdana"/>
          <w:sz w:val="16"/>
          <w:szCs w:val="16"/>
        </w:rPr>
        <w:t>To implement the TRIPS obligations</w:t>
      </w:r>
      <w:r w:rsidR="005C3C1E" w:rsidRPr="00D0056A">
        <w:rPr>
          <w:rFonts w:ascii="Verdana" w:hAnsi="Verdana"/>
          <w:sz w:val="16"/>
          <w:szCs w:val="16"/>
        </w:rPr>
        <w:t>,</w:t>
      </w:r>
      <w:r w:rsidRPr="00D0056A">
        <w:rPr>
          <w:rFonts w:ascii="Verdana" w:hAnsi="Verdana"/>
          <w:sz w:val="16"/>
          <w:szCs w:val="16"/>
        </w:rPr>
        <w:t xml:space="preserve"> the GI Bill was introduced in </w:t>
      </w:r>
      <w:r w:rsidR="00FE3B94">
        <w:rPr>
          <w:rFonts w:ascii="Verdana" w:hAnsi="Verdana"/>
          <w:sz w:val="16"/>
          <w:szCs w:val="16"/>
        </w:rPr>
        <w:t xml:space="preserve">Parliament </w:t>
      </w:r>
      <w:r w:rsidRPr="00D0056A">
        <w:rPr>
          <w:rFonts w:ascii="Verdana" w:hAnsi="Verdana"/>
          <w:sz w:val="16"/>
          <w:szCs w:val="16"/>
        </w:rPr>
        <w:t xml:space="preserve">in 1999. </w:t>
      </w:r>
      <w:r w:rsidR="0097118D" w:rsidRPr="00D0056A">
        <w:rPr>
          <w:rFonts w:ascii="Verdana" w:hAnsi="Verdana"/>
          <w:sz w:val="16"/>
          <w:szCs w:val="16"/>
        </w:rPr>
        <w:t xml:space="preserve">The debates on the GI bill </w:t>
      </w:r>
      <w:r w:rsidRPr="00D0056A">
        <w:rPr>
          <w:rFonts w:ascii="Verdana" w:hAnsi="Verdana"/>
          <w:sz w:val="16"/>
          <w:szCs w:val="16"/>
        </w:rPr>
        <w:t xml:space="preserve">reflect the lack of understanding of </w:t>
      </w:r>
      <w:r w:rsidR="0097118D" w:rsidRPr="00D0056A">
        <w:rPr>
          <w:rFonts w:ascii="Verdana" w:hAnsi="Verdana"/>
          <w:sz w:val="16"/>
          <w:szCs w:val="16"/>
        </w:rPr>
        <w:t xml:space="preserve">the legislature </w:t>
      </w:r>
      <w:r w:rsidRPr="00D0056A">
        <w:rPr>
          <w:rFonts w:ascii="Verdana" w:hAnsi="Verdana"/>
          <w:sz w:val="16"/>
          <w:szCs w:val="16"/>
        </w:rPr>
        <w:t>of the</w:t>
      </w:r>
      <w:r w:rsidR="0097118D" w:rsidRPr="00D0056A">
        <w:rPr>
          <w:rFonts w:ascii="Verdana" w:hAnsi="Verdana"/>
          <w:sz w:val="16"/>
          <w:szCs w:val="16"/>
        </w:rPr>
        <w:t xml:space="preserve"> subject matter </w:t>
      </w:r>
      <w:r w:rsidR="00FE3B94">
        <w:rPr>
          <w:rFonts w:ascii="Verdana" w:hAnsi="Verdana"/>
          <w:sz w:val="16"/>
          <w:szCs w:val="16"/>
        </w:rPr>
        <w:t>at</w:t>
      </w:r>
      <w:r w:rsidR="0097118D" w:rsidRPr="00D0056A">
        <w:rPr>
          <w:rFonts w:ascii="Verdana" w:hAnsi="Verdana"/>
          <w:sz w:val="16"/>
          <w:szCs w:val="16"/>
        </w:rPr>
        <w:t xml:space="preserve"> hand. </w:t>
      </w:r>
      <w:r w:rsidRPr="00D0056A">
        <w:rPr>
          <w:rFonts w:ascii="Verdana" w:hAnsi="Verdana"/>
          <w:sz w:val="16"/>
          <w:szCs w:val="16"/>
        </w:rPr>
        <w:t xml:space="preserve">The fact that India already had a long history of protecting GI during </w:t>
      </w:r>
      <w:r w:rsidR="005C3C1E" w:rsidRPr="00D0056A">
        <w:rPr>
          <w:rFonts w:ascii="Verdana" w:hAnsi="Verdana"/>
          <w:sz w:val="16"/>
          <w:szCs w:val="16"/>
        </w:rPr>
        <w:t xml:space="preserve">the </w:t>
      </w:r>
      <w:r w:rsidRPr="00D0056A">
        <w:rPr>
          <w:rFonts w:ascii="Verdana" w:hAnsi="Verdana"/>
          <w:sz w:val="16"/>
          <w:szCs w:val="16"/>
        </w:rPr>
        <w:t xml:space="preserve">Pre-TRIPS period and had registered Darjeeling tea as a certification mark was not reflected adequately in the parliamentary debates. </w:t>
      </w:r>
      <w:r w:rsidR="00D0056A">
        <w:rPr>
          <w:rFonts w:ascii="Verdana" w:hAnsi="Verdana"/>
          <w:sz w:val="16"/>
          <w:szCs w:val="16"/>
        </w:rPr>
        <w:t>No proper</w:t>
      </w:r>
      <w:r w:rsidR="00D0056A" w:rsidRPr="00D0056A">
        <w:rPr>
          <w:rFonts w:ascii="Verdana" w:hAnsi="Verdana"/>
          <w:sz w:val="16"/>
          <w:szCs w:val="16"/>
        </w:rPr>
        <w:t xml:space="preserve"> study </w:t>
      </w:r>
      <w:r w:rsidR="00D0056A">
        <w:rPr>
          <w:rFonts w:ascii="Verdana" w:hAnsi="Verdana"/>
          <w:sz w:val="16"/>
          <w:szCs w:val="16"/>
        </w:rPr>
        <w:t>was conducted to</w:t>
      </w:r>
      <w:r w:rsidR="00D0056A" w:rsidRPr="00D0056A">
        <w:rPr>
          <w:rFonts w:ascii="Verdana" w:hAnsi="Verdana"/>
          <w:sz w:val="16"/>
          <w:szCs w:val="16"/>
        </w:rPr>
        <w:t xml:space="preserve"> understand the pre-TRIPS scenario of GI in India </w:t>
      </w:r>
      <w:r w:rsidR="00D0056A">
        <w:rPr>
          <w:rFonts w:ascii="Verdana" w:hAnsi="Verdana"/>
          <w:sz w:val="16"/>
          <w:szCs w:val="16"/>
        </w:rPr>
        <w:t xml:space="preserve">and how the collective ownership in GI existed </w:t>
      </w:r>
      <w:r w:rsidR="00FE3B94">
        <w:rPr>
          <w:rFonts w:ascii="Verdana" w:hAnsi="Verdana"/>
          <w:sz w:val="16"/>
          <w:szCs w:val="16"/>
        </w:rPr>
        <w:t>on the ground</w:t>
      </w:r>
      <w:r w:rsidR="00D0056A">
        <w:rPr>
          <w:rFonts w:ascii="Verdana" w:hAnsi="Verdana"/>
          <w:sz w:val="16"/>
          <w:szCs w:val="16"/>
        </w:rPr>
        <w:t xml:space="preserve">. Further, no serious </w:t>
      </w:r>
      <w:r w:rsidR="00D86CA5">
        <w:rPr>
          <w:rFonts w:ascii="Verdana" w:hAnsi="Verdana"/>
          <w:sz w:val="16"/>
          <w:szCs w:val="16"/>
        </w:rPr>
        <w:t xml:space="preserve">scrutiny </w:t>
      </w:r>
      <w:r w:rsidR="00D0056A">
        <w:rPr>
          <w:rFonts w:ascii="Verdana" w:hAnsi="Verdana"/>
          <w:sz w:val="16"/>
          <w:szCs w:val="16"/>
        </w:rPr>
        <w:t xml:space="preserve">on how to implement the TRIPS obligations that best suit our domestic interest </w:t>
      </w:r>
      <w:r w:rsidR="00D86CA5">
        <w:rPr>
          <w:rFonts w:ascii="Verdana" w:hAnsi="Verdana"/>
          <w:sz w:val="16"/>
          <w:szCs w:val="16"/>
        </w:rPr>
        <w:t>seems to be undertaken</w:t>
      </w:r>
      <w:r w:rsidR="00D0056A">
        <w:rPr>
          <w:rFonts w:ascii="Verdana" w:hAnsi="Verdana"/>
          <w:sz w:val="16"/>
          <w:szCs w:val="16"/>
        </w:rPr>
        <w:t xml:space="preserve">. Thus the policy objective of the discussions remained narrow in scope. </w:t>
      </w:r>
    </w:p>
    <w:p w14:paraId="79E10FFA" w14:textId="4A2EDEC8" w:rsidR="00D0056A" w:rsidRDefault="00D0056A">
      <w:pPr>
        <w:pStyle w:val="Normaltext"/>
      </w:pPr>
    </w:p>
    <w:p w14:paraId="542D37F2" w14:textId="7CFF733D" w:rsidR="00D0056A" w:rsidRDefault="00D0056A">
      <w:pPr>
        <w:pStyle w:val="Normaltext"/>
      </w:pPr>
      <w:r>
        <w:t xml:space="preserve">The narrow policy objectives </w:t>
      </w:r>
      <w:r w:rsidR="00D86CA5">
        <w:t xml:space="preserve">as </w:t>
      </w:r>
      <w:r>
        <w:t>seen in the Bill also has got reflected under the Act.</w:t>
      </w:r>
      <w:r w:rsidR="00825EAB">
        <w:t xml:space="preserve"> </w:t>
      </w:r>
      <w:r w:rsidR="00CA7D4C">
        <w:t>In articulating t</w:t>
      </w:r>
      <w:r w:rsidR="00E414EF">
        <w:t>he collective owners</w:t>
      </w:r>
      <w:r w:rsidR="00CA7D4C">
        <w:t>hip</w:t>
      </w:r>
      <w:r w:rsidR="00E414EF">
        <w:t xml:space="preserve"> of the GI</w:t>
      </w:r>
      <w:r w:rsidR="00CA7D4C">
        <w:t>,</w:t>
      </w:r>
      <w:r w:rsidR="00E414EF">
        <w:t xml:space="preserve"> </w:t>
      </w:r>
      <w:r w:rsidR="00CA7D4C">
        <w:t>the following</w:t>
      </w:r>
      <w:r w:rsidR="00E414EF">
        <w:t xml:space="preserve"> </w:t>
      </w:r>
      <w:r w:rsidR="00683B76">
        <w:t>concepts</w:t>
      </w:r>
      <w:r w:rsidR="00CA7D4C">
        <w:t xml:space="preserve"> become crucial, namely </w:t>
      </w:r>
      <w:r w:rsidR="00E32F4B">
        <w:t>‘</w:t>
      </w:r>
      <w:r w:rsidR="00E414EF">
        <w:t>producer</w:t>
      </w:r>
      <w:r w:rsidR="00E32F4B">
        <w:t>’</w:t>
      </w:r>
      <w:r w:rsidR="00E414EF">
        <w:t xml:space="preserve">, </w:t>
      </w:r>
      <w:r w:rsidR="00E32F4B">
        <w:t>‘</w:t>
      </w:r>
      <w:r w:rsidR="00E414EF">
        <w:t>authorised user</w:t>
      </w:r>
      <w:r w:rsidR="00E32F4B">
        <w:t>’</w:t>
      </w:r>
      <w:r w:rsidR="00E414EF">
        <w:t xml:space="preserve"> and </w:t>
      </w:r>
      <w:r w:rsidR="00E32F4B">
        <w:t>‘</w:t>
      </w:r>
      <w:r w:rsidR="00E414EF">
        <w:t>registered proprietor</w:t>
      </w:r>
      <w:r w:rsidR="00E32F4B">
        <w:t xml:space="preserve">’. </w:t>
      </w:r>
      <w:r w:rsidR="00683B76">
        <w:t>Multiple reasons</w:t>
      </w:r>
      <w:r w:rsidR="00E32F4B">
        <w:t xml:space="preserve"> prompt one to argue that the collective ownership notion is not adequately envisaged in the Indian scenario. Some </w:t>
      </w:r>
      <w:r w:rsidR="00D86CA5">
        <w:t xml:space="preserve">of </w:t>
      </w:r>
      <w:r w:rsidR="00E32F4B">
        <w:t>them are; i)</w:t>
      </w:r>
      <w:r w:rsidR="00D86CA5">
        <w:t xml:space="preserve"> no proper procedure for identif</w:t>
      </w:r>
      <w:r w:rsidR="00683B76">
        <w:t>ying</w:t>
      </w:r>
      <w:r w:rsidR="00D86CA5">
        <w:t xml:space="preserve"> actual owners of the GI, ii) </w:t>
      </w:r>
      <w:r w:rsidR="00242595">
        <w:t xml:space="preserve">the eligibility, role </w:t>
      </w:r>
      <w:r w:rsidR="00242595">
        <w:t>and responsibilities of a registered proprietor are not adequately envisaged</w:t>
      </w:r>
      <w:r w:rsidR="00927358">
        <w:t>,</w:t>
      </w:r>
      <w:r w:rsidR="00242595">
        <w:t xml:space="preserve"> and iii) </w:t>
      </w:r>
      <w:r w:rsidR="00927358">
        <w:t xml:space="preserve">no mechanism to monitor changes in collective ownership relationship over time. </w:t>
      </w:r>
    </w:p>
    <w:p w14:paraId="6EF4D8C7" w14:textId="77777777" w:rsidR="00274469" w:rsidRDefault="00274469">
      <w:pPr>
        <w:pStyle w:val="Normaltext"/>
      </w:pPr>
    </w:p>
    <w:p w14:paraId="2B121A36" w14:textId="77777777" w:rsidR="005166D7" w:rsidRDefault="0097118D">
      <w:pPr>
        <w:pStyle w:val="Normaltext"/>
      </w:pPr>
      <w:r>
        <w:t>The judicial contribution to the exposition of the concept remains minimal. The case studies reveal the lacunas when the concept is implemented on the ground</w:t>
      </w:r>
      <w:r w:rsidR="00E32F4B">
        <w:t xml:space="preserve">. </w:t>
      </w:r>
    </w:p>
    <w:p w14:paraId="1ED4B49D" w14:textId="77777777" w:rsidR="005166D7" w:rsidRDefault="005166D7">
      <w:pPr>
        <w:pStyle w:val="Normaltext"/>
      </w:pPr>
    </w:p>
    <w:p w14:paraId="03E46A5D" w14:textId="6DFAE99E" w:rsidR="00E32F4B" w:rsidRDefault="00E32F4B">
      <w:pPr>
        <w:pStyle w:val="Normaltext"/>
      </w:pPr>
      <w:r>
        <w:t xml:space="preserve">The four case studies conducted highlight </w:t>
      </w:r>
      <w:r w:rsidR="005166D7">
        <w:t>that the GI’s ground realities are different from those portrayed in the GI application.</w:t>
      </w:r>
      <w:r w:rsidR="005166D7" w:rsidRPr="005166D7">
        <w:t xml:space="preserve"> </w:t>
      </w:r>
      <w:r w:rsidR="0087757C">
        <w:t>Some of them are the changes in the production process, the lack of uniformity in following the production process, and the development of fractions within the societies</w:t>
      </w:r>
      <w:r w:rsidR="005166D7">
        <w:t xml:space="preserve">. </w:t>
      </w:r>
      <w:r w:rsidR="00AC2319">
        <w:t>The</w:t>
      </w:r>
      <w:r w:rsidR="00781EFC">
        <w:t xml:space="preserve"> </w:t>
      </w:r>
      <w:r w:rsidR="00683B76">
        <w:t>changes happening in the collective ownership relationship on the ground over time</w:t>
      </w:r>
      <w:r w:rsidR="00AC2319">
        <w:t xml:space="preserve"> are </w:t>
      </w:r>
      <w:r w:rsidR="00781EFC">
        <w:t xml:space="preserve">not </w:t>
      </w:r>
      <w:r w:rsidR="00683B76">
        <w:t>adequate</w:t>
      </w:r>
      <w:r w:rsidR="00781EFC">
        <w:t xml:space="preserve">ly monitored or </w:t>
      </w:r>
      <w:r w:rsidR="00922A0A">
        <w:t>reflected in the GI application</w:t>
      </w:r>
      <w:r w:rsidR="007C66C7">
        <w:t>.</w:t>
      </w:r>
      <w:r w:rsidR="00781EFC">
        <w:t xml:space="preserve"> </w:t>
      </w:r>
      <w:r w:rsidR="00683B76">
        <w:t>If allowed to be continued, the trend could have a disastrous impact on the GI</w:t>
      </w:r>
      <w:r w:rsidR="00781EFC">
        <w:t>.</w:t>
      </w:r>
      <w:r w:rsidR="007C66C7">
        <w:t xml:space="preserve"> The lacunas identified in </w:t>
      </w:r>
      <w:r w:rsidR="00922A0A">
        <w:t xml:space="preserve">the </w:t>
      </w:r>
      <w:r w:rsidR="007C66C7">
        <w:t xml:space="preserve">law </w:t>
      </w:r>
      <w:r w:rsidR="00683B76">
        <w:t>are</w:t>
      </w:r>
      <w:r w:rsidR="007C66C7">
        <w:t xml:space="preserve"> the main reason for the situation on the ground. </w:t>
      </w:r>
    </w:p>
    <w:p w14:paraId="311BCFA8" w14:textId="77777777" w:rsidR="00E32F4B" w:rsidRDefault="00E32F4B">
      <w:pPr>
        <w:pStyle w:val="Normaltext"/>
        <w:rPr>
          <w:i/>
          <w:iCs/>
        </w:rPr>
      </w:pPr>
    </w:p>
    <w:p w14:paraId="491903BE" w14:textId="311CE2D2" w:rsidR="00912C7C" w:rsidRDefault="00963EFE">
      <w:pPr>
        <w:pStyle w:val="Normaltext"/>
      </w:pPr>
      <w:r>
        <w:t xml:space="preserve">The </w:t>
      </w:r>
      <w:r w:rsidR="00683B76">
        <w:t>research findings</w:t>
      </w:r>
      <w:r>
        <w:t xml:space="preserve"> necessitate immediate legislative intervention for a proper articulation of collective ownership in the Indian scenario. </w:t>
      </w:r>
    </w:p>
    <w:p w14:paraId="3C365799" w14:textId="77777777" w:rsidR="00AC2319" w:rsidRDefault="00AC2319">
      <w:pPr>
        <w:pStyle w:val="Normaltext"/>
        <w:rPr>
          <w:i/>
          <w:iCs/>
        </w:rPr>
      </w:pPr>
    </w:p>
    <w:p w14:paraId="6C1F4ABD" w14:textId="57F6F205" w:rsidR="00C407EB" w:rsidRPr="00BF3817" w:rsidRDefault="00D86CA5">
      <w:pPr>
        <w:pStyle w:val="Normaltext"/>
      </w:pPr>
      <w:r w:rsidRPr="00922A0A">
        <w:t>In light of other studies</w:t>
      </w:r>
      <w:r w:rsidR="00683B76">
        <w:t>,</w:t>
      </w:r>
      <w:r w:rsidRPr="00922A0A">
        <w:t xml:space="preserve"> my research goes a step further in understanding the implementation issues </w:t>
      </w:r>
      <w:r w:rsidR="0087757C">
        <w:t>to which the solution lies in</w:t>
      </w:r>
      <w:r w:rsidR="00AC2319">
        <w:t xml:space="preserve"> formulating </w:t>
      </w:r>
      <w:r w:rsidR="0087757C">
        <w:t xml:space="preserve">proper </w:t>
      </w:r>
      <w:r w:rsidR="00922A0A">
        <w:t>guidelines</w:t>
      </w:r>
      <w:r w:rsidR="0087757C">
        <w:t>.</w:t>
      </w:r>
      <w:r w:rsidR="00C3339D">
        <w:t xml:space="preserve"> </w:t>
      </w:r>
      <w:r w:rsidR="00912C7C" w:rsidRPr="00912C7C">
        <w:t xml:space="preserve">The study highlights the need for legislative intervention to </w:t>
      </w:r>
      <w:r w:rsidR="00AC2319">
        <w:t>clarify the concept of collective ownership in the Indian scenario</w:t>
      </w:r>
      <w:r w:rsidR="00912C7C">
        <w:t xml:space="preserve">. </w:t>
      </w:r>
      <w:r w:rsidR="00963EFE">
        <w:t>It can help in providing better guidance to courts, GI examiners and other stakeholders.</w:t>
      </w:r>
    </w:p>
    <w:p w14:paraId="46117636" w14:textId="2DD7462C" w:rsidR="007F423C" w:rsidRDefault="007F423C">
      <w:pPr>
        <w:pStyle w:val="Normaltext"/>
      </w:pPr>
    </w:p>
    <w:p w14:paraId="2AA7C220" w14:textId="77777777" w:rsidR="00274469" w:rsidRPr="00DD7EB9" w:rsidRDefault="00274469" w:rsidP="00274469">
      <w:pPr>
        <w:pStyle w:val="berschrift11"/>
        <w:tabs>
          <w:tab w:val="left" w:pos="240"/>
        </w:tabs>
        <w:rPr>
          <w:b/>
          <w:color w:val="C0504D" w:themeColor="accent2"/>
        </w:rPr>
      </w:pPr>
      <w:r w:rsidRPr="00DD7EB9">
        <w:rPr>
          <w:b/>
          <w:color w:val="C0504D" w:themeColor="accent2"/>
        </w:rPr>
        <w:t>Acknowledgement</w:t>
      </w:r>
    </w:p>
    <w:p w14:paraId="00CF0997" w14:textId="2853111E" w:rsidR="00274469" w:rsidRDefault="00274469" w:rsidP="00274469">
      <w:pPr>
        <w:pStyle w:val="Normaltext"/>
      </w:pPr>
      <w:r w:rsidRPr="00BF3817">
        <w:t>I w</w:t>
      </w:r>
      <w:r>
        <w:t>ant</w:t>
      </w:r>
      <w:r w:rsidRPr="00BF3817">
        <w:t xml:space="preserve"> to</w:t>
      </w:r>
      <w:r>
        <w:t xml:space="preserve"> thank IUCIPRS, CUSAT, for giving me an opportunity to do the project.</w:t>
      </w:r>
    </w:p>
    <w:p w14:paraId="36ABD5EF" w14:textId="77777777" w:rsidR="00274469" w:rsidRPr="00BF3817" w:rsidRDefault="00274469">
      <w:pPr>
        <w:pStyle w:val="Normaltext"/>
      </w:pPr>
    </w:p>
    <w:p w14:paraId="26F0CE2F" w14:textId="77777777" w:rsidR="007F423C" w:rsidRPr="00DD7EB9" w:rsidRDefault="007F423C">
      <w:pPr>
        <w:pStyle w:val="berschrift11"/>
        <w:rPr>
          <w:b/>
          <w:color w:val="C0504D" w:themeColor="accent2"/>
        </w:rPr>
      </w:pPr>
      <w:r w:rsidRPr="00DD7EB9">
        <w:rPr>
          <w:b/>
          <w:color w:val="C0504D" w:themeColor="accent2"/>
        </w:rPr>
        <w:t>References</w:t>
      </w:r>
    </w:p>
    <w:p w14:paraId="333039CE" w14:textId="344A7159" w:rsidR="000C350D" w:rsidRDefault="000C350D" w:rsidP="00D23870">
      <w:pPr>
        <w:pStyle w:val="Normaltext"/>
        <w:spacing w:before="80"/>
        <w:rPr>
          <w:szCs w:val="16"/>
        </w:rPr>
      </w:pPr>
      <w:r>
        <w:rPr>
          <w:szCs w:val="16"/>
        </w:rPr>
        <w:t xml:space="preserve">Nitya Nanda and Indrani Barpujari </w:t>
      </w:r>
      <w:r w:rsidRPr="00DF166F">
        <w:rPr>
          <w:i/>
          <w:iCs/>
          <w:szCs w:val="16"/>
        </w:rPr>
        <w:t>et</w:t>
      </w:r>
      <w:r>
        <w:rPr>
          <w:i/>
          <w:iCs/>
          <w:szCs w:val="16"/>
        </w:rPr>
        <w:t xml:space="preserve"> al.</w:t>
      </w:r>
      <w:r>
        <w:rPr>
          <w:szCs w:val="16"/>
        </w:rPr>
        <w:t xml:space="preserve">, 2013, </w:t>
      </w:r>
      <w:r w:rsidRPr="00F87357">
        <w:rPr>
          <w:i/>
          <w:iCs/>
          <w:szCs w:val="16"/>
        </w:rPr>
        <w:t>The Protection of Geographical Indications in India: Issues and Challenges</w:t>
      </w:r>
      <w:r>
        <w:rPr>
          <w:szCs w:val="16"/>
        </w:rPr>
        <w:t xml:space="preserve">, The Energy and Resources Institute, pp.1-10 at pp.8,9. </w:t>
      </w:r>
    </w:p>
    <w:p w14:paraId="7BC31A48" w14:textId="5A9C9B63" w:rsidR="002A3F4A" w:rsidRDefault="00F87357" w:rsidP="00D23870">
      <w:pPr>
        <w:pStyle w:val="Normaltext"/>
        <w:spacing w:before="80"/>
        <w:rPr>
          <w:szCs w:val="16"/>
        </w:rPr>
      </w:pPr>
      <w:r w:rsidRPr="00F87357">
        <w:rPr>
          <w:szCs w:val="16"/>
        </w:rPr>
        <w:t>Yogesh Pai and Tania Singla</w:t>
      </w:r>
      <w:r>
        <w:rPr>
          <w:szCs w:val="16"/>
        </w:rPr>
        <w:t xml:space="preserve">, 2016, </w:t>
      </w:r>
      <w:r w:rsidRPr="00F87357">
        <w:rPr>
          <w:szCs w:val="16"/>
        </w:rPr>
        <w:t>Vanity GIs: India’s Legislation on Geographical Indications and the Missing Regulatory Framework,</w:t>
      </w:r>
      <w:r>
        <w:rPr>
          <w:szCs w:val="16"/>
        </w:rPr>
        <w:t xml:space="preserve"> In Irene Calboli and Ng-Loy Wee Lon (Eds.), </w:t>
      </w:r>
      <w:r w:rsidRPr="00F87357">
        <w:rPr>
          <w:i/>
          <w:iCs/>
          <w:szCs w:val="16"/>
        </w:rPr>
        <w:t xml:space="preserve">Geographical Indications at the Cross-Roads of Trade, Development and Culture: Focus on Asia-Pacific, </w:t>
      </w:r>
      <w:r>
        <w:rPr>
          <w:szCs w:val="16"/>
        </w:rPr>
        <w:t>pp.333-358 at p.357</w:t>
      </w:r>
      <w:r w:rsidR="0095571D">
        <w:rPr>
          <w:szCs w:val="16"/>
        </w:rPr>
        <w:t>, United Kingdom, Cambridge University Press.</w:t>
      </w:r>
    </w:p>
    <w:p w14:paraId="129B5AC5" w14:textId="56C1822D" w:rsidR="002A3F4A" w:rsidRPr="000C350D" w:rsidRDefault="000C350D" w:rsidP="00D23870">
      <w:pPr>
        <w:pStyle w:val="Normaltext"/>
        <w:spacing w:before="80"/>
      </w:pPr>
      <w:r>
        <w:rPr>
          <w:szCs w:val="16"/>
        </w:rPr>
        <w:t xml:space="preserve">Akanksha </w:t>
      </w:r>
      <w:r w:rsidRPr="000C350D">
        <w:rPr>
          <w:szCs w:val="16"/>
        </w:rPr>
        <w:t>Jumde and Nishant Kumar</w:t>
      </w:r>
      <w:r>
        <w:rPr>
          <w:szCs w:val="16"/>
        </w:rPr>
        <w:t xml:space="preserve">, 2020, </w:t>
      </w:r>
      <w:r w:rsidR="002E44DA">
        <w:rPr>
          <w:szCs w:val="16"/>
        </w:rPr>
        <w:t>p</w:t>
      </w:r>
      <w:r>
        <w:rPr>
          <w:szCs w:val="16"/>
        </w:rPr>
        <w:t xml:space="preserve">rotection of traditional art forms under geographical indications law: a case study of </w:t>
      </w:r>
      <w:r w:rsidRPr="000C350D">
        <w:rPr>
          <w:i/>
          <w:iCs/>
          <w:szCs w:val="16"/>
        </w:rPr>
        <w:t xml:space="preserve">Madhubani </w:t>
      </w:r>
      <w:r>
        <w:rPr>
          <w:szCs w:val="16"/>
        </w:rPr>
        <w:t xml:space="preserve">and </w:t>
      </w:r>
      <w:r w:rsidRPr="000C350D">
        <w:rPr>
          <w:i/>
          <w:iCs/>
          <w:szCs w:val="16"/>
        </w:rPr>
        <w:t>Sujini</w:t>
      </w:r>
      <w:r>
        <w:rPr>
          <w:i/>
          <w:iCs/>
          <w:szCs w:val="16"/>
        </w:rPr>
        <w:t xml:space="preserve"> </w:t>
      </w:r>
      <w:r>
        <w:rPr>
          <w:szCs w:val="16"/>
        </w:rPr>
        <w:t xml:space="preserve">art forms of Bihar, India, </w:t>
      </w:r>
      <w:r w:rsidRPr="000C350D">
        <w:rPr>
          <w:i/>
          <w:iCs/>
          <w:szCs w:val="16"/>
        </w:rPr>
        <w:t>Journal of Intellectual Property Law and Practice,</w:t>
      </w:r>
      <w:r>
        <w:rPr>
          <w:szCs w:val="16"/>
        </w:rPr>
        <w:t xml:space="preserve"> 2020, Vol.15, No.12</w:t>
      </w:r>
      <w:r w:rsidR="00F87357">
        <w:rPr>
          <w:szCs w:val="16"/>
        </w:rPr>
        <w:t>, pp.984-1002 at p.1000.</w:t>
      </w:r>
    </w:p>
    <w:sectPr w:rsidR="002A3F4A" w:rsidRPr="000C350D" w:rsidSect="00E109AE">
      <w:type w:val="continuous"/>
      <w:pgSz w:w="11907" w:h="16840" w:code="9"/>
      <w:pgMar w:top="1251" w:right="1134" w:bottom="1134" w:left="1474" w:header="142" w:footer="397" w:gutter="0"/>
      <w:cols w:num="2" w:space="720" w:equalWidth="0">
        <w:col w:w="4295" w:space="708"/>
        <w:col w:w="42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406D" w14:textId="77777777" w:rsidR="00E370E6" w:rsidRDefault="00E370E6">
      <w:r>
        <w:separator/>
      </w:r>
    </w:p>
  </w:endnote>
  <w:endnote w:type="continuationSeparator" w:id="0">
    <w:p w14:paraId="042F7205" w14:textId="77777777" w:rsidR="00E370E6" w:rsidRDefault="00E3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6634" w14:textId="77777777" w:rsidR="00420522" w:rsidRDefault="007655D7" w:rsidP="00BD295C">
    <w:pPr>
      <w:pStyle w:val="Footer"/>
      <w:framePr w:wrap="around" w:vAnchor="text" w:hAnchor="margin" w:xAlign="right" w:y="1"/>
      <w:rPr>
        <w:rStyle w:val="PageNumber"/>
      </w:rPr>
    </w:pPr>
    <w:r>
      <w:rPr>
        <w:rStyle w:val="PageNumber"/>
      </w:rPr>
      <w:fldChar w:fldCharType="begin"/>
    </w:r>
    <w:r w:rsidR="00420522">
      <w:rPr>
        <w:rStyle w:val="PageNumber"/>
      </w:rPr>
      <w:instrText xml:space="preserve">PAGE  </w:instrText>
    </w:r>
    <w:r>
      <w:rPr>
        <w:rStyle w:val="PageNumber"/>
      </w:rPr>
      <w:fldChar w:fldCharType="end"/>
    </w:r>
  </w:p>
  <w:p w14:paraId="010C9DC1" w14:textId="77777777" w:rsidR="00420522" w:rsidRDefault="00420522" w:rsidP="00CD5A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1F50" w14:textId="77777777" w:rsidR="00E109AE" w:rsidRPr="00E109AE" w:rsidRDefault="00E109AE">
    <w:pPr>
      <w:pStyle w:val="Footer"/>
      <w:jc w:val="center"/>
      <w:rPr>
        <w:caps/>
      </w:rPr>
    </w:pPr>
    <w:r w:rsidRPr="00E109AE">
      <w:rPr>
        <w:caps/>
      </w:rPr>
      <w:fldChar w:fldCharType="begin"/>
    </w:r>
    <w:r w:rsidRPr="00E109AE">
      <w:rPr>
        <w:caps/>
      </w:rPr>
      <w:instrText>PAGE   \* MERGEFORMAT</w:instrText>
    </w:r>
    <w:r w:rsidRPr="00E109AE">
      <w:rPr>
        <w:caps/>
      </w:rPr>
      <w:fldChar w:fldCharType="separate"/>
    </w:r>
    <w:r w:rsidR="00BF068A" w:rsidRPr="00BF068A">
      <w:rPr>
        <w:caps/>
        <w:noProof/>
        <w:lang w:val="fr-FR"/>
      </w:rPr>
      <w:t>1</w:t>
    </w:r>
    <w:r w:rsidRPr="00E109AE">
      <w:rPr>
        <w:caps/>
      </w:rPr>
      <w:fldChar w:fldCharType="end"/>
    </w:r>
  </w:p>
  <w:p w14:paraId="3FB823F1" w14:textId="77777777" w:rsidR="00420522" w:rsidRPr="00405D42" w:rsidRDefault="00420522" w:rsidP="00CD5A2F">
    <w:pPr>
      <w:pStyle w:val="Footer"/>
      <w:ind w:right="360"/>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70F0" w14:textId="77777777" w:rsidR="00C53BC2" w:rsidRDefault="00C53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95BA" w14:textId="77777777" w:rsidR="00E370E6" w:rsidRDefault="00E370E6">
      <w:r>
        <w:separator/>
      </w:r>
    </w:p>
  </w:footnote>
  <w:footnote w:type="continuationSeparator" w:id="0">
    <w:p w14:paraId="39C99B9B" w14:textId="77777777" w:rsidR="00E370E6" w:rsidRDefault="00E370E6">
      <w:r>
        <w:continuationSeparator/>
      </w:r>
    </w:p>
  </w:footnote>
  <w:footnote w:id="1">
    <w:p w14:paraId="50041BFF" w14:textId="7CCE9B3E" w:rsidR="00EE51A0" w:rsidRDefault="00420522" w:rsidP="00EE51A0">
      <w:pPr>
        <w:pStyle w:val="Footnote"/>
        <w:jc w:val="both"/>
        <w:rPr>
          <w:lang w:val="en-GB"/>
        </w:rPr>
      </w:pPr>
      <w:r w:rsidRPr="00BF3817">
        <w:rPr>
          <w:vertAlign w:val="superscript"/>
          <w:lang w:val="en-GB"/>
        </w:rPr>
        <w:footnoteRef/>
      </w:r>
      <w:r w:rsidR="00EE51A0">
        <w:rPr>
          <w:lang w:val="en-GB"/>
        </w:rPr>
        <w:t xml:space="preserve"> SULOK S K, is working as Research Assistant, DPIIT Chair on IPR, Inter University Centre for Intellectual Property Rights Studies (IUCIPRS), Cochin University of Science and Technology (CUSAT), Kerala, India (</w:t>
      </w:r>
      <w:hyperlink r:id="rId1" w:history="1">
        <w:r w:rsidR="00EE51A0" w:rsidRPr="00040584">
          <w:rPr>
            <w:rStyle w:val="Hyperlink"/>
            <w:lang w:val="en-GB"/>
          </w:rPr>
          <w:t>sk.sulok@gmail.com</w:t>
        </w:r>
      </w:hyperlink>
      <w:r w:rsidR="00AD42F4">
        <w:rPr>
          <w:rStyle w:val="Hyperlink"/>
          <w:lang w:val="en-GB"/>
        </w:rPr>
        <w:t>, sk.sulok@cusat.ac.in</w:t>
      </w:r>
      <w:r w:rsidR="00EE51A0">
        <w:rPr>
          <w:lang w:val="en-GB"/>
        </w:rPr>
        <w:t xml:space="preserve">). </w:t>
      </w:r>
    </w:p>
    <w:p w14:paraId="12B82B89" w14:textId="77777777" w:rsidR="00EE51A0" w:rsidRDefault="00EE51A0" w:rsidP="0020461B">
      <w:pPr>
        <w:pStyle w:val="Footnote"/>
        <w:rPr>
          <w:lang w:val="en-GB"/>
        </w:rPr>
      </w:pPr>
    </w:p>
    <w:p w14:paraId="70FB0FF8" w14:textId="39E683B5" w:rsidR="00420522" w:rsidRPr="009913B4" w:rsidRDefault="00420522" w:rsidP="00F445EB">
      <w:pPr>
        <w:pStyle w:val="Footnote"/>
        <w:jc w:val="both"/>
        <w:rPr>
          <w:color w:val="FF0000"/>
          <w:lang w:val="en-GB"/>
        </w:rPr>
      </w:pPr>
      <w:r w:rsidRPr="00BF3817">
        <w:rPr>
          <w:lang w:val="en-GB"/>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6FDB" w14:textId="77777777" w:rsidR="00C53BC2" w:rsidRDefault="00C53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84" w:type="dxa"/>
      <w:tblInd w:w="-1184" w:type="dxa"/>
      <w:tblBorders>
        <w:top w:val="none" w:sz="0" w:space="0" w:color="auto"/>
        <w:left w:val="none" w:sz="0" w:space="0" w:color="auto"/>
        <w:bottom w:val="single" w:sz="6" w:space="0" w:color="777777"/>
        <w:right w:val="none" w:sz="0" w:space="0" w:color="auto"/>
        <w:insideH w:val="none" w:sz="0" w:space="0" w:color="auto"/>
        <w:insideV w:val="none" w:sz="0" w:space="0" w:color="auto"/>
      </w:tblBorders>
      <w:tblLook w:val="04A0" w:firstRow="1" w:lastRow="0" w:firstColumn="1" w:lastColumn="0" w:noHBand="0" w:noVBand="1"/>
    </w:tblPr>
    <w:tblGrid>
      <w:gridCol w:w="1102"/>
      <w:gridCol w:w="8871"/>
      <w:gridCol w:w="3011"/>
    </w:tblGrid>
    <w:tr w:rsidR="001B519B" w:rsidRPr="00994BAA" w14:paraId="08BC33F6" w14:textId="77777777" w:rsidTr="00DD7EB9">
      <w:trPr>
        <w:trHeight w:val="989"/>
      </w:trPr>
      <w:tc>
        <w:tcPr>
          <w:tcW w:w="1102" w:type="dxa"/>
          <w:vAlign w:val="center"/>
        </w:tcPr>
        <w:p w14:paraId="7A59DC11" w14:textId="77777777" w:rsidR="001B519B" w:rsidRPr="00994BAA" w:rsidRDefault="001B519B" w:rsidP="00262F68">
          <w:pPr>
            <w:pStyle w:val="Header"/>
            <w:rPr>
              <w:rFonts w:ascii="Verdana" w:hAnsi="Verdana"/>
              <w:color w:val="00B050"/>
              <w:lang w:val="en-GB"/>
            </w:rPr>
          </w:pPr>
        </w:p>
      </w:tc>
      <w:tc>
        <w:tcPr>
          <w:tcW w:w="8871" w:type="dxa"/>
          <w:vAlign w:val="center"/>
        </w:tcPr>
        <w:p w14:paraId="645C7D06" w14:textId="77777777" w:rsidR="00DD7EB9" w:rsidRPr="005577AE" w:rsidRDefault="00DD7EB9" w:rsidP="00DD7EB9">
          <w:pPr>
            <w:pStyle w:val="Titredepartie"/>
            <w:spacing w:before="0"/>
            <w:ind w:left="0"/>
            <w:jc w:val="center"/>
            <w:rPr>
              <w:rFonts w:ascii="Verdana" w:hAnsi="Verdana"/>
              <w:b w:val="0"/>
              <w:sz w:val="20"/>
              <w:lang w:val="en-US"/>
            </w:rPr>
          </w:pPr>
          <w:r w:rsidRPr="005577AE">
            <w:rPr>
              <w:rFonts w:ascii="Verdana" w:hAnsi="Verdana"/>
              <w:b w:val="0"/>
              <w:sz w:val="20"/>
              <w:lang w:val="en-US"/>
            </w:rPr>
            <w:t xml:space="preserve">Conference Proceedings </w:t>
          </w:r>
        </w:p>
        <w:p w14:paraId="4B352AF7" w14:textId="77777777" w:rsidR="001B519B" w:rsidRPr="005577AE" w:rsidRDefault="00DD7EB9" w:rsidP="00C53BC2">
          <w:pPr>
            <w:pStyle w:val="Titredepartie"/>
            <w:spacing w:before="0"/>
            <w:ind w:left="0"/>
            <w:jc w:val="center"/>
            <w:rPr>
              <w:rFonts w:ascii="Verdana" w:hAnsi="Verdana"/>
              <w:lang w:val="en-US"/>
            </w:rPr>
          </w:pPr>
          <w:r w:rsidRPr="005577AE">
            <w:rPr>
              <w:rFonts w:ascii="Verdana" w:hAnsi="Verdana"/>
              <w:sz w:val="20"/>
              <w:lang w:val="en-US"/>
            </w:rPr>
            <w:t>Worldwide Perspectives on Geographical Indications</w:t>
          </w:r>
          <w:r w:rsidRPr="005577AE">
            <w:rPr>
              <w:rFonts w:ascii="Verdana" w:hAnsi="Verdana"/>
              <w:sz w:val="18"/>
              <w:lang w:val="en-US"/>
            </w:rPr>
            <w:br/>
          </w:r>
          <w:r w:rsidR="005577AE" w:rsidRPr="005577AE">
            <w:rPr>
              <w:rFonts w:ascii="Verdana" w:hAnsi="Verdana"/>
              <w:b w:val="0"/>
              <w:sz w:val="20"/>
              <w:lang w:val="en-US"/>
            </w:rPr>
            <w:t>M</w:t>
          </w:r>
          <w:r w:rsidR="005577AE">
            <w:rPr>
              <w:rFonts w:ascii="Verdana" w:hAnsi="Verdana"/>
              <w:b w:val="0"/>
              <w:sz w:val="20"/>
              <w:lang w:val="en-US"/>
            </w:rPr>
            <w:t>ontpellier, France</w:t>
          </w:r>
          <w:r w:rsidRPr="005577AE">
            <w:rPr>
              <w:rFonts w:ascii="Verdana" w:hAnsi="Verdana"/>
              <w:b w:val="0"/>
              <w:sz w:val="20"/>
              <w:lang w:val="en-US"/>
            </w:rPr>
            <w:t xml:space="preserve"> – </w:t>
          </w:r>
          <w:r w:rsidR="005577AE">
            <w:rPr>
              <w:rFonts w:ascii="Verdana" w:hAnsi="Verdana"/>
              <w:b w:val="0"/>
              <w:sz w:val="20"/>
              <w:lang w:val="en-US"/>
            </w:rPr>
            <w:t xml:space="preserve">5 to 8 </w:t>
          </w:r>
          <w:r w:rsidRPr="005577AE">
            <w:rPr>
              <w:rFonts w:ascii="Verdana" w:hAnsi="Verdana"/>
              <w:b w:val="0"/>
              <w:sz w:val="20"/>
              <w:lang w:val="en-US"/>
            </w:rPr>
            <w:t>of July, 202</w:t>
          </w:r>
          <w:r w:rsidR="005577AE">
            <w:rPr>
              <w:rFonts w:ascii="Verdana" w:hAnsi="Verdana"/>
              <w:b w:val="0"/>
              <w:sz w:val="20"/>
              <w:lang w:val="en-US"/>
            </w:rPr>
            <w:t>2</w:t>
          </w:r>
        </w:p>
      </w:tc>
      <w:tc>
        <w:tcPr>
          <w:tcW w:w="3011" w:type="dxa"/>
          <w:vAlign w:val="center"/>
        </w:tcPr>
        <w:p w14:paraId="51BE3320" w14:textId="77777777" w:rsidR="001B519B" w:rsidRPr="00994BAA" w:rsidRDefault="007655D7" w:rsidP="00262F68">
          <w:pPr>
            <w:pStyle w:val="Header"/>
            <w:jc w:val="right"/>
            <w:rPr>
              <w:rFonts w:ascii="Cambria" w:hAnsi="Cambria"/>
              <w:color w:val="00B050"/>
              <w:sz w:val="20"/>
              <w:szCs w:val="20"/>
              <w:lang w:val="en-GB"/>
            </w:rPr>
          </w:pPr>
          <w:r w:rsidRPr="00DD7EB9">
            <w:rPr>
              <w:rFonts w:ascii="Verdana" w:hAnsi="Verdana"/>
              <w:sz w:val="20"/>
              <w:szCs w:val="20"/>
              <w:lang w:val="en-GB"/>
            </w:rPr>
            <w:fldChar w:fldCharType="begin"/>
          </w:r>
          <w:r w:rsidR="001B519B" w:rsidRPr="00DD7EB9">
            <w:rPr>
              <w:rFonts w:ascii="Verdana" w:hAnsi="Verdana"/>
              <w:sz w:val="20"/>
              <w:szCs w:val="20"/>
              <w:lang w:val="en-GB"/>
            </w:rPr>
            <w:instrText>PAGE   \* MERGEFORMAT</w:instrText>
          </w:r>
          <w:r w:rsidRPr="00DD7EB9">
            <w:rPr>
              <w:rFonts w:ascii="Verdana" w:hAnsi="Verdana"/>
              <w:sz w:val="20"/>
              <w:szCs w:val="20"/>
              <w:lang w:val="en-GB"/>
            </w:rPr>
            <w:fldChar w:fldCharType="separate"/>
          </w:r>
          <w:r w:rsidR="00BF068A">
            <w:rPr>
              <w:rFonts w:ascii="Verdana" w:hAnsi="Verdana"/>
              <w:noProof/>
              <w:sz w:val="20"/>
              <w:szCs w:val="20"/>
              <w:lang w:val="en-GB"/>
            </w:rPr>
            <w:t>1</w:t>
          </w:r>
          <w:r w:rsidRPr="00DD7EB9">
            <w:rPr>
              <w:rFonts w:ascii="Verdana" w:hAnsi="Verdana"/>
              <w:sz w:val="20"/>
              <w:szCs w:val="20"/>
              <w:lang w:val="en-GB"/>
            </w:rPr>
            <w:fldChar w:fldCharType="end"/>
          </w:r>
        </w:p>
      </w:tc>
    </w:tr>
  </w:tbl>
  <w:p w14:paraId="372215F8" w14:textId="77777777" w:rsidR="001B519B" w:rsidRPr="001B519B" w:rsidRDefault="001B519B" w:rsidP="000D6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BB77" w14:textId="77777777" w:rsidR="00C53BC2" w:rsidRDefault="00C53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NDWxNDMxNTYyMDBV0lEKTi0uzszPAykwNKoFAJSOnTEtAAAA"/>
  </w:docVars>
  <w:rsids>
    <w:rsidRoot w:val="007B4FCE"/>
    <w:rsid w:val="0000135C"/>
    <w:rsid w:val="00013242"/>
    <w:rsid w:val="00017E9D"/>
    <w:rsid w:val="00041071"/>
    <w:rsid w:val="00046F1E"/>
    <w:rsid w:val="00063AC4"/>
    <w:rsid w:val="00070FFE"/>
    <w:rsid w:val="00073BA2"/>
    <w:rsid w:val="00082BA8"/>
    <w:rsid w:val="000839FB"/>
    <w:rsid w:val="000A201C"/>
    <w:rsid w:val="000B6D9C"/>
    <w:rsid w:val="000C350D"/>
    <w:rsid w:val="000C5094"/>
    <w:rsid w:val="000D1023"/>
    <w:rsid w:val="000D11B2"/>
    <w:rsid w:val="000D6B6F"/>
    <w:rsid w:val="000D779A"/>
    <w:rsid w:val="000E0B4A"/>
    <w:rsid w:val="000E3E47"/>
    <w:rsid w:val="000E74B8"/>
    <w:rsid w:val="000E78FC"/>
    <w:rsid w:val="000F1396"/>
    <w:rsid w:val="00103940"/>
    <w:rsid w:val="001064AD"/>
    <w:rsid w:val="001340A3"/>
    <w:rsid w:val="001678D0"/>
    <w:rsid w:val="001A0BC2"/>
    <w:rsid w:val="001A40D4"/>
    <w:rsid w:val="001B519B"/>
    <w:rsid w:val="001D4C5F"/>
    <w:rsid w:val="001F1E2E"/>
    <w:rsid w:val="001F70E5"/>
    <w:rsid w:val="0020461B"/>
    <w:rsid w:val="00214C49"/>
    <w:rsid w:val="00221AC8"/>
    <w:rsid w:val="00240263"/>
    <w:rsid w:val="00240303"/>
    <w:rsid w:val="00242595"/>
    <w:rsid w:val="002427DF"/>
    <w:rsid w:val="00243F84"/>
    <w:rsid w:val="0024685C"/>
    <w:rsid w:val="00257487"/>
    <w:rsid w:val="00274469"/>
    <w:rsid w:val="00282A4B"/>
    <w:rsid w:val="00285D11"/>
    <w:rsid w:val="00294212"/>
    <w:rsid w:val="002A3F4A"/>
    <w:rsid w:val="002C27A8"/>
    <w:rsid w:val="002C3BDF"/>
    <w:rsid w:val="002C665E"/>
    <w:rsid w:val="002D204E"/>
    <w:rsid w:val="002E44DA"/>
    <w:rsid w:val="002F01EA"/>
    <w:rsid w:val="00303353"/>
    <w:rsid w:val="00334B9F"/>
    <w:rsid w:val="0033744A"/>
    <w:rsid w:val="00350B09"/>
    <w:rsid w:val="0036051D"/>
    <w:rsid w:val="0039785E"/>
    <w:rsid w:val="003A0493"/>
    <w:rsid w:val="003A09DD"/>
    <w:rsid w:val="003A7672"/>
    <w:rsid w:val="003B74AB"/>
    <w:rsid w:val="003D58C2"/>
    <w:rsid w:val="003E23E3"/>
    <w:rsid w:val="003E38B6"/>
    <w:rsid w:val="003F7366"/>
    <w:rsid w:val="00405D42"/>
    <w:rsid w:val="004144B6"/>
    <w:rsid w:val="00420522"/>
    <w:rsid w:val="00433F37"/>
    <w:rsid w:val="0043791D"/>
    <w:rsid w:val="004432EE"/>
    <w:rsid w:val="00473026"/>
    <w:rsid w:val="004C19B3"/>
    <w:rsid w:val="004C2C81"/>
    <w:rsid w:val="004C4D87"/>
    <w:rsid w:val="004D19AF"/>
    <w:rsid w:val="004E55A6"/>
    <w:rsid w:val="004F0B15"/>
    <w:rsid w:val="0050467A"/>
    <w:rsid w:val="005078CE"/>
    <w:rsid w:val="00513039"/>
    <w:rsid w:val="00514837"/>
    <w:rsid w:val="005166D7"/>
    <w:rsid w:val="00526941"/>
    <w:rsid w:val="00534A84"/>
    <w:rsid w:val="00543B8B"/>
    <w:rsid w:val="005474F3"/>
    <w:rsid w:val="005577AE"/>
    <w:rsid w:val="00572C5B"/>
    <w:rsid w:val="00574684"/>
    <w:rsid w:val="005850D8"/>
    <w:rsid w:val="005A4FD6"/>
    <w:rsid w:val="005C3C1E"/>
    <w:rsid w:val="005C529B"/>
    <w:rsid w:val="005C57B4"/>
    <w:rsid w:val="005E052A"/>
    <w:rsid w:val="005F1496"/>
    <w:rsid w:val="005F4AAA"/>
    <w:rsid w:val="006243F7"/>
    <w:rsid w:val="00641C50"/>
    <w:rsid w:val="00654819"/>
    <w:rsid w:val="00655938"/>
    <w:rsid w:val="0066650B"/>
    <w:rsid w:val="00681417"/>
    <w:rsid w:val="00683B76"/>
    <w:rsid w:val="006B0B08"/>
    <w:rsid w:val="006B2D3F"/>
    <w:rsid w:val="006C452D"/>
    <w:rsid w:val="006C47B3"/>
    <w:rsid w:val="006C572F"/>
    <w:rsid w:val="006D7093"/>
    <w:rsid w:val="006E0A88"/>
    <w:rsid w:val="006E5684"/>
    <w:rsid w:val="00704FF9"/>
    <w:rsid w:val="00724F67"/>
    <w:rsid w:val="007323E2"/>
    <w:rsid w:val="00732BF2"/>
    <w:rsid w:val="007655D7"/>
    <w:rsid w:val="0077304F"/>
    <w:rsid w:val="00781EFC"/>
    <w:rsid w:val="007A4326"/>
    <w:rsid w:val="007B4FCE"/>
    <w:rsid w:val="007C0193"/>
    <w:rsid w:val="007C66C7"/>
    <w:rsid w:val="007C6A50"/>
    <w:rsid w:val="007E1C74"/>
    <w:rsid w:val="007E580B"/>
    <w:rsid w:val="007F2AF0"/>
    <w:rsid w:val="007F423C"/>
    <w:rsid w:val="007F635E"/>
    <w:rsid w:val="00805189"/>
    <w:rsid w:val="00807461"/>
    <w:rsid w:val="00810CD0"/>
    <w:rsid w:val="00825EAB"/>
    <w:rsid w:val="00826DE4"/>
    <w:rsid w:val="0083628E"/>
    <w:rsid w:val="00850022"/>
    <w:rsid w:val="0085659A"/>
    <w:rsid w:val="008565EF"/>
    <w:rsid w:val="008636B9"/>
    <w:rsid w:val="0087757C"/>
    <w:rsid w:val="008818E4"/>
    <w:rsid w:val="008936A7"/>
    <w:rsid w:val="008B0112"/>
    <w:rsid w:val="008B0641"/>
    <w:rsid w:val="008B55C7"/>
    <w:rsid w:val="008E0880"/>
    <w:rsid w:val="008E0B26"/>
    <w:rsid w:val="008F27C0"/>
    <w:rsid w:val="00900709"/>
    <w:rsid w:val="00905D04"/>
    <w:rsid w:val="00912C7C"/>
    <w:rsid w:val="00916AC9"/>
    <w:rsid w:val="00917D3C"/>
    <w:rsid w:val="00922A0A"/>
    <w:rsid w:val="00927358"/>
    <w:rsid w:val="0093296F"/>
    <w:rsid w:val="00934987"/>
    <w:rsid w:val="00945380"/>
    <w:rsid w:val="009532A3"/>
    <w:rsid w:val="0095571D"/>
    <w:rsid w:val="00963EFE"/>
    <w:rsid w:val="00965C57"/>
    <w:rsid w:val="0097118D"/>
    <w:rsid w:val="00972F23"/>
    <w:rsid w:val="00974A4A"/>
    <w:rsid w:val="009913B4"/>
    <w:rsid w:val="00994BAA"/>
    <w:rsid w:val="00996206"/>
    <w:rsid w:val="00996A9A"/>
    <w:rsid w:val="00997724"/>
    <w:rsid w:val="009A0E1D"/>
    <w:rsid w:val="009A7CDD"/>
    <w:rsid w:val="009B3D30"/>
    <w:rsid w:val="009C3410"/>
    <w:rsid w:val="009C3C4A"/>
    <w:rsid w:val="009E1D58"/>
    <w:rsid w:val="009E4870"/>
    <w:rsid w:val="009E533E"/>
    <w:rsid w:val="009E5BB7"/>
    <w:rsid w:val="009F2084"/>
    <w:rsid w:val="00A2627C"/>
    <w:rsid w:val="00A36F85"/>
    <w:rsid w:val="00A53E8D"/>
    <w:rsid w:val="00A60178"/>
    <w:rsid w:val="00A71E3A"/>
    <w:rsid w:val="00A8438B"/>
    <w:rsid w:val="00AB65F9"/>
    <w:rsid w:val="00AC2319"/>
    <w:rsid w:val="00AD2D82"/>
    <w:rsid w:val="00AD42F4"/>
    <w:rsid w:val="00AE66D7"/>
    <w:rsid w:val="00AE762A"/>
    <w:rsid w:val="00AF6B74"/>
    <w:rsid w:val="00B51306"/>
    <w:rsid w:val="00B60C25"/>
    <w:rsid w:val="00B70B6B"/>
    <w:rsid w:val="00B83878"/>
    <w:rsid w:val="00B9276C"/>
    <w:rsid w:val="00B9513A"/>
    <w:rsid w:val="00BC544F"/>
    <w:rsid w:val="00BD295C"/>
    <w:rsid w:val="00BD504B"/>
    <w:rsid w:val="00BE0493"/>
    <w:rsid w:val="00BF068A"/>
    <w:rsid w:val="00BF0EF3"/>
    <w:rsid w:val="00BF2EF6"/>
    <w:rsid w:val="00BF3817"/>
    <w:rsid w:val="00BF3FFE"/>
    <w:rsid w:val="00BF6AB7"/>
    <w:rsid w:val="00C168FE"/>
    <w:rsid w:val="00C216BB"/>
    <w:rsid w:val="00C26FC1"/>
    <w:rsid w:val="00C3339D"/>
    <w:rsid w:val="00C407EB"/>
    <w:rsid w:val="00C53BC2"/>
    <w:rsid w:val="00C5734F"/>
    <w:rsid w:val="00C60D91"/>
    <w:rsid w:val="00C75326"/>
    <w:rsid w:val="00C76BAD"/>
    <w:rsid w:val="00C979BE"/>
    <w:rsid w:val="00CA6D2D"/>
    <w:rsid w:val="00CA7D4C"/>
    <w:rsid w:val="00CD345E"/>
    <w:rsid w:val="00CD5A2F"/>
    <w:rsid w:val="00D0056A"/>
    <w:rsid w:val="00D23870"/>
    <w:rsid w:val="00D320E4"/>
    <w:rsid w:val="00D33D4E"/>
    <w:rsid w:val="00D54350"/>
    <w:rsid w:val="00D61A41"/>
    <w:rsid w:val="00D61EAF"/>
    <w:rsid w:val="00D7446A"/>
    <w:rsid w:val="00D80745"/>
    <w:rsid w:val="00D86CA5"/>
    <w:rsid w:val="00D92770"/>
    <w:rsid w:val="00DA66A2"/>
    <w:rsid w:val="00DB205D"/>
    <w:rsid w:val="00DB3523"/>
    <w:rsid w:val="00DC5144"/>
    <w:rsid w:val="00DD7EB9"/>
    <w:rsid w:val="00DF166F"/>
    <w:rsid w:val="00E109AE"/>
    <w:rsid w:val="00E21F55"/>
    <w:rsid w:val="00E31639"/>
    <w:rsid w:val="00E32F4B"/>
    <w:rsid w:val="00E370E6"/>
    <w:rsid w:val="00E414EF"/>
    <w:rsid w:val="00E61C43"/>
    <w:rsid w:val="00E74CA9"/>
    <w:rsid w:val="00E86ABD"/>
    <w:rsid w:val="00E8740E"/>
    <w:rsid w:val="00E90BBF"/>
    <w:rsid w:val="00E95E05"/>
    <w:rsid w:val="00EA1A08"/>
    <w:rsid w:val="00EA4516"/>
    <w:rsid w:val="00EC7333"/>
    <w:rsid w:val="00ED4817"/>
    <w:rsid w:val="00EE51A0"/>
    <w:rsid w:val="00EF416E"/>
    <w:rsid w:val="00F07D15"/>
    <w:rsid w:val="00F159B7"/>
    <w:rsid w:val="00F204D1"/>
    <w:rsid w:val="00F31BB1"/>
    <w:rsid w:val="00F445EB"/>
    <w:rsid w:val="00F562B7"/>
    <w:rsid w:val="00F57C0C"/>
    <w:rsid w:val="00F61D82"/>
    <w:rsid w:val="00F7029F"/>
    <w:rsid w:val="00F8704D"/>
    <w:rsid w:val="00F87357"/>
    <w:rsid w:val="00F87E77"/>
    <w:rsid w:val="00FA5E38"/>
    <w:rsid w:val="00FB39C1"/>
    <w:rsid w:val="00FD4A0A"/>
    <w:rsid w:val="00FE3B94"/>
    <w:rsid w:val="00FE75E6"/>
    <w:rsid w:val="00FF66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9AABF"/>
  <w15:docId w15:val="{183C842D-ABE6-44C5-9372-394736F7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lang w:val="da-DK" w:eastAsia="da-DK"/>
    </w:rPr>
  </w:style>
  <w:style w:type="paragraph" w:styleId="Heading1">
    <w:name w:val="heading 1"/>
    <w:aliases w:val="heading2"/>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line="200" w:lineRule="atLeast"/>
      <w:jc w:val="both"/>
      <w:outlineLvl w:val="3"/>
    </w:pPr>
    <w:rPr>
      <w:rFonts w:ascii="Verdana" w:hAnsi="Verdana"/>
      <w:b/>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1">
    <w:name w:val="Titel1"/>
    <w:basedOn w:val="Heading1"/>
    <w:pPr>
      <w:jc w:val="center"/>
    </w:pPr>
    <w:rPr>
      <w:rFonts w:ascii="Verdana" w:hAnsi="Verdana"/>
      <w:b w:val="0"/>
      <w:bCs w:val="0"/>
      <w:sz w:val="40"/>
    </w:rPr>
  </w:style>
  <w:style w:type="paragraph" w:customStyle="1" w:styleId="Authors">
    <w:name w:val="Authors"/>
    <w:basedOn w:val="Normal"/>
    <w:pPr>
      <w:keepNext/>
      <w:jc w:val="center"/>
      <w:outlineLvl w:val="1"/>
    </w:pPr>
    <w:rPr>
      <w:rFonts w:ascii="Verdana" w:hAnsi="Verdana"/>
    </w:rPr>
  </w:style>
  <w:style w:type="paragraph" w:customStyle="1" w:styleId="abstract">
    <w:name w:val="abstract"/>
    <w:basedOn w:val="Heading4"/>
  </w:style>
  <w:style w:type="paragraph" w:customStyle="1" w:styleId="Normaltext">
    <w:name w:val="Normal text"/>
    <w:basedOn w:val="Normal"/>
    <w:pPr>
      <w:spacing w:line="220" w:lineRule="atLeast"/>
      <w:jc w:val="both"/>
    </w:pPr>
    <w:rPr>
      <w:rFonts w:ascii="Verdana" w:hAnsi="Verdana"/>
      <w:sz w:val="16"/>
      <w:lang w:val="en-GB"/>
    </w:rPr>
  </w:style>
  <w:style w:type="paragraph" w:customStyle="1" w:styleId="berschrift11">
    <w:name w:val="Überschrift 11"/>
    <w:basedOn w:val="Heading1"/>
    <w:pPr>
      <w:spacing w:after="40" w:line="220" w:lineRule="atLeast"/>
      <w:jc w:val="center"/>
    </w:pPr>
    <w:rPr>
      <w:rFonts w:ascii="Verdana" w:hAnsi="Verdana"/>
      <w:b w:val="0"/>
      <w:bCs w:val="0"/>
      <w:smallCaps/>
      <w:sz w:val="18"/>
      <w:lang w:val="en-GB"/>
    </w:rPr>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customStyle="1" w:styleId="Footnote">
    <w:name w:val="Foot note"/>
    <w:basedOn w:val="FootnoteText"/>
    <w:pPr>
      <w:tabs>
        <w:tab w:val="left" w:pos="240"/>
      </w:tabs>
      <w:spacing w:line="160" w:lineRule="atLeast"/>
    </w:pPr>
    <w:rPr>
      <w:rFonts w:ascii="Verdana" w:hAnsi="Verdana"/>
      <w:sz w:val="12"/>
    </w:rPr>
  </w:style>
  <w:style w:type="character" w:styleId="Hyperlink">
    <w:name w:val="Hyperlink"/>
    <w:rPr>
      <w:color w:val="0000FF"/>
      <w:u w:val="single"/>
    </w:rPr>
  </w:style>
  <w:style w:type="paragraph" w:styleId="BodyText">
    <w:name w:val="Body Text"/>
    <w:basedOn w:val="Normal"/>
    <w:pPr>
      <w:autoSpaceDE w:val="0"/>
      <w:autoSpaceDN w:val="0"/>
      <w:adjustRightInd w:val="0"/>
      <w:spacing w:line="220" w:lineRule="atLeast"/>
    </w:pPr>
    <w:rPr>
      <w:rFonts w:ascii="Verdana" w:hAnsi="Verdana"/>
      <w:sz w:val="16"/>
      <w:lang w:val="en-GB"/>
    </w:rPr>
  </w:style>
  <w:style w:type="paragraph" w:customStyle="1" w:styleId="Firstheading">
    <w:name w:val="First heading"/>
    <w:basedOn w:val="Normal"/>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Footer">
    <w:name w:val="footer"/>
    <w:basedOn w:val="Normal"/>
    <w:link w:val="FooterChar"/>
    <w:uiPriority w:val="99"/>
    <w:rsid w:val="00CD5A2F"/>
    <w:pPr>
      <w:tabs>
        <w:tab w:val="center" w:pos="4536"/>
        <w:tab w:val="right" w:pos="9072"/>
      </w:tabs>
    </w:pPr>
  </w:style>
  <w:style w:type="character" w:styleId="PageNumber">
    <w:name w:val="page number"/>
    <w:basedOn w:val="DefaultParagraphFont"/>
    <w:rsid w:val="00CD5A2F"/>
  </w:style>
  <w:style w:type="paragraph" w:styleId="Header">
    <w:name w:val="header"/>
    <w:basedOn w:val="Normal"/>
    <w:link w:val="HeaderChar"/>
    <w:uiPriority w:val="99"/>
    <w:rsid w:val="00CD5A2F"/>
    <w:pPr>
      <w:tabs>
        <w:tab w:val="center" w:pos="4536"/>
        <w:tab w:val="right" w:pos="9072"/>
      </w:tabs>
    </w:pPr>
  </w:style>
  <w:style w:type="paragraph" w:styleId="BalloonText">
    <w:name w:val="Balloon Text"/>
    <w:basedOn w:val="Normal"/>
    <w:semiHidden/>
    <w:rsid w:val="006C572F"/>
    <w:rPr>
      <w:rFonts w:ascii="Tahoma" w:hAnsi="Tahoma" w:cs="Tahoma"/>
      <w:sz w:val="16"/>
      <w:szCs w:val="16"/>
    </w:rPr>
  </w:style>
  <w:style w:type="character" w:styleId="CommentReference">
    <w:name w:val="annotation reference"/>
    <w:semiHidden/>
    <w:rsid w:val="002427DF"/>
    <w:rPr>
      <w:sz w:val="16"/>
      <w:szCs w:val="16"/>
    </w:rPr>
  </w:style>
  <w:style w:type="paragraph" w:styleId="CommentText">
    <w:name w:val="annotation text"/>
    <w:basedOn w:val="Normal"/>
    <w:semiHidden/>
    <w:rsid w:val="002427DF"/>
    <w:rPr>
      <w:sz w:val="20"/>
      <w:szCs w:val="20"/>
    </w:rPr>
  </w:style>
  <w:style w:type="paragraph" w:styleId="CommentSubject">
    <w:name w:val="annotation subject"/>
    <w:basedOn w:val="CommentText"/>
    <w:next w:val="CommentText"/>
    <w:semiHidden/>
    <w:rsid w:val="002427DF"/>
    <w:rPr>
      <w:b/>
      <w:bCs/>
    </w:rPr>
  </w:style>
  <w:style w:type="table" w:styleId="TableGrid">
    <w:name w:val="Table Grid"/>
    <w:basedOn w:val="TableNormal"/>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B519B"/>
    <w:rPr>
      <w:rFonts w:ascii="Garamond" w:hAnsi="Garamond"/>
      <w:sz w:val="24"/>
      <w:szCs w:val="24"/>
      <w:lang w:val="da-DK" w:eastAsia="da-DK"/>
    </w:rPr>
  </w:style>
  <w:style w:type="paragraph" w:customStyle="1" w:styleId="Titredepartie">
    <w:name w:val="Titre de partie"/>
    <w:basedOn w:val="Heading3"/>
    <w:rsid w:val="00DD7EB9"/>
    <w:pPr>
      <w:keepLines/>
      <w:suppressAutoHyphens/>
      <w:autoSpaceDN w:val="0"/>
      <w:spacing w:before="200" w:after="0" w:line="276" w:lineRule="auto"/>
      <w:ind w:left="708"/>
      <w:textAlignment w:val="baseline"/>
    </w:pPr>
    <w:rPr>
      <w:rFonts w:ascii="Century Gothic" w:hAnsi="Century Gothic" w:cs="Times New Roman"/>
      <w:i/>
      <w:color w:val="B4482E"/>
      <w:sz w:val="22"/>
      <w:szCs w:val="22"/>
      <w:lang w:val="fr-FR" w:eastAsia="en-US"/>
    </w:rPr>
  </w:style>
  <w:style w:type="character" w:customStyle="1" w:styleId="FooterChar">
    <w:name w:val="Footer Char"/>
    <w:basedOn w:val="DefaultParagraphFont"/>
    <w:link w:val="Footer"/>
    <w:uiPriority w:val="99"/>
    <w:rsid w:val="00E109AE"/>
    <w:rPr>
      <w:rFonts w:ascii="Garamond" w:hAnsi="Garamond"/>
      <w:sz w:val="24"/>
      <w:szCs w:val="24"/>
      <w:lang w:val="da-DK" w:eastAsia="da-DK"/>
    </w:rPr>
  </w:style>
  <w:style w:type="character" w:customStyle="1" w:styleId="UnresolvedMention1">
    <w:name w:val="Unresolved Mention1"/>
    <w:basedOn w:val="DefaultParagraphFont"/>
    <w:uiPriority w:val="99"/>
    <w:semiHidden/>
    <w:unhideWhenUsed/>
    <w:rsid w:val="00BE0493"/>
    <w:rPr>
      <w:color w:val="605E5C"/>
      <w:shd w:val="clear" w:color="auto" w:fill="E1DFDD"/>
    </w:rPr>
  </w:style>
  <w:style w:type="character" w:styleId="UnresolvedMention">
    <w:name w:val="Unresolved Mention"/>
    <w:basedOn w:val="DefaultParagraphFont"/>
    <w:uiPriority w:val="99"/>
    <w:semiHidden/>
    <w:unhideWhenUsed/>
    <w:rsid w:val="00EE51A0"/>
    <w:rPr>
      <w:color w:val="605E5C"/>
      <w:shd w:val="clear" w:color="auto" w:fill="E1DFDD"/>
    </w:rPr>
  </w:style>
  <w:style w:type="paragraph" w:styleId="NormalWeb">
    <w:name w:val="Normal (Web)"/>
    <w:basedOn w:val="Normal"/>
    <w:uiPriority w:val="99"/>
    <w:semiHidden/>
    <w:unhideWhenUsed/>
    <w:rsid w:val="00EE51A0"/>
    <w:pPr>
      <w:spacing w:before="100" w:beforeAutospacing="1" w:after="100" w:afterAutospacing="1"/>
    </w:pPr>
    <w:rPr>
      <w:rFonts w:ascii="Times New Roman" w:hAnsi="Times New Roman"/>
      <w:lang w:val="en-IN" w:eastAsia="en-IN"/>
    </w:rPr>
  </w:style>
  <w:style w:type="character" w:customStyle="1" w:styleId="FootnoteTextChar">
    <w:name w:val="Footnote Text Char"/>
    <w:basedOn w:val="DefaultParagraphFont"/>
    <w:link w:val="FootnoteText"/>
    <w:uiPriority w:val="99"/>
    <w:rsid w:val="00070FFE"/>
    <w:rPr>
      <w:rFonts w:ascii="Garamond" w:hAnsi="Garamond"/>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sk.sulok@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1544</Words>
  <Characters>8804</Characters>
  <Application>Microsoft Office Word</Application>
  <DocSecurity>0</DocSecurity>
  <Lines>73</Lines>
  <Paragraphs>20</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Überschriften</vt:lpstr>
      </vt:variant>
      <vt:variant>
        <vt:i4>13</vt:i4>
      </vt:variant>
    </vt:vector>
  </HeadingPairs>
  <TitlesOfParts>
    <vt:vector size="16" baseType="lpstr">
      <vt:lpstr>Preparation and submission of extended ab-stracts for the Joint Organic Congress 2006</vt:lpstr>
      <vt:lpstr>Preparation and submission of extended ab-stracts for the Joint Organic Congress 2006</vt:lpstr>
      <vt:lpstr>Preparation and submission of extended ab-stracts for the Joint Organic Congress 2006</vt:lpstr>
      <vt:lpstr>Title</vt:lpstr>
      <vt:lpstr/>
      <vt:lpstr>    First A. Author, Second B. Author, und Third C. Author1</vt:lpstr>
      <vt:lpstr>    </vt:lpstr>
      <vt:lpstr>    </vt:lpstr>
      <vt:lpstr>    </vt:lpstr>
      <vt:lpstr>Introduction to using the template</vt:lpstr>
      <vt:lpstr>Procedure for Short paper submission</vt:lpstr>
      <vt:lpstr>Structure of the short paper</vt:lpstr>
      <vt:lpstr>Helpful hints on formatting</vt:lpstr>
      <vt:lpstr>Guidelines for references</vt:lpstr>
      <vt:lpstr>Acknowledgement</vt:lpstr>
      <vt:lpstr>References</vt:lpstr>
    </vt:vector>
  </TitlesOfParts>
  <Company>DJF</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sulok s.k</cp:lastModifiedBy>
  <cp:revision>117</cp:revision>
  <cp:lastPrinted>2010-01-26T12:47:00Z</cp:lastPrinted>
  <dcterms:created xsi:type="dcterms:W3CDTF">2022-03-10T10:53:00Z</dcterms:created>
  <dcterms:modified xsi:type="dcterms:W3CDTF">2022-04-30T14:50:00Z</dcterms:modified>
</cp:coreProperties>
</file>