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370E" w14:textId="2F634670" w:rsidR="00B84B6D" w:rsidRPr="002A1C42" w:rsidRDefault="003D0B77" w:rsidP="00DC4C5D">
      <w:pPr>
        <w:pStyle w:val="Titre"/>
        <w:spacing w:after="240"/>
        <w:ind w:firstLine="0"/>
      </w:pPr>
      <w:r w:rsidRPr="003D0B77">
        <w:t>POURQUOI NE PAS UTILISER LE PRESSIOM</w:t>
      </w:r>
      <w:r w:rsidRPr="003D0B77">
        <w:rPr>
          <w:rFonts w:hint="eastAsia"/>
        </w:rPr>
        <w:t>È</w:t>
      </w:r>
      <w:r w:rsidRPr="003D0B77">
        <w:t>TRE POUR L'ANALYSE DU RISQUE DE LIQU</w:t>
      </w:r>
      <w:r w:rsidRPr="003D0B77">
        <w:rPr>
          <w:rFonts w:hint="eastAsia"/>
        </w:rPr>
        <w:t>É</w:t>
      </w:r>
      <w:r w:rsidRPr="003D0B77">
        <w:t>FACTION ?</w:t>
      </w:r>
    </w:p>
    <w:p w14:paraId="66B01303" w14:textId="2F139BCE" w:rsidR="00B84B6D" w:rsidRPr="00DC4C5D" w:rsidRDefault="003D0B77" w:rsidP="00DC4C5D">
      <w:pPr>
        <w:pStyle w:val="Sous-titre"/>
        <w:spacing w:after="240"/>
        <w:ind w:firstLine="0"/>
        <w:jc w:val="left"/>
        <w:rPr>
          <w:rFonts w:asciiTheme="minorBidi" w:hAnsiTheme="minorBidi" w:cstheme="minorBidi"/>
          <w:b/>
          <w:bCs/>
          <w:i/>
          <w:iCs w:val="0"/>
        </w:rPr>
      </w:pPr>
      <w:r w:rsidRPr="00DC4C5D">
        <w:rPr>
          <w:rFonts w:asciiTheme="minorBidi" w:hAnsiTheme="minorBidi" w:cstheme="minorBidi"/>
          <w:b/>
          <w:bCs/>
          <w:i/>
          <w:iCs w:val="0"/>
        </w:rPr>
        <w:t xml:space="preserve">WHY NOT USE THE </w:t>
      </w:r>
      <w:r w:rsidRPr="00DC4C5D">
        <w:rPr>
          <w:rFonts w:ascii="Arial" w:hAnsi="Arial" w:cs="Arial"/>
          <w:b/>
          <w:i/>
          <w:iCs w:val="0"/>
          <w:sz w:val="26"/>
          <w:szCs w:val="26"/>
        </w:rPr>
        <w:t>PRESSUREMETER</w:t>
      </w:r>
      <w:r w:rsidRPr="00DC4C5D">
        <w:rPr>
          <w:rFonts w:asciiTheme="minorBidi" w:hAnsiTheme="minorBidi" w:cstheme="minorBidi"/>
          <w:b/>
          <w:bCs/>
          <w:i/>
          <w:iCs w:val="0"/>
        </w:rPr>
        <w:t xml:space="preserve"> FOR LIQUEFACTION RISK ANALYSIS?</w:t>
      </w:r>
    </w:p>
    <w:p w14:paraId="5DB304FD" w14:textId="0ADE2D46" w:rsidR="003D0B77" w:rsidRDefault="003D0B77" w:rsidP="00DC4C5D">
      <w:pPr>
        <w:pStyle w:val="auteurs"/>
      </w:pPr>
      <w:r w:rsidRPr="00CB7A77">
        <w:t>Ph</w:t>
      </w:r>
      <w:r>
        <w:t xml:space="preserve">ilippe </w:t>
      </w:r>
      <w:r w:rsidRPr="00CB7A77">
        <w:t>Reiffsteck</w:t>
      </w:r>
      <w:r w:rsidRPr="002A1C42">
        <w:rPr>
          <w:vertAlign w:val="superscript"/>
        </w:rPr>
        <w:t>1</w:t>
      </w:r>
      <w:r w:rsidRPr="00CB7A77">
        <w:t xml:space="preserve">, </w:t>
      </w:r>
      <w:r>
        <w:t xml:space="preserve">Panagiotis Georgios </w:t>
      </w:r>
      <w:r w:rsidRPr="00CB7A77">
        <w:t>Karagianopoulos</w:t>
      </w:r>
      <w:r>
        <w:rPr>
          <w:vertAlign w:val="superscript"/>
        </w:rPr>
        <w:t>2</w:t>
      </w:r>
      <w:r w:rsidRPr="00CB7A77">
        <w:t xml:space="preserve">, </w:t>
      </w:r>
      <w:r>
        <w:t xml:space="preserve">Michael </w:t>
      </w:r>
      <w:r w:rsidRPr="00CB7A77">
        <w:t>Peronne</w:t>
      </w:r>
      <w:r>
        <w:rPr>
          <w:vertAlign w:val="superscript"/>
        </w:rPr>
        <w:t>2</w:t>
      </w:r>
      <w:r w:rsidRPr="00CB7A77">
        <w:t xml:space="preserve">, </w:t>
      </w:r>
    </w:p>
    <w:p w14:paraId="37D336C7" w14:textId="77777777" w:rsidR="003D0B77" w:rsidRPr="000D0A7F" w:rsidRDefault="003D0B77" w:rsidP="00DC4C5D">
      <w:pPr>
        <w:pStyle w:val="affiliationdesauteurs"/>
      </w:pPr>
      <w:r w:rsidRPr="002A1C42">
        <w:rPr>
          <w:vertAlign w:val="superscript"/>
        </w:rPr>
        <w:t>1</w:t>
      </w:r>
      <w:r w:rsidRPr="002A1C42">
        <w:t xml:space="preserve"> </w:t>
      </w:r>
      <w:r>
        <w:t>Université Gustave Eiffel, GERS-SRO, Champs sur Marne, France</w:t>
      </w:r>
    </w:p>
    <w:p w14:paraId="6E09A04B" w14:textId="77777777" w:rsidR="00DC4C5D" w:rsidRDefault="003D0B77" w:rsidP="00DC4C5D">
      <w:pPr>
        <w:pStyle w:val="affiliationdesauteurs"/>
      </w:pPr>
      <w:r>
        <w:rPr>
          <w:vertAlign w:val="superscript"/>
        </w:rPr>
        <w:t>2</w:t>
      </w:r>
      <w:r>
        <w:t xml:space="preserve"> Jean Lutz SA, Jurançon, France   </w:t>
      </w:r>
    </w:p>
    <w:p w14:paraId="5980B20B" w14:textId="5D71B3BF" w:rsidR="003D0B77" w:rsidRDefault="003D0B77" w:rsidP="00DC4C5D">
      <w:pPr>
        <w:pStyle w:val="affiliationdesauteurs"/>
      </w:pPr>
      <w:r>
        <w:t xml:space="preserve">                               </w:t>
      </w:r>
    </w:p>
    <w:p w14:paraId="6C08EAE1" w14:textId="62A9A261" w:rsidR="003D0B77" w:rsidRDefault="00B84B6D" w:rsidP="00DC4C5D">
      <w:pPr>
        <w:pStyle w:val="textedursum"/>
        <w:ind w:firstLine="0"/>
      </w:pPr>
      <w:r>
        <w:rPr>
          <w:b/>
        </w:rPr>
        <w:t>RÉSUMÉ –</w:t>
      </w:r>
      <w:r>
        <w:t xml:space="preserve"> </w:t>
      </w:r>
      <w:r w:rsidR="003D0B77" w:rsidRPr="003D0B77">
        <w:t>La communication pr</w:t>
      </w:r>
      <w:r w:rsidR="003D0B77" w:rsidRPr="003D0B77">
        <w:rPr>
          <w:rFonts w:hint="eastAsia"/>
        </w:rPr>
        <w:t>é</w:t>
      </w:r>
      <w:r w:rsidR="003D0B77" w:rsidRPr="003D0B77">
        <w:t>sente plusieurs m</w:t>
      </w:r>
      <w:r w:rsidR="003D0B77" w:rsidRPr="003D0B77">
        <w:rPr>
          <w:rFonts w:hint="eastAsia"/>
        </w:rPr>
        <w:t>é</w:t>
      </w:r>
      <w:r w:rsidR="003D0B77" w:rsidRPr="003D0B77">
        <w:t xml:space="preserve">thodes pour </w:t>
      </w:r>
      <w:r w:rsidR="003D0B77" w:rsidRPr="003D0B77">
        <w:rPr>
          <w:rFonts w:hint="eastAsia"/>
        </w:rPr>
        <w:t>é</w:t>
      </w:r>
      <w:r w:rsidR="003D0B77" w:rsidRPr="003D0B77">
        <w:t>valuer le potentiel de liqu</w:t>
      </w:r>
      <w:r w:rsidR="003D0B77" w:rsidRPr="003D0B77">
        <w:rPr>
          <w:rFonts w:hint="eastAsia"/>
        </w:rPr>
        <w:t>é</w:t>
      </w:r>
      <w:r w:rsidR="003D0B77" w:rsidRPr="003D0B77">
        <w:t>faction d'un site. De la m</w:t>
      </w:r>
      <w:r w:rsidR="003D0B77" w:rsidRPr="003D0B77">
        <w:rPr>
          <w:rFonts w:hint="eastAsia"/>
        </w:rPr>
        <w:t>é</w:t>
      </w:r>
      <w:r w:rsidR="003D0B77" w:rsidRPr="003D0B77">
        <w:t>thode simplifi</w:t>
      </w:r>
      <w:r w:rsidR="003D0B77" w:rsidRPr="003D0B77">
        <w:rPr>
          <w:rFonts w:hint="eastAsia"/>
        </w:rPr>
        <w:t>é</w:t>
      </w:r>
      <w:r w:rsidR="003D0B77" w:rsidRPr="003D0B77">
        <w:t xml:space="preserve">e </w:t>
      </w:r>
      <w:r w:rsidR="003D0B77" w:rsidRPr="003D0B77">
        <w:rPr>
          <w:rFonts w:hint="eastAsia"/>
        </w:rPr>
        <w:t>à</w:t>
      </w:r>
      <w:r w:rsidR="003D0B77" w:rsidRPr="003D0B77">
        <w:t xml:space="preserve"> l'application d'une sollicitation cyclique le pressiom</w:t>
      </w:r>
      <w:r w:rsidR="003D0B77" w:rsidRPr="003D0B77">
        <w:rPr>
          <w:rFonts w:hint="eastAsia"/>
        </w:rPr>
        <w:t>è</w:t>
      </w:r>
      <w:r w:rsidR="003D0B77" w:rsidRPr="003D0B77">
        <w:t>tre pr</w:t>
      </w:r>
      <w:r w:rsidR="003D0B77" w:rsidRPr="003D0B77">
        <w:rPr>
          <w:rFonts w:hint="eastAsia"/>
        </w:rPr>
        <w:t>é</w:t>
      </w:r>
      <w:r w:rsidR="003D0B77" w:rsidRPr="003D0B77">
        <w:t xml:space="preserve">sente un potentiel important </w:t>
      </w:r>
      <w:r w:rsidR="003D0B77" w:rsidRPr="003D0B77">
        <w:rPr>
          <w:rFonts w:hint="eastAsia"/>
        </w:rPr>
        <w:t>à</w:t>
      </w:r>
      <w:r w:rsidR="003D0B77" w:rsidRPr="003D0B77">
        <w:t xml:space="preserve"> comparer aux appareillages usuellement utilis</w:t>
      </w:r>
      <w:r w:rsidR="003D0B77" w:rsidRPr="003D0B77">
        <w:rPr>
          <w:rFonts w:hint="eastAsia"/>
        </w:rPr>
        <w:t>é</w:t>
      </w:r>
      <w:r w:rsidR="003D0B77" w:rsidRPr="003D0B77">
        <w:t>s pour cette application. Les m</w:t>
      </w:r>
      <w:r w:rsidR="003D0B77" w:rsidRPr="003D0B77">
        <w:rPr>
          <w:rFonts w:hint="eastAsia"/>
        </w:rPr>
        <w:t>é</w:t>
      </w:r>
      <w:r w:rsidR="003D0B77" w:rsidRPr="003D0B77">
        <w:t>thodes sont d</w:t>
      </w:r>
      <w:r w:rsidR="003D0B77" w:rsidRPr="003D0B77">
        <w:rPr>
          <w:rFonts w:hint="eastAsia"/>
        </w:rPr>
        <w:t>é</w:t>
      </w:r>
      <w:r w:rsidR="003D0B77" w:rsidRPr="003D0B77">
        <w:t>taill</w:t>
      </w:r>
      <w:r w:rsidR="003D0B77" w:rsidRPr="003D0B77">
        <w:rPr>
          <w:rFonts w:hint="eastAsia"/>
        </w:rPr>
        <w:t>é</w:t>
      </w:r>
      <w:r w:rsidR="003D0B77" w:rsidRPr="003D0B77">
        <w:t>es dans leur application et leurs validations sur les bases de donn</w:t>
      </w:r>
      <w:r w:rsidR="003D0B77" w:rsidRPr="003D0B77">
        <w:rPr>
          <w:rFonts w:hint="eastAsia"/>
        </w:rPr>
        <w:t>é</w:t>
      </w:r>
      <w:r w:rsidR="003D0B77" w:rsidRPr="003D0B77">
        <w:t>es d'essais en chambre d'</w:t>
      </w:r>
      <w:r w:rsidR="003D0B77" w:rsidRPr="003D0B77">
        <w:rPr>
          <w:rFonts w:hint="eastAsia"/>
        </w:rPr>
        <w:t>é</w:t>
      </w:r>
      <w:r w:rsidR="003D0B77" w:rsidRPr="003D0B77">
        <w:t>talonnage ou sur sites r</w:t>
      </w:r>
      <w:r w:rsidR="003D0B77" w:rsidRPr="003D0B77">
        <w:rPr>
          <w:rFonts w:hint="eastAsia"/>
        </w:rPr>
        <w:t>é</w:t>
      </w:r>
      <w:r w:rsidR="003D0B77" w:rsidRPr="003D0B77">
        <w:t>els dans diff</w:t>
      </w:r>
      <w:r w:rsidR="003D0B77" w:rsidRPr="003D0B77">
        <w:rPr>
          <w:rFonts w:hint="eastAsia"/>
        </w:rPr>
        <w:t>é</w:t>
      </w:r>
      <w:r w:rsidR="003D0B77" w:rsidRPr="003D0B77">
        <w:t xml:space="preserve">rents pays </w:t>
      </w:r>
      <w:r w:rsidR="00850A37">
        <w:rPr>
          <w:lang w:val="fr-FR"/>
        </w:rPr>
        <w:t xml:space="preserve">sont </w:t>
      </w:r>
      <w:r w:rsidR="003D0B77" w:rsidRPr="003D0B77">
        <w:t>pr</w:t>
      </w:r>
      <w:r w:rsidR="003D0B77" w:rsidRPr="003D0B77">
        <w:rPr>
          <w:rFonts w:hint="eastAsia"/>
        </w:rPr>
        <w:t>é</w:t>
      </w:r>
      <w:r w:rsidR="003D0B77" w:rsidRPr="003D0B77">
        <w:t>sent</w:t>
      </w:r>
      <w:r w:rsidR="003D0B77" w:rsidRPr="003D0B77">
        <w:rPr>
          <w:rFonts w:hint="eastAsia"/>
        </w:rPr>
        <w:t>é</w:t>
      </w:r>
      <w:r w:rsidR="00850A37">
        <w:rPr>
          <w:lang w:val="fr-FR"/>
        </w:rPr>
        <w:t>e</w:t>
      </w:r>
      <w:r w:rsidR="003D0B77" w:rsidRPr="003D0B77">
        <w:t>s</w:t>
      </w:r>
    </w:p>
    <w:p w14:paraId="69F415C4" w14:textId="77777777" w:rsidR="00DC4C5D" w:rsidRDefault="00DC4C5D" w:rsidP="00C23BB1">
      <w:pPr>
        <w:pStyle w:val="textedursum"/>
      </w:pPr>
    </w:p>
    <w:p w14:paraId="2A5EE6AA" w14:textId="66C74AEC" w:rsidR="00B84B6D" w:rsidRPr="003D0B77" w:rsidRDefault="00B84B6D" w:rsidP="00DC4C5D">
      <w:pPr>
        <w:pStyle w:val="textofenglishabstract"/>
        <w:ind w:firstLine="0"/>
      </w:pPr>
      <w:r w:rsidRPr="00DC4C5D">
        <w:rPr>
          <w:b/>
          <w:sz w:val="24"/>
          <w:szCs w:val="24"/>
        </w:rPr>
        <w:t>ABSTRACT</w:t>
      </w:r>
      <w:r w:rsidRPr="00DC4C5D">
        <w:rPr>
          <w:sz w:val="24"/>
          <w:szCs w:val="24"/>
        </w:rPr>
        <w:t xml:space="preserve"> </w:t>
      </w:r>
      <w:r w:rsidRPr="00DC4C5D">
        <w:rPr>
          <w:b/>
          <w:sz w:val="24"/>
          <w:szCs w:val="24"/>
        </w:rPr>
        <w:t>–</w:t>
      </w:r>
      <w:r w:rsidRPr="00DC4C5D">
        <w:rPr>
          <w:sz w:val="24"/>
          <w:szCs w:val="24"/>
        </w:rPr>
        <w:t xml:space="preserve"> </w:t>
      </w:r>
      <w:r w:rsidR="003D0B77" w:rsidRPr="00DC4C5D">
        <w:rPr>
          <w:sz w:val="24"/>
          <w:szCs w:val="24"/>
        </w:rPr>
        <w:t>The paper presents several methods to evaluate the liquefaction potential of a site. From the simplified method to the application of a cyclic solicitation, the pressure meter presents an important potential to be compared to the equipment usually used for this application. The methods are detailed in their application and their validation</w:t>
      </w:r>
      <w:r w:rsidR="00850A37">
        <w:rPr>
          <w:sz w:val="24"/>
          <w:szCs w:val="24"/>
        </w:rPr>
        <w:t>s</w:t>
      </w:r>
      <w:r w:rsidR="003D0B77" w:rsidRPr="00DC4C5D">
        <w:rPr>
          <w:sz w:val="24"/>
          <w:szCs w:val="24"/>
        </w:rPr>
        <w:t xml:space="preserve"> on test databases in calibration chamber or on real sites in different countries</w:t>
      </w:r>
      <w:r w:rsidR="00850A37">
        <w:rPr>
          <w:sz w:val="24"/>
          <w:szCs w:val="24"/>
        </w:rPr>
        <w:t xml:space="preserve"> are</w:t>
      </w:r>
      <w:r w:rsidR="003D0B77" w:rsidRPr="00DC4C5D">
        <w:rPr>
          <w:sz w:val="24"/>
          <w:szCs w:val="24"/>
        </w:rPr>
        <w:t xml:space="preserve"> presented</w:t>
      </w:r>
      <w:r w:rsidRPr="003D0B77">
        <w:t>.</w:t>
      </w:r>
    </w:p>
    <w:p w14:paraId="15C3C919" w14:textId="77777777" w:rsidR="00B84B6D" w:rsidRDefault="00B84B6D" w:rsidP="00F5103B">
      <w:pPr>
        <w:pStyle w:val="Titre1"/>
        <w:ind w:left="357" w:hanging="357"/>
      </w:pPr>
      <w:r w:rsidRPr="00F5103B">
        <w:rPr>
          <w:rStyle w:val="Corpsdetexte12Car"/>
          <w:lang w:val="fr-FR"/>
        </w:rPr>
        <w:t>Introduction</w:t>
      </w:r>
    </w:p>
    <w:p w14:paraId="4282F720" w14:textId="1222E558" w:rsidR="00C23BB1" w:rsidRDefault="00C23BB1" w:rsidP="00C23BB1">
      <w:pPr>
        <w:pStyle w:val="Corpsdetexte12retrait5mm"/>
        <w:rPr>
          <w:rStyle w:val="Corpsdetexte12Car"/>
          <w:lang w:val="fr-FR"/>
        </w:rPr>
      </w:pPr>
      <w:r w:rsidRPr="00C23BB1">
        <w:rPr>
          <w:rStyle w:val="Corpsdetexte12Car"/>
          <w:lang w:val="fr-FR"/>
        </w:rPr>
        <w:t>De la m</w:t>
      </w:r>
      <w:r w:rsidRPr="00C23BB1">
        <w:rPr>
          <w:rStyle w:val="Corpsdetexte12Car"/>
          <w:rFonts w:hint="eastAsia"/>
          <w:lang w:val="fr-FR"/>
        </w:rPr>
        <w:t>é</w:t>
      </w:r>
      <w:r w:rsidRPr="00C23BB1">
        <w:rPr>
          <w:rStyle w:val="Corpsdetexte12Car"/>
          <w:lang w:val="fr-FR"/>
        </w:rPr>
        <w:t>thode simplifi</w:t>
      </w:r>
      <w:r w:rsidRPr="00C23BB1">
        <w:rPr>
          <w:rStyle w:val="Corpsdetexte12Car"/>
          <w:rFonts w:hint="eastAsia"/>
          <w:lang w:val="fr-FR"/>
        </w:rPr>
        <w:t>é</w:t>
      </w:r>
      <w:r w:rsidRPr="00C23BB1">
        <w:rPr>
          <w:rStyle w:val="Corpsdetexte12Car"/>
          <w:lang w:val="fr-FR"/>
        </w:rPr>
        <w:t xml:space="preserve">e </w:t>
      </w:r>
      <w:r w:rsidR="00F5103B">
        <w:rPr>
          <w:rStyle w:val="Corpsdetexte12Car"/>
          <w:lang w:val="fr-FR"/>
        </w:rPr>
        <w:t xml:space="preserve">basée sur la pression limite </w:t>
      </w:r>
      <w:r w:rsidRPr="00C23BB1">
        <w:rPr>
          <w:rStyle w:val="Corpsdetexte12Car"/>
          <w:rFonts w:hint="eastAsia"/>
          <w:lang w:val="fr-FR"/>
        </w:rPr>
        <w:t>à</w:t>
      </w:r>
      <w:r w:rsidRPr="00C23BB1">
        <w:rPr>
          <w:rStyle w:val="Corpsdetexte12Car"/>
          <w:lang w:val="fr-FR"/>
        </w:rPr>
        <w:t xml:space="preserve"> l'application d'une sollicitation cyclique</w:t>
      </w:r>
      <w:r w:rsidR="00F5103B">
        <w:rPr>
          <w:rStyle w:val="Corpsdetexte12Car"/>
          <w:lang w:val="fr-FR"/>
        </w:rPr>
        <w:t>,</w:t>
      </w:r>
      <w:r w:rsidRPr="00C23BB1">
        <w:rPr>
          <w:rStyle w:val="Corpsdetexte12Car"/>
          <w:lang w:val="fr-FR"/>
        </w:rPr>
        <w:t xml:space="preserve"> le pressiom</w:t>
      </w:r>
      <w:r w:rsidRPr="00C23BB1">
        <w:rPr>
          <w:rStyle w:val="Corpsdetexte12Car"/>
          <w:rFonts w:hint="eastAsia"/>
          <w:lang w:val="fr-FR"/>
        </w:rPr>
        <w:t>è</w:t>
      </w:r>
      <w:r w:rsidRPr="00C23BB1">
        <w:rPr>
          <w:rStyle w:val="Corpsdetexte12Car"/>
          <w:lang w:val="fr-FR"/>
        </w:rPr>
        <w:t>tre pr</w:t>
      </w:r>
      <w:r w:rsidRPr="00C23BB1">
        <w:rPr>
          <w:rStyle w:val="Corpsdetexte12Car"/>
          <w:rFonts w:hint="eastAsia"/>
          <w:lang w:val="fr-FR"/>
        </w:rPr>
        <w:t>é</w:t>
      </w:r>
      <w:r w:rsidRPr="00C23BB1">
        <w:rPr>
          <w:rStyle w:val="Corpsdetexte12Car"/>
          <w:lang w:val="fr-FR"/>
        </w:rPr>
        <w:t xml:space="preserve">sente un potentiel important </w:t>
      </w:r>
      <w:r w:rsidRPr="00C23BB1">
        <w:rPr>
          <w:rStyle w:val="Corpsdetexte12Car"/>
          <w:rFonts w:hint="eastAsia"/>
          <w:lang w:val="fr-FR"/>
        </w:rPr>
        <w:t>à</w:t>
      </w:r>
      <w:r w:rsidRPr="00C23BB1">
        <w:rPr>
          <w:rStyle w:val="Corpsdetexte12Car"/>
          <w:lang w:val="fr-FR"/>
        </w:rPr>
        <w:t xml:space="preserve"> comparer aux appareillages usuellement utilis</w:t>
      </w:r>
      <w:r w:rsidRPr="00C23BB1">
        <w:rPr>
          <w:rStyle w:val="Corpsdetexte12Car"/>
          <w:rFonts w:hint="eastAsia"/>
          <w:lang w:val="fr-FR"/>
        </w:rPr>
        <w:t>é</w:t>
      </w:r>
      <w:r w:rsidRPr="00C23BB1">
        <w:rPr>
          <w:rStyle w:val="Corpsdetexte12Car"/>
          <w:lang w:val="fr-FR"/>
        </w:rPr>
        <w:t xml:space="preserve">s pour cette </w:t>
      </w:r>
      <w:r w:rsidR="00F5103B">
        <w:rPr>
          <w:rStyle w:val="Corpsdetexte12Car"/>
          <w:lang w:val="fr-FR"/>
        </w:rPr>
        <w:t>évaluation du potentiel de liquéfaction</w:t>
      </w:r>
      <w:r w:rsidRPr="00C23BB1">
        <w:rPr>
          <w:rStyle w:val="Corpsdetexte12Car"/>
          <w:lang w:val="fr-FR"/>
        </w:rPr>
        <w:t>. La m</w:t>
      </w:r>
      <w:r w:rsidRPr="00C23BB1">
        <w:rPr>
          <w:rStyle w:val="Corpsdetexte12Car"/>
          <w:rFonts w:hint="eastAsia"/>
          <w:lang w:val="fr-FR"/>
        </w:rPr>
        <w:t>é</w:t>
      </w:r>
      <w:r w:rsidRPr="00C23BB1">
        <w:rPr>
          <w:rStyle w:val="Corpsdetexte12Car"/>
          <w:lang w:val="fr-FR"/>
        </w:rPr>
        <w:t>thode simplifi</w:t>
      </w:r>
      <w:r w:rsidRPr="00C23BB1">
        <w:rPr>
          <w:rStyle w:val="Corpsdetexte12Car"/>
          <w:rFonts w:hint="eastAsia"/>
          <w:lang w:val="fr-FR"/>
        </w:rPr>
        <w:t>é</w:t>
      </w:r>
      <w:r w:rsidRPr="00C23BB1">
        <w:rPr>
          <w:rStyle w:val="Corpsdetexte12Car"/>
          <w:lang w:val="fr-FR"/>
        </w:rPr>
        <w:t xml:space="preserve">e consiste </w:t>
      </w:r>
      <w:r w:rsidRPr="00C23BB1">
        <w:rPr>
          <w:rStyle w:val="Corpsdetexte12Car"/>
          <w:rFonts w:hint="eastAsia"/>
          <w:lang w:val="fr-FR"/>
        </w:rPr>
        <w:t>à</w:t>
      </w:r>
      <w:r w:rsidRPr="00C23BB1">
        <w:rPr>
          <w:rStyle w:val="Corpsdetexte12Car"/>
          <w:lang w:val="fr-FR"/>
        </w:rPr>
        <w:t xml:space="preserve"> construire une courbe limitant deux parties du plan o</w:t>
      </w:r>
      <w:r w:rsidR="00850A37">
        <w:rPr>
          <w:rStyle w:val="Corpsdetexte12Car"/>
          <w:lang w:val="fr-FR"/>
        </w:rPr>
        <w:t>ù</w:t>
      </w:r>
      <w:r w:rsidRPr="00C23BB1">
        <w:rPr>
          <w:rStyle w:val="Corpsdetexte12Car"/>
          <w:lang w:val="fr-FR"/>
        </w:rPr>
        <w:t xml:space="preserve"> s</w:t>
      </w:r>
      <w:r w:rsidRPr="00C23BB1">
        <w:rPr>
          <w:rStyle w:val="Corpsdetexte12Car"/>
          <w:rFonts w:hint="eastAsia"/>
          <w:lang w:val="fr-FR"/>
        </w:rPr>
        <w:t>’</w:t>
      </w:r>
      <w:r w:rsidRPr="00C23BB1">
        <w:rPr>
          <w:rStyle w:val="Corpsdetexte12Car"/>
          <w:lang w:val="fr-FR"/>
        </w:rPr>
        <w:t>inscrivent les couples de valeurs des pressions limites normalis</w:t>
      </w:r>
      <w:r w:rsidRPr="00C23BB1">
        <w:rPr>
          <w:rStyle w:val="Corpsdetexte12Car"/>
          <w:rFonts w:hint="eastAsia"/>
          <w:lang w:val="fr-FR"/>
        </w:rPr>
        <w:t>é</w:t>
      </w:r>
      <w:r w:rsidRPr="00C23BB1">
        <w:rPr>
          <w:rStyle w:val="Corpsdetexte12Car"/>
          <w:lang w:val="fr-FR"/>
        </w:rPr>
        <w:t>es et le rapport de cisaillement cyclique. Une m</w:t>
      </w:r>
      <w:r w:rsidRPr="00C23BB1">
        <w:rPr>
          <w:rStyle w:val="Corpsdetexte12Car"/>
          <w:rFonts w:hint="eastAsia"/>
          <w:lang w:val="fr-FR"/>
        </w:rPr>
        <w:t>é</w:t>
      </w:r>
      <w:r w:rsidRPr="00C23BB1">
        <w:rPr>
          <w:rStyle w:val="Corpsdetexte12Car"/>
          <w:lang w:val="fr-FR"/>
        </w:rPr>
        <w:t>thode pour corriger la pression limite mesur</w:t>
      </w:r>
      <w:r w:rsidRPr="00C23BB1">
        <w:rPr>
          <w:rStyle w:val="Corpsdetexte12Car"/>
          <w:rFonts w:hint="eastAsia"/>
          <w:lang w:val="fr-FR"/>
        </w:rPr>
        <w:t>é</w:t>
      </w:r>
      <w:r w:rsidRPr="00C23BB1">
        <w:rPr>
          <w:rStyle w:val="Corpsdetexte12Car"/>
          <w:lang w:val="fr-FR"/>
        </w:rPr>
        <w:t>e lors d'essais pressiom</w:t>
      </w:r>
      <w:r w:rsidRPr="00C23BB1">
        <w:rPr>
          <w:rStyle w:val="Corpsdetexte12Car"/>
          <w:rFonts w:hint="eastAsia"/>
          <w:lang w:val="fr-FR"/>
        </w:rPr>
        <w:t>é</w:t>
      </w:r>
      <w:r w:rsidRPr="00C23BB1">
        <w:rPr>
          <w:rStyle w:val="Corpsdetexte12Car"/>
          <w:lang w:val="fr-FR"/>
        </w:rPr>
        <w:t>triques dans les sables est propos</w:t>
      </w:r>
      <w:r w:rsidRPr="00C23BB1">
        <w:rPr>
          <w:rStyle w:val="Corpsdetexte12Car"/>
          <w:rFonts w:hint="eastAsia"/>
          <w:lang w:val="fr-FR"/>
        </w:rPr>
        <w:t>é</w:t>
      </w:r>
      <w:r w:rsidRPr="00C23BB1">
        <w:rPr>
          <w:rStyle w:val="Corpsdetexte12Car"/>
          <w:lang w:val="fr-FR"/>
        </w:rPr>
        <w:t>e. Une relation coh</w:t>
      </w:r>
      <w:r w:rsidRPr="00C23BB1">
        <w:rPr>
          <w:rStyle w:val="Corpsdetexte12Car"/>
          <w:rFonts w:hint="eastAsia"/>
          <w:lang w:val="fr-FR"/>
        </w:rPr>
        <w:t>é</w:t>
      </w:r>
      <w:r w:rsidRPr="00C23BB1">
        <w:rPr>
          <w:rStyle w:val="Corpsdetexte12Car"/>
          <w:lang w:val="fr-FR"/>
        </w:rPr>
        <w:t xml:space="preserve">rente </w:t>
      </w:r>
      <w:r w:rsidR="003007F5">
        <w:rPr>
          <w:rStyle w:val="Corpsdetexte12Car"/>
          <w:lang w:val="fr-FR"/>
        </w:rPr>
        <w:t>est</w:t>
      </w:r>
      <w:r w:rsidRPr="00C23BB1">
        <w:rPr>
          <w:rStyle w:val="Corpsdetexte12Car"/>
          <w:lang w:val="fr-FR"/>
        </w:rPr>
        <w:t xml:space="preserve"> obtenue entre l'ensemble des donn</w:t>
      </w:r>
      <w:r w:rsidRPr="00C23BB1">
        <w:rPr>
          <w:rStyle w:val="Corpsdetexte12Car"/>
          <w:rFonts w:hint="eastAsia"/>
          <w:lang w:val="fr-FR"/>
        </w:rPr>
        <w:t>é</w:t>
      </w:r>
      <w:r w:rsidRPr="00C23BB1">
        <w:rPr>
          <w:rStyle w:val="Corpsdetexte12Car"/>
          <w:lang w:val="fr-FR"/>
        </w:rPr>
        <w:t>es et l</w:t>
      </w:r>
      <w:r w:rsidRPr="00C23BB1">
        <w:rPr>
          <w:rStyle w:val="Corpsdetexte12Car"/>
          <w:rFonts w:hint="eastAsia"/>
          <w:lang w:val="fr-FR"/>
        </w:rPr>
        <w:t>’</w:t>
      </w:r>
      <w:r w:rsidRPr="00C23BB1">
        <w:rPr>
          <w:rStyle w:val="Corpsdetexte12Car"/>
          <w:lang w:val="fr-FR"/>
        </w:rPr>
        <w:t>abaque propos</w:t>
      </w:r>
      <w:r w:rsidRPr="00C23BB1">
        <w:rPr>
          <w:rStyle w:val="Corpsdetexte12Car"/>
          <w:rFonts w:hint="eastAsia"/>
          <w:lang w:val="fr-FR"/>
        </w:rPr>
        <w:t>é</w:t>
      </w:r>
      <w:r w:rsidRPr="00C23BB1">
        <w:rPr>
          <w:rStyle w:val="Corpsdetexte12Car"/>
          <w:lang w:val="fr-FR"/>
        </w:rPr>
        <w:t>. Des suggestions sont donn</w:t>
      </w:r>
      <w:r w:rsidRPr="00C23BB1">
        <w:rPr>
          <w:rStyle w:val="Corpsdetexte12Car"/>
          <w:rFonts w:hint="eastAsia"/>
          <w:lang w:val="fr-FR"/>
        </w:rPr>
        <w:t>é</w:t>
      </w:r>
      <w:r w:rsidRPr="00C23BB1">
        <w:rPr>
          <w:rStyle w:val="Corpsdetexte12Car"/>
          <w:lang w:val="fr-FR"/>
        </w:rPr>
        <w:t>es pour corriger la pression limite pour la teneur en fines. La d</w:t>
      </w:r>
      <w:r w:rsidRPr="00C23BB1">
        <w:rPr>
          <w:rStyle w:val="Corpsdetexte12Car"/>
          <w:rFonts w:hint="eastAsia"/>
          <w:lang w:val="fr-FR"/>
        </w:rPr>
        <w:t>é</w:t>
      </w:r>
      <w:r w:rsidRPr="00C23BB1">
        <w:rPr>
          <w:rStyle w:val="Corpsdetexte12Car"/>
          <w:lang w:val="fr-FR"/>
        </w:rPr>
        <w:t>termination de la courbe de cisaillement cyclique par des essais cycliques est une autre approche aussi prometteuse. Son protocole ainsi que les r</w:t>
      </w:r>
      <w:r w:rsidRPr="00C23BB1">
        <w:rPr>
          <w:rStyle w:val="Corpsdetexte12Car"/>
          <w:rFonts w:hint="eastAsia"/>
          <w:lang w:val="fr-FR"/>
        </w:rPr>
        <w:t>é</w:t>
      </w:r>
      <w:r w:rsidRPr="00C23BB1">
        <w:rPr>
          <w:rStyle w:val="Corpsdetexte12Car"/>
          <w:lang w:val="fr-FR"/>
        </w:rPr>
        <w:t xml:space="preserve">sultats </w:t>
      </w:r>
      <w:r w:rsidR="00850A37">
        <w:rPr>
          <w:rStyle w:val="Corpsdetexte12Car"/>
          <w:lang w:val="fr-FR"/>
        </w:rPr>
        <w:t xml:space="preserve">obtenus avec ou sans mesure de pression interstitielle </w:t>
      </w:r>
      <w:r w:rsidRPr="00C23BB1">
        <w:rPr>
          <w:rStyle w:val="Corpsdetexte12Car"/>
          <w:lang w:val="fr-FR"/>
        </w:rPr>
        <w:t>sont pr</w:t>
      </w:r>
      <w:r w:rsidRPr="00C23BB1">
        <w:rPr>
          <w:rStyle w:val="Corpsdetexte12Car"/>
          <w:rFonts w:hint="eastAsia"/>
          <w:lang w:val="fr-FR"/>
        </w:rPr>
        <w:t>é</w:t>
      </w:r>
      <w:r w:rsidRPr="00C23BB1">
        <w:rPr>
          <w:rStyle w:val="Corpsdetexte12Car"/>
          <w:lang w:val="fr-FR"/>
        </w:rPr>
        <w:t>sent</w:t>
      </w:r>
      <w:r w:rsidRPr="00C23BB1">
        <w:rPr>
          <w:rStyle w:val="Corpsdetexte12Car"/>
          <w:rFonts w:hint="eastAsia"/>
          <w:lang w:val="fr-FR"/>
        </w:rPr>
        <w:t>é</w:t>
      </w:r>
      <w:r w:rsidRPr="00C23BB1">
        <w:rPr>
          <w:rStyle w:val="Corpsdetexte12Car"/>
          <w:lang w:val="fr-FR"/>
        </w:rPr>
        <w:t>s. Les m</w:t>
      </w:r>
      <w:r w:rsidRPr="00C23BB1">
        <w:rPr>
          <w:rStyle w:val="Corpsdetexte12Car"/>
          <w:rFonts w:hint="eastAsia"/>
          <w:lang w:val="fr-FR"/>
        </w:rPr>
        <w:t>é</w:t>
      </w:r>
      <w:r w:rsidRPr="00C23BB1">
        <w:rPr>
          <w:rStyle w:val="Corpsdetexte12Car"/>
          <w:lang w:val="fr-FR"/>
        </w:rPr>
        <w:t>thodes sont d</w:t>
      </w:r>
      <w:r w:rsidRPr="00C23BB1">
        <w:rPr>
          <w:rStyle w:val="Corpsdetexte12Car"/>
          <w:rFonts w:hint="eastAsia"/>
          <w:lang w:val="fr-FR"/>
        </w:rPr>
        <w:t>é</w:t>
      </w:r>
      <w:r w:rsidRPr="00C23BB1">
        <w:rPr>
          <w:rStyle w:val="Corpsdetexte12Car"/>
          <w:lang w:val="fr-FR"/>
        </w:rPr>
        <w:t>taill</w:t>
      </w:r>
      <w:r w:rsidRPr="00C23BB1">
        <w:rPr>
          <w:rStyle w:val="Corpsdetexte12Car"/>
          <w:rFonts w:hint="eastAsia"/>
          <w:lang w:val="fr-FR"/>
        </w:rPr>
        <w:t>é</w:t>
      </w:r>
      <w:r w:rsidRPr="00C23BB1">
        <w:rPr>
          <w:rStyle w:val="Corpsdetexte12Car"/>
          <w:lang w:val="fr-FR"/>
        </w:rPr>
        <w:t>es et leurs validations sur les bases de donn</w:t>
      </w:r>
      <w:r w:rsidRPr="00C23BB1">
        <w:rPr>
          <w:rStyle w:val="Corpsdetexte12Car"/>
          <w:rFonts w:hint="eastAsia"/>
          <w:lang w:val="fr-FR"/>
        </w:rPr>
        <w:t>é</w:t>
      </w:r>
      <w:r w:rsidRPr="00C23BB1">
        <w:rPr>
          <w:rStyle w:val="Corpsdetexte12Car"/>
          <w:lang w:val="fr-FR"/>
        </w:rPr>
        <w:t>es d'essais en chambre d'</w:t>
      </w:r>
      <w:r w:rsidRPr="00C23BB1">
        <w:rPr>
          <w:rStyle w:val="Corpsdetexte12Car"/>
          <w:rFonts w:hint="eastAsia"/>
          <w:lang w:val="fr-FR"/>
        </w:rPr>
        <w:t>é</w:t>
      </w:r>
      <w:r w:rsidRPr="00C23BB1">
        <w:rPr>
          <w:rStyle w:val="Corpsdetexte12Car"/>
          <w:lang w:val="fr-FR"/>
        </w:rPr>
        <w:t>talonnage ou sur sites r</w:t>
      </w:r>
      <w:r w:rsidRPr="00C23BB1">
        <w:rPr>
          <w:rStyle w:val="Corpsdetexte12Car"/>
          <w:rFonts w:hint="eastAsia"/>
          <w:lang w:val="fr-FR"/>
        </w:rPr>
        <w:t>é</w:t>
      </w:r>
      <w:r w:rsidRPr="00C23BB1">
        <w:rPr>
          <w:rStyle w:val="Corpsdetexte12Car"/>
          <w:lang w:val="fr-FR"/>
        </w:rPr>
        <w:t>els dans diff</w:t>
      </w:r>
      <w:r w:rsidRPr="00C23BB1">
        <w:rPr>
          <w:rStyle w:val="Corpsdetexte12Car"/>
          <w:rFonts w:hint="eastAsia"/>
          <w:lang w:val="fr-FR"/>
        </w:rPr>
        <w:t>é</w:t>
      </w:r>
      <w:r w:rsidRPr="00C23BB1">
        <w:rPr>
          <w:rStyle w:val="Corpsdetexte12Car"/>
          <w:lang w:val="fr-FR"/>
        </w:rPr>
        <w:t xml:space="preserve">rents pays </w:t>
      </w:r>
      <w:r w:rsidR="00850A37">
        <w:rPr>
          <w:rStyle w:val="Corpsdetexte12Car"/>
          <w:lang w:val="fr-FR"/>
        </w:rPr>
        <w:t xml:space="preserve">sont </w:t>
      </w:r>
      <w:r w:rsidRPr="00C23BB1">
        <w:rPr>
          <w:rStyle w:val="Corpsdetexte12Car"/>
          <w:lang w:val="fr-FR"/>
        </w:rPr>
        <w:t>pr</w:t>
      </w:r>
      <w:r w:rsidRPr="00C23BB1">
        <w:rPr>
          <w:rStyle w:val="Corpsdetexte12Car"/>
          <w:rFonts w:hint="eastAsia"/>
          <w:lang w:val="fr-FR"/>
        </w:rPr>
        <w:t>é</w:t>
      </w:r>
      <w:r w:rsidRPr="00C23BB1">
        <w:rPr>
          <w:rStyle w:val="Corpsdetexte12Car"/>
          <w:lang w:val="fr-FR"/>
        </w:rPr>
        <w:t>sent</w:t>
      </w:r>
      <w:r w:rsidRPr="00C23BB1">
        <w:rPr>
          <w:rStyle w:val="Corpsdetexte12Car"/>
          <w:rFonts w:hint="eastAsia"/>
          <w:lang w:val="fr-FR"/>
        </w:rPr>
        <w:t>é</w:t>
      </w:r>
      <w:r w:rsidRPr="00C23BB1">
        <w:rPr>
          <w:rStyle w:val="Corpsdetexte12Car"/>
          <w:lang w:val="fr-FR"/>
        </w:rPr>
        <w:t>s</w:t>
      </w:r>
      <w:r>
        <w:rPr>
          <w:rStyle w:val="Corpsdetexte12Car"/>
          <w:lang w:val="fr-FR"/>
        </w:rPr>
        <w:t>.</w:t>
      </w:r>
    </w:p>
    <w:p w14:paraId="4B8BA17C" w14:textId="28D7FDF1" w:rsidR="00DC4C5D" w:rsidRDefault="00DC4C5D" w:rsidP="00DC4C5D">
      <w:pPr>
        <w:pStyle w:val="Titre1"/>
        <w:ind w:left="357" w:hanging="357"/>
        <w:rPr>
          <w:rStyle w:val="Corpsdetexte12Car"/>
          <w:lang w:val="fr-FR"/>
        </w:rPr>
      </w:pPr>
      <w:r>
        <w:rPr>
          <w:rStyle w:val="Corpsdetexte12Car"/>
          <w:lang w:val="fr-FR"/>
        </w:rPr>
        <w:t xml:space="preserve">Méthode </w:t>
      </w:r>
      <w:r w:rsidRPr="00DC4C5D">
        <w:t>simplifiée</w:t>
      </w:r>
      <w:r>
        <w:rPr>
          <w:rStyle w:val="Corpsdetexte12Car"/>
          <w:lang w:val="fr-FR"/>
        </w:rPr>
        <w:t xml:space="preserve"> pressiométrique</w:t>
      </w:r>
    </w:p>
    <w:p w14:paraId="26B34ACF" w14:textId="1FF1FB49" w:rsidR="00C23BB1" w:rsidRPr="00C65C28" w:rsidRDefault="00C23BB1" w:rsidP="00DC4C5D">
      <w:pPr>
        <w:pStyle w:val="Sansinterligne"/>
      </w:pPr>
      <w:bookmarkStart w:id="0" w:name="_Hlk62642101"/>
      <w:r w:rsidRPr="00C65C28">
        <w:t xml:space="preserve">De manière analogue </w:t>
      </w:r>
      <w:r w:rsidR="00F5103B">
        <w:rPr>
          <w:lang w:val="fr-FR"/>
        </w:rPr>
        <w:t>aux</w:t>
      </w:r>
      <w:r w:rsidRPr="00C65C28">
        <w:t xml:space="preserve"> méthode</w:t>
      </w:r>
      <w:r w:rsidR="00F5103B">
        <w:rPr>
          <w:lang w:val="fr-FR"/>
        </w:rPr>
        <w:t>s basées sur les résultats des essais de pénétration au carottier (SPT) ou au cône (CPT)</w:t>
      </w:r>
      <w:r w:rsidRPr="00C65C28">
        <w:t xml:space="preserve"> du NCEER</w:t>
      </w:r>
      <w:r w:rsidR="006E6A53">
        <w:rPr>
          <w:lang w:val="fr-FR"/>
        </w:rPr>
        <w:t xml:space="preserve"> </w:t>
      </w:r>
      <w:r w:rsidR="006E6A53">
        <w:rPr>
          <w:lang w:val="fr-FR"/>
        </w:rPr>
        <w:t>(National Center of Earthquake Engineering Research)</w:t>
      </w:r>
      <w:r w:rsidRPr="00C65C28">
        <w:t>, la méthode pressiométrique</w:t>
      </w:r>
      <w:r w:rsidR="00F5103B">
        <w:rPr>
          <w:lang w:val="fr-FR"/>
        </w:rPr>
        <w:t xml:space="preserve"> (PMT)</w:t>
      </w:r>
      <w:r w:rsidRPr="00C65C28">
        <w:t xml:space="preserve"> consiste à utiliser un abaque corrélant le rapport de contrainte cyclique </w:t>
      </w:r>
      <w:r w:rsidR="00BE1A84">
        <w:rPr>
          <w:lang w:val="fr-FR"/>
        </w:rPr>
        <w:t xml:space="preserve">(RCC ou selon son acronyme anglo-saxon CSR pour Cyclic stress Ratio) </w:t>
      </w:r>
      <w:r w:rsidRPr="00C65C28">
        <w:t xml:space="preserve">impliquant la liquéfaction déterminée à partir </w:t>
      </w:r>
      <w:r w:rsidRPr="00DC4C5D">
        <w:t>d’essais</w:t>
      </w:r>
      <w:r w:rsidRPr="00C65C28">
        <w:t xml:space="preserve"> triaxiaux à une pression limite normalisée déterminée par des essais au pressiomètre Ménard (Bouguerra, 1997 ; Briaud, 2013 ; Kayabasi et Gokceoglu, 2018). L'essai est réalisé conformément à la norme NF EN ISO 22476-4.</w:t>
      </w:r>
    </w:p>
    <w:p w14:paraId="736E2F14" w14:textId="355CD52D" w:rsidR="00C23BB1" w:rsidRPr="006005FE" w:rsidRDefault="00C23BB1" w:rsidP="00DC4C5D">
      <w:pPr>
        <w:rPr>
          <w:lang w:val="fr-FR"/>
        </w:rPr>
      </w:pPr>
      <w:r w:rsidRPr="00C65C28">
        <w:t xml:space="preserve">Briaud (2013) propose une approche qu'il </w:t>
      </w:r>
      <w:r w:rsidRPr="0029796D">
        <w:t xml:space="preserve">reprend des travaux de </w:t>
      </w:r>
      <w:r w:rsidRPr="00C65C28">
        <w:t xml:space="preserve">Dupla (1995) et Bouguerra (1997). En utilisant des corrélations, il transforme les axes SPT et CPT en un </w:t>
      </w:r>
      <w:r w:rsidRPr="00C65C28">
        <w:lastRenderedPageBreak/>
        <w:t xml:space="preserve">axe de pression limite PMT normalisé. La pression limite normalisée </w:t>
      </w:r>
      <m:oMath>
        <m:sSub>
          <m:sSubPr>
            <m:ctrlPr>
              <w:rPr>
                <w:rFonts w:ascii="Cambria Math" w:hAnsi="Cambria Math"/>
                <w:i/>
                <w:sz w:val="22"/>
                <w:szCs w:val="24"/>
                <w:lang w:eastAsia="ar-SA"/>
              </w:rPr>
            </m:ctrlPr>
          </m:sSubPr>
          <m:e>
            <m:r>
              <w:rPr>
                <w:rFonts w:ascii="Cambria Math" w:hAnsi="Cambria Math"/>
              </w:rPr>
              <m:t>p</m:t>
            </m:r>
          </m:e>
          <m:sub>
            <m:r>
              <m:rPr>
                <m:scr m:val="script"/>
              </m:rPr>
              <w:rPr>
                <w:rFonts w:ascii="Cambria Math" w:hAnsi="Cambria Math"/>
                <w:vertAlign w:val="subscript"/>
              </w:rPr>
              <m:t>l</m:t>
            </m:r>
            <m:r>
              <w:rPr>
                <w:rFonts w:ascii="Cambria Math" w:hAnsi="Cambria Math"/>
              </w:rPr>
              <m:t>1N</m:t>
            </m:r>
          </m:sub>
        </m:sSub>
      </m:oMath>
      <w:r w:rsidRPr="00C65C28">
        <w:t xml:space="preserve"> est déterminée par </w:t>
      </w:r>
      <w:r w:rsidR="006005FE">
        <w:rPr>
          <w:lang w:val="fr-FR"/>
        </w:rPr>
        <w:t>l’équation 1.</w:t>
      </w:r>
    </w:p>
    <w:p w14:paraId="65110461" w14:textId="572C3963" w:rsidR="00C23BB1" w:rsidRPr="0001702B" w:rsidRDefault="005918AE" w:rsidP="0001702B">
      <w:pPr>
        <w:jc w:val="right"/>
        <w:rPr>
          <w:lang w:val="fr-FR"/>
        </w:rPr>
      </w:pPr>
      <m:oMath>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m:rPr>
                <m:sty m:val="p"/>
              </m:rPr>
              <w:rPr>
                <w:rFonts w:ascii="Cambria Math" w:hAnsi="Cambria Math"/>
              </w:rPr>
              <m:t>1</m:t>
            </m:r>
            <m:r>
              <w:rPr>
                <w:rFonts w:ascii="Cambria Math" w:hAnsi="Cambria Math"/>
              </w:rPr>
              <m:t>N</m:t>
            </m:r>
          </m:sub>
        </m:sSub>
        <m:r>
          <m:rPr>
            <m:sty m:val="p"/>
          </m:rPr>
          <w:rPr>
            <w:rFonts w:ascii="Cambria Math" w:hAnsi="Cambria Math"/>
          </w:rPr>
          <m:t>=</m:t>
        </m:r>
        <m:f>
          <m:fPr>
            <m:ctrlPr>
              <w:rPr>
                <w:rFonts w:ascii="Cambria Math" w:hAnsi="Cambria Math"/>
                <w:sz w:val="22"/>
                <w:szCs w:val="24"/>
                <w:lang w:eastAsia="ar-SA"/>
              </w:rPr>
            </m:ctrlPr>
          </m:fPr>
          <m:num>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sub>
            </m:sSub>
          </m:num>
          <m:den>
            <m:sSub>
              <m:sSubPr>
                <m:ctrlPr>
                  <w:rPr>
                    <w:rFonts w:ascii="Cambria Math" w:hAnsi="Cambria Math"/>
                    <w:sz w:val="22"/>
                    <w:szCs w:val="24"/>
                    <w:lang w:eastAsia="ar-SA"/>
                  </w:rPr>
                </m:ctrlPr>
              </m:sSubPr>
              <m:e>
                <m:r>
                  <w:rPr>
                    <w:rFonts w:ascii="Cambria Math" w:hAnsi="Cambria Math"/>
                  </w:rPr>
                  <m:t>p</m:t>
                </m:r>
              </m:e>
              <m:sub>
                <m:r>
                  <w:rPr>
                    <w:rFonts w:ascii="Cambria Math" w:hAnsi="Cambria Math"/>
                  </w:rPr>
                  <m:t>a</m:t>
                </m:r>
              </m:sub>
            </m:sSub>
          </m:den>
        </m:f>
        <m:r>
          <m:rPr>
            <m:sty m:val="p"/>
          </m:rPr>
          <w:rPr>
            <w:rFonts w:ascii="Cambria Math" w:hAnsi="Cambria Math"/>
          </w:rPr>
          <m:t>∙</m:t>
        </m:r>
        <m:sSup>
          <m:sSupPr>
            <m:ctrlPr>
              <w:rPr>
                <w:rFonts w:ascii="Cambria Math" w:hAnsi="Cambria Math"/>
                <w:sz w:val="22"/>
                <w:szCs w:val="24"/>
                <w:lang w:eastAsia="ar-SA"/>
              </w:rPr>
            </m:ctrlPr>
          </m:sSupPr>
          <m:e>
            <m:d>
              <m:dPr>
                <m:ctrlPr>
                  <w:rPr>
                    <w:rFonts w:ascii="Cambria Math" w:hAnsi="Cambria Math"/>
                    <w:sz w:val="22"/>
                    <w:szCs w:val="24"/>
                    <w:lang w:eastAsia="ar-SA"/>
                  </w:rPr>
                </m:ctrlPr>
              </m:dPr>
              <m:e>
                <m:f>
                  <m:fPr>
                    <m:ctrlPr>
                      <w:rPr>
                        <w:rFonts w:ascii="Cambria Math" w:hAnsi="Cambria Math"/>
                        <w:sz w:val="22"/>
                        <w:szCs w:val="24"/>
                        <w:lang w:eastAsia="ar-SA"/>
                      </w:rPr>
                    </m:ctrlPr>
                  </m:fPr>
                  <m:num>
                    <m:sSub>
                      <m:sSubPr>
                        <m:ctrlPr>
                          <w:rPr>
                            <w:rFonts w:ascii="Cambria Math" w:hAnsi="Cambria Math"/>
                            <w:sz w:val="22"/>
                            <w:szCs w:val="24"/>
                            <w:lang w:eastAsia="ar-SA"/>
                          </w:rPr>
                        </m:ctrlPr>
                      </m:sSubPr>
                      <m:e>
                        <m:r>
                          <w:rPr>
                            <w:rFonts w:ascii="Cambria Math" w:hAnsi="Cambria Math"/>
                          </w:rPr>
                          <m:t>p</m:t>
                        </m:r>
                      </m:e>
                      <m:sub>
                        <m:r>
                          <w:rPr>
                            <w:rFonts w:ascii="Cambria Math" w:hAnsi="Cambria Math"/>
                          </w:rPr>
                          <m:t>a</m:t>
                        </m:r>
                      </m:sub>
                    </m:sSub>
                  </m:num>
                  <m:den>
                    <m:sSub>
                      <m:sSubPr>
                        <m:ctrlPr>
                          <w:rPr>
                            <w:rFonts w:ascii="Cambria Math" w:hAnsi="Cambria Math"/>
                            <w:sz w:val="22"/>
                            <w:szCs w:val="24"/>
                            <w:lang w:eastAsia="ar-SA"/>
                          </w:rPr>
                        </m:ctrlPr>
                      </m:sSubPr>
                      <m:e>
                        <m:r>
                          <w:rPr>
                            <w:rFonts w:ascii="Cambria Math" w:hAnsi="Cambria Math"/>
                          </w:rPr>
                          <m:t>σ</m:t>
                        </m:r>
                        <m:r>
                          <m:rPr>
                            <m:sty m:val="p"/>
                          </m:rPr>
                          <w:rPr>
                            <w:rFonts w:ascii="Cambria Math" w:hAnsi="Cambria Math"/>
                          </w:rPr>
                          <m:t>'</m:t>
                        </m:r>
                      </m:e>
                      <m:sub>
                        <m:r>
                          <w:rPr>
                            <w:rFonts w:ascii="Cambria Math" w:hAnsi="Cambria Math"/>
                          </w:rPr>
                          <m:t>v</m:t>
                        </m:r>
                        <m:r>
                          <m:rPr>
                            <m:sty m:val="p"/>
                          </m:rPr>
                          <w:rPr>
                            <w:rFonts w:ascii="Cambria Math" w:hAnsi="Cambria Math"/>
                          </w:rPr>
                          <m:t>0</m:t>
                        </m:r>
                      </m:sub>
                    </m:sSub>
                  </m:den>
                </m:f>
              </m:e>
            </m:d>
          </m:e>
          <m:sup>
            <m:r>
              <w:rPr>
                <w:rFonts w:ascii="Cambria Math" w:hAnsi="Cambria Math"/>
              </w:rPr>
              <m:t>n</m:t>
            </m:r>
          </m:sup>
        </m:sSup>
      </m:oMath>
      <w:r w:rsidR="0001702B">
        <w:rPr>
          <w:sz w:val="22"/>
          <w:szCs w:val="24"/>
          <w:lang w:val="fr-FR" w:eastAsia="ar-SA"/>
        </w:rPr>
        <w:t xml:space="preserve">  </w:t>
      </w:r>
      <w:r w:rsidR="0001702B">
        <w:rPr>
          <w:sz w:val="22"/>
          <w:szCs w:val="24"/>
          <w:lang w:val="fr-FR" w:eastAsia="ar-SA"/>
        </w:rPr>
        <w:tab/>
      </w:r>
      <w:r w:rsidR="0001702B">
        <w:rPr>
          <w:sz w:val="22"/>
          <w:szCs w:val="24"/>
          <w:lang w:val="fr-FR" w:eastAsia="ar-SA"/>
        </w:rPr>
        <w:tab/>
      </w:r>
      <w:r w:rsidR="0001702B">
        <w:rPr>
          <w:sz w:val="22"/>
          <w:szCs w:val="24"/>
          <w:lang w:val="fr-FR" w:eastAsia="ar-SA"/>
        </w:rPr>
        <w:tab/>
      </w:r>
      <w:r w:rsidR="0001702B">
        <w:rPr>
          <w:sz w:val="22"/>
          <w:szCs w:val="24"/>
          <w:lang w:val="fr-FR" w:eastAsia="ar-SA"/>
        </w:rPr>
        <w:tab/>
      </w:r>
      <w:r w:rsidR="0001702B">
        <w:rPr>
          <w:sz w:val="22"/>
          <w:szCs w:val="24"/>
          <w:lang w:val="fr-FR" w:eastAsia="ar-SA"/>
        </w:rPr>
        <w:tab/>
      </w:r>
      <w:r w:rsidR="0001702B">
        <w:rPr>
          <w:sz w:val="22"/>
          <w:szCs w:val="24"/>
          <w:lang w:val="fr-FR" w:eastAsia="ar-SA"/>
        </w:rPr>
        <w:tab/>
        <w:t>(1)</w:t>
      </w:r>
    </w:p>
    <w:p w14:paraId="58E1EFA7" w14:textId="77777777" w:rsidR="00C23BB1" w:rsidRPr="00C65C28" w:rsidRDefault="00C23BB1" w:rsidP="00C23BB1"/>
    <w:p w14:paraId="6EB3C184" w14:textId="77777777" w:rsidR="00C23BB1" w:rsidRPr="00C65C28" w:rsidRDefault="00C23BB1" w:rsidP="00C23BB1">
      <w:r w:rsidRPr="00C65C28">
        <w:t xml:space="preserve">Où </w:t>
      </w:r>
      <m:oMath>
        <m:sSub>
          <m:sSubPr>
            <m:ctrlPr>
              <w:rPr>
                <w:rFonts w:ascii="Cambria Math" w:hAnsi="Cambria Math"/>
                <w:i/>
                <w:sz w:val="22"/>
                <w:szCs w:val="24"/>
                <w:lang w:eastAsia="ar-SA"/>
              </w:rPr>
            </m:ctrlPr>
          </m:sSubPr>
          <m:e>
            <m:r>
              <w:rPr>
                <w:rFonts w:ascii="Cambria Math" w:hAnsi="Cambria Math"/>
              </w:rPr>
              <m:t>p</m:t>
            </m:r>
          </m:e>
          <m:sub>
            <m:r>
              <m:rPr>
                <m:scr m:val="script"/>
              </m:rPr>
              <w:rPr>
                <w:rFonts w:ascii="Cambria Math" w:hAnsi="Cambria Math"/>
                <w:vertAlign w:val="subscript"/>
              </w:rPr>
              <m:t>l</m:t>
            </m:r>
          </m:sub>
        </m:sSub>
      </m:oMath>
      <w:r w:rsidRPr="00C65C28">
        <w:t xml:space="preserve"> est la pression limite du PMT en kPa, p</w:t>
      </w:r>
      <w:r w:rsidRPr="00C65C28">
        <w:rPr>
          <w:vertAlign w:val="subscript"/>
        </w:rPr>
        <w:t>a</w:t>
      </w:r>
      <w:r w:rsidRPr="00C65C28">
        <w:t xml:space="preserve"> la pression atmosphérique (100 kPa) et σ’</w:t>
      </w:r>
      <w:r w:rsidRPr="00C65C28">
        <w:rPr>
          <w:vertAlign w:val="subscript"/>
        </w:rPr>
        <w:t>vo</w:t>
      </w:r>
      <w:r w:rsidRPr="00C65C28">
        <w:t xml:space="preserve"> la contrainte effective verticale à la profondeur de l’essai du PMT et avec n= 0,5. </w:t>
      </w:r>
    </w:p>
    <w:p w14:paraId="0113DBB8" w14:textId="70E4B32A" w:rsidR="00C23BB1" w:rsidRPr="00C65C28" w:rsidRDefault="009165E0" w:rsidP="00C23BB1">
      <w:r w:rsidRPr="009165E0">
        <w:t xml:space="preserve">Kayabasi &amp; Gokceoglu </w:t>
      </w:r>
      <w:r w:rsidR="00FC3523" w:rsidRPr="009165E0">
        <w:t>(</w:t>
      </w:r>
      <w:r w:rsidRPr="009165E0">
        <w:t xml:space="preserve">2018) </w:t>
      </w:r>
      <w:r w:rsidR="00C23BB1" w:rsidRPr="00C65C28">
        <w:t>proposent d'évaluer la résistance cyclique pour un séisme de magnitude M</w:t>
      </w:r>
      <w:r w:rsidR="00C23BB1" w:rsidRPr="00C65C28">
        <w:rPr>
          <w:vertAlign w:val="subscript"/>
        </w:rPr>
        <w:t xml:space="preserve">w </w:t>
      </w:r>
      <w:r w:rsidR="00C23BB1" w:rsidRPr="00C65C28">
        <w:t xml:space="preserve">de 7,5 en appliquant </w:t>
      </w:r>
      <w:r w:rsidR="00C23BB1">
        <w:t xml:space="preserve">une </w:t>
      </w:r>
      <w:r w:rsidR="00C23BB1" w:rsidRPr="00C65C28">
        <w:t xml:space="preserve">équation inspirée du travail de (Youd et </w:t>
      </w:r>
      <w:r w:rsidR="00AB7FD1">
        <w:rPr>
          <w:lang w:val="fr-FR"/>
        </w:rPr>
        <w:t>al.,</w:t>
      </w:r>
      <w:r w:rsidR="00C23BB1" w:rsidRPr="00C65C28">
        <w:t xml:space="preserve"> 2001)</w:t>
      </w:r>
      <w:r w:rsidR="00C23BB1">
        <w:t>. Nous avons recalé cette équation afin de coller aux dernières courbes proposées dans la littérature pour le sable propre</w:t>
      </w:r>
      <w:r w:rsidR="00E228CC">
        <w:rPr>
          <w:lang w:val="fr-FR"/>
        </w:rPr>
        <w:t xml:space="preserve"> (</w:t>
      </w:r>
      <w:r w:rsidR="00AB081E">
        <w:rPr>
          <w:lang w:val="fr-FR"/>
        </w:rPr>
        <w:t xml:space="preserve">Equation 2 et </w:t>
      </w:r>
      <w:r w:rsidR="00E228CC">
        <w:rPr>
          <w:lang w:val="fr-FR"/>
        </w:rPr>
        <w:t>Figure 1a)</w:t>
      </w:r>
      <w:r w:rsidR="00C23BB1">
        <w:t>.</w:t>
      </w:r>
    </w:p>
    <w:p w14:paraId="71E0D192" w14:textId="77777777" w:rsidR="00C23BB1" w:rsidRPr="00C65C28" w:rsidRDefault="00C23BB1" w:rsidP="00C23BB1"/>
    <w:p w14:paraId="58D4C2ED" w14:textId="24573C0A" w:rsidR="00C23BB1" w:rsidRPr="0001702B" w:rsidRDefault="005918AE" w:rsidP="0001702B">
      <w:pPr>
        <w:jc w:val="right"/>
        <w:rPr>
          <w:lang w:val="fr-FR"/>
        </w:rPr>
      </w:pPr>
      <m:oMath>
        <m:sSub>
          <m:sSubPr>
            <m:ctrlPr>
              <w:rPr>
                <w:rFonts w:ascii="Cambria Math" w:hAnsi="Cambria Math"/>
                <w:sz w:val="22"/>
                <w:szCs w:val="24"/>
                <w:lang w:eastAsia="ar-SA"/>
              </w:rPr>
            </m:ctrlPr>
          </m:sSubPr>
          <m:e>
            <m:r>
              <w:rPr>
                <w:rFonts w:ascii="Cambria Math" w:hAnsi="Cambria Math"/>
              </w:rPr>
              <m:t>CRR</m:t>
            </m:r>
          </m:e>
          <m:sub>
            <m:r>
              <m:rPr>
                <m:sty m:val="p"/>
              </m:rPr>
              <w:rPr>
                <w:rFonts w:ascii="Cambria Math" w:hAnsi="Cambria Math"/>
              </w:rPr>
              <m:t>7.5</m:t>
            </m:r>
          </m:sub>
        </m:sSub>
        <m:r>
          <m:rPr>
            <m:sty m:val="p"/>
          </m:rPr>
          <w:rPr>
            <w:rFonts w:ascii="Cambria Math" w:hAnsi="Cambria Math"/>
          </w:rPr>
          <m:t>=</m:t>
        </m:r>
        <m:f>
          <m:fPr>
            <m:ctrlPr>
              <w:rPr>
                <w:rFonts w:ascii="Cambria Math" w:hAnsi="Cambria Math"/>
                <w:sz w:val="22"/>
                <w:szCs w:val="24"/>
                <w:lang w:eastAsia="ar-SA"/>
              </w:rPr>
            </m:ctrlPr>
          </m:fPr>
          <m:num>
            <m:r>
              <m:rPr>
                <m:sty m:val="p"/>
              </m:rPr>
              <w:rPr>
                <w:rFonts w:ascii="Cambria Math" w:hAnsi="Cambria Math"/>
              </w:rPr>
              <m:t>1</m:t>
            </m:r>
          </m:num>
          <m:den>
            <m:r>
              <m:rPr>
                <m:sty m:val="p"/>
              </m:rPr>
              <w:rPr>
                <w:rFonts w:ascii="Cambria Math" w:hAnsi="Cambria Math"/>
              </w:rPr>
              <m:t>34-2∙</m:t>
            </m:r>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m:rPr>
                    <m:sty m:val="p"/>
                  </m:rPr>
                  <w:rPr>
                    <w:rFonts w:ascii="Cambria Math" w:hAnsi="Cambria Math"/>
                  </w:rPr>
                  <m:t>1</m:t>
                </m:r>
                <m:r>
                  <w:rPr>
                    <w:rFonts w:ascii="Cambria Math" w:hAnsi="Cambria Math"/>
                  </w:rPr>
                  <m:t>Ncs</m:t>
                </m:r>
              </m:sub>
            </m:sSub>
          </m:den>
        </m:f>
        <m:r>
          <m:rPr>
            <m:sty m:val="p"/>
          </m:rPr>
          <w:rPr>
            <w:rFonts w:ascii="Cambria Math" w:hAnsi="Cambria Math"/>
          </w:rPr>
          <m:t>+</m:t>
        </m:r>
        <m:f>
          <m:fPr>
            <m:ctrlPr>
              <w:rPr>
                <w:rFonts w:ascii="Cambria Math" w:hAnsi="Cambria Math"/>
                <w:sz w:val="22"/>
                <w:szCs w:val="24"/>
                <w:lang w:eastAsia="ar-SA"/>
              </w:rPr>
            </m:ctrlPr>
          </m:fPr>
          <m:num>
            <m:r>
              <m:rPr>
                <m:sty m:val="p"/>
              </m:rPr>
              <w:rPr>
                <w:rFonts w:ascii="Cambria Math" w:hAnsi="Cambria Math"/>
              </w:rPr>
              <m:t>2∙</m:t>
            </m:r>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m:rPr>
                    <m:sty m:val="p"/>
                  </m:rPr>
                  <w:rPr>
                    <w:rFonts w:ascii="Cambria Math" w:hAnsi="Cambria Math"/>
                  </w:rPr>
                  <m:t>1</m:t>
                </m:r>
                <m:r>
                  <w:rPr>
                    <w:rFonts w:ascii="Cambria Math" w:hAnsi="Cambria Math"/>
                  </w:rPr>
                  <m:t>Ncs</m:t>
                </m:r>
              </m:sub>
            </m:sSub>
          </m:num>
          <m:den>
            <m:r>
              <m:rPr>
                <m:sty m:val="p"/>
              </m:rPr>
              <w:rPr>
                <w:rFonts w:ascii="Cambria Math" w:hAnsi="Cambria Math"/>
              </w:rPr>
              <m:t>135</m:t>
            </m:r>
          </m:den>
        </m:f>
        <m:r>
          <m:rPr>
            <m:sty m:val="p"/>
          </m:rPr>
          <w:rPr>
            <w:rFonts w:ascii="Cambria Math" w:hAnsi="Cambria Math"/>
          </w:rPr>
          <m:t>+</m:t>
        </m:r>
        <m:f>
          <m:fPr>
            <m:ctrlPr>
              <w:rPr>
                <w:rFonts w:ascii="Cambria Math" w:hAnsi="Cambria Math"/>
                <w:sz w:val="22"/>
                <w:szCs w:val="24"/>
                <w:lang w:eastAsia="ar-SA"/>
              </w:rPr>
            </m:ctrlPr>
          </m:fPr>
          <m:num>
            <m:r>
              <m:rPr>
                <m:sty m:val="p"/>
              </m:rPr>
              <w:rPr>
                <w:rFonts w:ascii="Cambria Math" w:hAnsi="Cambria Math"/>
              </w:rPr>
              <m:t>10</m:t>
            </m:r>
          </m:num>
          <m:den>
            <m:sSup>
              <m:sSupPr>
                <m:ctrlPr>
                  <w:rPr>
                    <w:rFonts w:ascii="Cambria Math" w:hAnsi="Cambria Math"/>
                    <w:sz w:val="22"/>
                    <w:szCs w:val="24"/>
                    <w:lang w:eastAsia="ar-SA"/>
                  </w:rPr>
                </m:ctrlPr>
              </m:sSupPr>
              <m:e>
                <m:d>
                  <m:dPr>
                    <m:ctrlPr>
                      <w:rPr>
                        <w:rFonts w:ascii="Cambria Math" w:hAnsi="Cambria Math"/>
                        <w:sz w:val="22"/>
                        <w:szCs w:val="24"/>
                        <w:lang w:eastAsia="ar-SA"/>
                      </w:rPr>
                    </m:ctrlPr>
                  </m:dPr>
                  <m:e>
                    <m:r>
                      <m:rPr>
                        <m:sty m:val="p"/>
                      </m:rPr>
                      <w:rPr>
                        <w:rFonts w:ascii="Cambria Math" w:hAnsi="Cambria Math"/>
                      </w:rPr>
                      <m:t>20∙</m:t>
                    </m:r>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m:rPr>
                            <m:sty m:val="p"/>
                          </m:rPr>
                          <w:rPr>
                            <w:rFonts w:ascii="Cambria Math" w:hAnsi="Cambria Math"/>
                          </w:rPr>
                          <m:t>1</m:t>
                        </m:r>
                        <m:r>
                          <w:rPr>
                            <w:rFonts w:ascii="Cambria Math" w:hAnsi="Cambria Math"/>
                          </w:rPr>
                          <m:t>Ncs</m:t>
                        </m:r>
                      </m:sub>
                    </m:sSub>
                    <m:r>
                      <m:rPr>
                        <m:sty m:val="p"/>
                      </m:rPr>
                      <w:rPr>
                        <w:rFonts w:ascii="Cambria Math" w:hAnsi="Cambria Math"/>
                      </w:rPr>
                      <m:t>+25</m:t>
                    </m:r>
                  </m:e>
                </m:d>
              </m:e>
              <m:sup>
                <m:r>
                  <m:rPr>
                    <m:sty m:val="p"/>
                  </m:rPr>
                  <w:rPr>
                    <w:rFonts w:ascii="Cambria Math" w:hAnsi="Cambria Math"/>
                  </w:rPr>
                  <m:t>2</m:t>
                </m:r>
              </m:sup>
            </m:sSup>
          </m:den>
        </m:f>
        <m:r>
          <m:rPr>
            <m:sty m:val="p"/>
          </m:rPr>
          <w:rPr>
            <w:rFonts w:ascii="Cambria Math" w:hAnsi="Cambria Math"/>
          </w:rPr>
          <m:t>-</m:t>
        </m:r>
        <m:f>
          <m:fPr>
            <m:ctrlPr>
              <w:rPr>
                <w:rFonts w:ascii="Cambria Math" w:hAnsi="Cambria Math"/>
                <w:sz w:val="22"/>
                <w:szCs w:val="24"/>
                <w:lang w:eastAsia="ar-SA"/>
              </w:rPr>
            </m:ctrlPr>
          </m:fPr>
          <m:num>
            <m:r>
              <m:rPr>
                <m:sty m:val="p"/>
              </m:rPr>
              <w:rPr>
                <w:rFonts w:ascii="Cambria Math" w:hAnsi="Cambria Math"/>
              </w:rPr>
              <m:t>1</m:t>
            </m:r>
          </m:num>
          <m:den>
            <m:r>
              <m:rPr>
                <m:sty m:val="p"/>
              </m:rPr>
              <w:rPr>
                <w:rFonts w:ascii="Cambria Math" w:hAnsi="Cambria Math"/>
              </w:rPr>
              <m:t>200</m:t>
            </m:r>
          </m:den>
        </m:f>
      </m:oMath>
      <w:r w:rsidR="0001702B">
        <w:rPr>
          <w:sz w:val="22"/>
          <w:szCs w:val="24"/>
          <w:lang w:val="fr-FR" w:eastAsia="ar-SA"/>
        </w:rPr>
        <w:t xml:space="preserve"> </w:t>
      </w:r>
      <w:r w:rsidR="0001702B">
        <w:rPr>
          <w:sz w:val="22"/>
          <w:szCs w:val="24"/>
          <w:lang w:val="fr-FR" w:eastAsia="ar-SA"/>
        </w:rPr>
        <w:tab/>
      </w:r>
      <w:r w:rsidR="0001702B">
        <w:rPr>
          <w:sz w:val="22"/>
          <w:szCs w:val="24"/>
          <w:lang w:val="fr-FR" w:eastAsia="ar-SA"/>
        </w:rPr>
        <w:tab/>
      </w:r>
      <w:r w:rsidR="0001702B">
        <w:rPr>
          <w:sz w:val="22"/>
          <w:szCs w:val="24"/>
          <w:lang w:val="fr-FR" w:eastAsia="ar-SA"/>
        </w:rPr>
        <w:tab/>
        <w:t>(2)</w:t>
      </w:r>
    </w:p>
    <w:p w14:paraId="7546F142" w14:textId="77777777" w:rsidR="00C23BB1" w:rsidRPr="00C65C28" w:rsidRDefault="00C23BB1" w:rsidP="00C23BB1">
      <w:r w:rsidRPr="00C65C28">
        <w:t xml:space="preserve">où </w:t>
      </w:r>
      <m:oMath>
        <m:sSub>
          <m:sSubPr>
            <m:ctrlPr>
              <w:rPr>
                <w:rFonts w:ascii="Cambria Math" w:hAnsi="Cambria Math"/>
                <w:i/>
                <w:sz w:val="22"/>
                <w:szCs w:val="24"/>
                <w:lang w:eastAsia="ar-SA"/>
              </w:rPr>
            </m:ctrlPr>
          </m:sSubPr>
          <m:e>
            <m:r>
              <w:rPr>
                <w:rFonts w:ascii="Cambria Math" w:hAnsi="Cambria Math"/>
              </w:rPr>
              <m:t>p</m:t>
            </m:r>
          </m:e>
          <m:sub>
            <m:r>
              <m:rPr>
                <m:scr m:val="script"/>
              </m:rPr>
              <w:rPr>
                <w:rFonts w:ascii="Cambria Math" w:hAnsi="Cambria Math"/>
                <w:vertAlign w:val="subscript"/>
              </w:rPr>
              <m:t>l</m:t>
            </m:r>
            <m:r>
              <w:rPr>
                <w:rFonts w:ascii="Cambria Math" w:hAnsi="Cambria Math"/>
              </w:rPr>
              <m:t>1Ncs</m:t>
            </m:r>
          </m:sub>
        </m:sSub>
      </m:oMath>
      <w:r w:rsidRPr="00C65C28">
        <w:t xml:space="preserve"> est sans unité.</w:t>
      </w:r>
    </w:p>
    <w:p w14:paraId="0ED4D7D3" w14:textId="77777777" w:rsidR="00C23BB1" w:rsidRPr="00C65C28" w:rsidRDefault="00C23BB1" w:rsidP="00C23BB1">
      <w:r w:rsidRPr="00C65C28">
        <w:t>La fraction fine est prise en compte de manière similaire à la méthode SPT en prenant</w:t>
      </w:r>
      <w:r>
        <w:t xml:space="preserve"> :</w:t>
      </w:r>
    </w:p>
    <w:p w14:paraId="1668845C" w14:textId="31777966" w:rsidR="00C23BB1" w:rsidRPr="0001702B" w:rsidRDefault="005918AE" w:rsidP="0001702B">
      <w:pPr>
        <w:jc w:val="right"/>
        <w:rPr>
          <w:rFonts w:eastAsiaTheme="minorEastAsia"/>
          <w:sz w:val="22"/>
          <w:szCs w:val="24"/>
          <w:lang w:val="fr-FR" w:eastAsia="ar-SA"/>
        </w:rPr>
      </w:pPr>
      <m:oMath>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m:rPr>
                <m:sty m:val="p"/>
              </m:rPr>
              <w:rPr>
                <w:rFonts w:ascii="Cambria Math" w:hAnsi="Cambria Math"/>
              </w:rPr>
              <m:t>1</m:t>
            </m:r>
            <m:r>
              <w:rPr>
                <w:rFonts w:ascii="Cambria Math" w:hAnsi="Cambria Math"/>
              </w:rPr>
              <m:t>Ncs</m:t>
            </m:r>
          </m:sub>
        </m:sSub>
        <m:r>
          <m:rPr>
            <m:sty m:val="p"/>
          </m:rPr>
          <w:rPr>
            <w:rFonts w:ascii="Cambria Math" w:hAnsi="Cambria Math"/>
            <w:sz w:val="22"/>
            <w:szCs w:val="24"/>
            <w:lang w:eastAsia="ar-SA"/>
          </w:rPr>
          <m:t>=</m:t>
        </m:r>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m:rPr>
                <m:sty m:val="p"/>
              </m:rPr>
              <w:rPr>
                <w:rFonts w:ascii="Cambria Math" w:hAnsi="Cambria Math"/>
              </w:rPr>
              <m:t>1</m:t>
            </m:r>
            <m:r>
              <w:rPr>
                <w:rFonts w:ascii="Cambria Math" w:hAnsi="Cambria Math"/>
              </w:rPr>
              <m:t>N</m:t>
            </m:r>
          </m:sub>
        </m:sSub>
        <m:r>
          <m:rPr>
            <m:sty m:val="p"/>
          </m:rPr>
          <w:rPr>
            <w:rFonts w:ascii="Cambria Math" w:hAnsi="Cambria Math"/>
            <w:sz w:val="22"/>
            <w:szCs w:val="24"/>
            <w:lang w:eastAsia="ar-SA"/>
          </w:rPr>
          <m:t>+∆</m:t>
        </m:r>
        <m:sSub>
          <m:sSubPr>
            <m:ctrlPr>
              <w:rPr>
                <w:rFonts w:ascii="Cambria Math" w:hAnsi="Cambria Math"/>
                <w:sz w:val="22"/>
                <w:szCs w:val="24"/>
                <w:lang w:eastAsia="ar-SA"/>
              </w:rPr>
            </m:ctrlPr>
          </m:sSubPr>
          <m:e>
            <m:r>
              <w:rPr>
                <w:rFonts w:ascii="Cambria Math" w:hAnsi="Cambria Math"/>
              </w:rPr>
              <m:t>p</m:t>
            </m:r>
          </m:e>
          <m:sub>
            <m:r>
              <m:rPr>
                <m:scr m:val="script"/>
                <m:sty m:val="p"/>
              </m:rPr>
              <w:rPr>
                <w:rFonts w:ascii="Cambria Math" w:hAnsi="Cambria Math"/>
                <w:vertAlign w:val="subscript"/>
              </w:rPr>
              <m:t>l,</m:t>
            </m:r>
            <m:r>
              <w:rPr>
                <w:rFonts w:ascii="Cambria Math" w:hAnsi="Cambria Math"/>
              </w:rPr>
              <m:t>FC</m:t>
            </m:r>
          </m:sub>
        </m:sSub>
      </m:oMath>
      <w:r w:rsidR="0001702B">
        <w:rPr>
          <w:rFonts w:eastAsiaTheme="minorEastAsia"/>
          <w:sz w:val="22"/>
          <w:szCs w:val="24"/>
          <w:lang w:val="fr-FR" w:eastAsia="ar-SA"/>
        </w:rPr>
        <w:t xml:space="preserve">  </w:t>
      </w:r>
      <w:r w:rsidR="0001702B">
        <w:rPr>
          <w:rFonts w:eastAsiaTheme="minorEastAsia"/>
          <w:sz w:val="22"/>
          <w:szCs w:val="24"/>
          <w:lang w:val="fr-FR" w:eastAsia="ar-SA"/>
        </w:rPr>
        <w:tab/>
      </w:r>
      <w:r w:rsidR="0001702B">
        <w:rPr>
          <w:rFonts w:eastAsiaTheme="minorEastAsia"/>
          <w:sz w:val="22"/>
          <w:szCs w:val="24"/>
          <w:lang w:val="fr-FR" w:eastAsia="ar-SA"/>
        </w:rPr>
        <w:tab/>
      </w:r>
      <w:r w:rsidR="0001702B">
        <w:rPr>
          <w:rFonts w:eastAsiaTheme="minorEastAsia"/>
          <w:sz w:val="22"/>
          <w:szCs w:val="24"/>
          <w:lang w:val="fr-FR" w:eastAsia="ar-SA"/>
        </w:rPr>
        <w:tab/>
      </w:r>
      <w:r w:rsidR="0001702B">
        <w:rPr>
          <w:rFonts w:eastAsiaTheme="minorEastAsia"/>
          <w:sz w:val="22"/>
          <w:szCs w:val="24"/>
          <w:lang w:val="fr-FR" w:eastAsia="ar-SA"/>
        </w:rPr>
        <w:tab/>
      </w:r>
      <w:r w:rsidR="0001702B">
        <w:rPr>
          <w:rFonts w:eastAsiaTheme="minorEastAsia"/>
          <w:sz w:val="22"/>
          <w:szCs w:val="24"/>
          <w:lang w:val="fr-FR" w:eastAsia="ar-SA"/>
        </w:rPr>
        <w:tab/>
        <w:t>(3)</w:t>
      </w:r>
    </w:p>
    <w:p w14:paraId="42AA7492" w14:textId="77777777" w:rsidR="00C23BB1" w:rsidRPr="00C65C28" w:rsidRDefault="00C23BB1" w:rsidP="00C23BB1">
      <w:pPr>
        <w:rPr>
          <w:rFonts w:eastAsiaTheme="minorEastAsia"/>
          <w:lang w:eastAsia="ar-SA"/>
        </w:rPr>
      </w:pPr>
    </w:p>
    <w:p w14:paraId="2046D2E4" w14:textId="77777777" w:rsidR="00C23BB1" w:rsidRPr="002D03F9" w:rsidRDefault="00C23BB1" w:rsidP="00C23BB1">
      <w:pPr>
        <w:rPr>
          <w:rFonts w:eastAsiaTheme="minorEastAsia"/>
          <w:lang w:val="it-IT" w:eastAsia="ar-SA"/>
        </w:rPr>
      </w:pPr>
      <w:r w:rsidRPr="002D03F9">
        <w:rPr>
          <w:rFonts w:eastAsiaTheme="minorEastAsia"/>
          <w:lang w:val="it-IT" w:eastAsia="ar-SA"/>
        </w:rPr>
        <w:t xml:space="preserve">Si </w:t>
      </w:r>
      <m:oMath>
        <m:r>
          <w:rPr>
            <w:rFonts w:ascii="Cambria Math" w:hAnsi="Cambria Math"/>
            <w:lang w:eastAsia="ar-SA"/>
          </w:rPr>
          <m:t>FC</m:t>
        </m:r>
        <m:r>
          <m:rPr>
            <m:sty m:val="p"/>
          </m:rPr>
          <w:rPr>
            <w:rFonts w:ascii="Cambria Math" w:hAnsi="Cambria Math"/>
            <w:lang w:val="it-IT" w:eastAsia="ar-SA"/>
          </w:rPr>
          <m:t>&lt;5%               ∆</m:t>
        </m:r>
        <m:sSub>
          <m:sSubPr>
            <m:ctrlPr>
              <w:rPr>
                <w:rFonts w:ascii="Cambria Math" w:hAnsi="Cambria Math"/>
                <w:lang w:eastAsia="ar-SA"/>
              </w:rPr>
            </m:ctrlPr>
          </m:sSubPr>
          <m:e>
            <m:r>
              <w:rPr>
                <w:rFonts w:ascii="Cambria Math" w:hAnsi="Cambria Math"/>
              </w:rPr>
              <m:t>p</m:t>
            </m:r>
          </m:e>
          <m:sub>
            <m:r>
              <m:rPr>
                <m:scr m:val="script"/>
                <m:sty m:val="p"/>
              </m:rPr>
              <w:rPr>
                <w:rFonts w:ascii="Cambria Math" w:hAnsi="Cambria Math"/>
                <w:vertAlign w:val="subscript"/>
                <w:lang w:val="it-IT"/>
              </w:rPr>
              <m:t>l,</m:t>
            </m:r>
            <m:r>
              <w:rPr>
                <w:rFonts w:ascii="Cambria Math" w:hAnsi="Cambria Math"/>
              </w:rPr>
              <m:t>FC</m:t>
            </m:r>
          </m:sub>
        </m:sSub>
        <m:r>
          <m:rPr>
            <m:sty m:val="p"/>
          </m:rPr>
          <w:rPr>
            <w:rFonts w:ascii="Cambria Math" w:hAnsi="Cambria Math"/>
            <w:lang w:val="it-IT" w:eastAsia="ar-SA"/>
          </w:rPr>
          <m:t>=0</m:t>
        </m:r>
      </m:oMath>
    </w:p>
    <w:p w14:paraId="5815441A" w14:textId="77777777" w:rsidR="00C23BB1" w:rsidRPr="002D03F9" w:rsidRDefault="00C23BB1" w:rsidP="00C23BB1">
      <w:pPr>
        <w:rPr>
          <w:rFonts w:eastAsiaTheme="minorEastAsia"/>
          <w:lang w:val="it-IT" w:eastAsia="ar-SA"/>
        </w:rPr>
      </w:pPr>
      <w:r w:rsidRPr="002D03F9">
        <w:rPr>
          <w:rFonts w:eastAsiaTheme="minorEastAsia"/>
          <w:lang w:val="it-IT" w:eastAsia="ar-SA"/>
        </w:rPr>
        <w:t xml:space="preserve">Si </w:t>
      </w:r>
      <m:oMath>
        <m:r>
          <m:rPr>
            <m:sty m:val="p"/>
          </m:rPr>
          <w:rPr>
            <w:rFonts w:ascii="Cambria Math" w:hAnsi="Cambria Math"/>
            <w:lang w:val="it-IT" w:eastAsia="ar-SA"/>
          </w:rPr>
          <m:t>5&lt;</m:t>
        </m:r>
        <m:r>
          <w:rPr>
            <w:rFonts w:ascii="Cambria Math" w:hAnsi="Cambria Math"/>
            <w:lang w:eastAsia="ar-SA"/>
          </w:rPr>
          <m:t>FC</m:t>
        </m:r>
        <m:r>
          <m:rPr>
            <m:sty m:val="p"/>
          </m:rPr>
          <w:rPr>
            <w:rFonts w:ascii="Cambria Math" w:hAnsi="Cambria Math"/>
            <w:lang w:val="it-IT" w:eastAsia="ar-SA"/>
          </w:rPr>
          <m:t>&lt;35%    ∆</m:t>
        </m:r>
        <m:sSub>
          <m:sSubPr>
            <m:ctrlPr>
              <w:rPr>
                <w:rFonts w:ascii="Cambria Math" w:hAnsi="Cambria Math"/>
                <w:lang w:eastAsia="ar-SA"/>
              </w:rPr>
            </m:ctrlPr>
          </m:sSubPr>
          <m:e>
            <m:r>
              <w:rPr>
                <w:rFonts w:ascii="Cambria Math" w:hAnsi="Cambria Math"/>
              </w:rPr>
              <m:t>p</m:t>
            </m:r>
          </m:e>
          <m:sub>
            <m:r>
              <m:rPr>
                <m:scr m:val="script"/>
                <m:sty m:val="p"/>
              </m:rPr>
              <w:rPr>
                <w:rFonts w:ascii="Cambria Math" w:hAnsi="Cambria Math"/>
                <w:vertAlign w:val="subscript"/>
                <w:lang w:val="it-IT"/>
              </w:rPr>
              <m:t>l,</m:t>
            </m:r>
            <m:r>
              <w:rPr>
                <w:rFonts w:ascii="Cambria Math" w:hAnsi="Cambria Math"/>
              </w:rPr>
              <m:t>FC</m:t>
            </m:r>
          </m:sub>
        </m:sSub>
        <m:r>
          <m:rPr>
            <m:sty m:val="p"/>
          </m:rPr>
          <w:rPr>
            <w:rFonts w:ascii="Cambria Math" w:hAnsi="Cambria Math"/>
            <w:lang w:val="it-IT" w:eastAsia="ar-SA"/>
          </w:rPr>
          <m:t>=</m:t>
        </m:r>
        <m:sSup>
          <m:sSupPr>
            <m:ctrlPr>
              <w:rPr>
                <w:rFonts w:ascii="Cambria Math" w:hAnsi="Cambria Math"/>
                <w:lang w:eastAsia="ar-SA"/>
              </w:rPr>
            </m:ctrlPr>
          </m:sSupPr>
          <m:e>
            <m:r>
              <w:rPr>
                <w:rFonts w:ascii="Cambria Math" w:hAnsi="Cambria Math"/>
                <w:lang w:eastAsia="ar-SA"/>
              </w:rPr>
              <m:t>e</m:t>
            </m:r>
          </m:e>
          <m:sup>
            <m:r>
              <m:rPr>
                <m:sty m:val="p"/>
              </m:rPr>
              <w:rPr>
                <w:rFonts w:ascii="Cambria Math" w:hAnsi="Cambria Math"/>
                <w:lang w:val="it-IT" w:eastAsia="ar-SA"/>
              </w:rPr>
              <m:t>1,6-</m:t>
            </m:r>
            <m:f>
              <m:fPr>
                <m:type m:val="skw"/>
                <m:ctrlPr>
                  <w:rPr>
                    <w:rFonts w:ascii="Cambria Math" w:hAnsi="Cambria Math"/>
                    <w:lang w:eastAsia="ar-SA"/>
                  </w:rPr>
                </m:ctrlPr>
              </m:fPr>
              <m:num>
                <m:r>
                  <m:rPr>
                    <m:sty m:val="p"/>
                  </m:rPr>
                  <w:rPr>
                    <w:rFonts w:ascii="Cambria Math" w:hAnsi="Cambria Math"/>
                    <w:lang w:val="it-IT" w:eastAsia="ar-SA"/>
                  </w:rPr>
                  <m:t>190</m:t>
                </m:r>
              </m:num>
              <m:den>
                <m:sSup>
                  <m:sSupPr>
                    <m:ctrlPr>
                      <w:rPr>
                        <w:rFonts w:ascii="Cambria Math" w:hAnsi="Cambria Math"/>
                        <w:lang w:eastAsia="ar-SA"/>
                      </w:rPr>
                    </m:ctrlPr>
                  </m:sSupPr>
                  <m:e>
                    <m:r>
                      <w:rPr>
                        <w:rFonts w:ascii="Cambria Math" w:hAnsi="Cambria Math"/>
                        <w:lang w:eastAsia="ar-SA"/>
                      </w:rPr>
                      <m:t>FC</m:t>
                    </m:r>
                  </m:e>
                  <m:sup>
                    <m:r>
                      <m:rPr>
                        <m:sty m:val="p"/>
                      </m:rPr>
                      <w:rPr>
                        <w:rFonts w:ascii="Cambria Math" w:hAnsi="Cambria Math"/>
                        <w:lang w:val="it-IT" w:eastAsia="ar-SA"/>
                      </w:rPr>
                      <m:t>2</m:t>
                    </m:r>
                  </m:sup>
                </m:sSup>
              </m:den>
            </m:f>
          </m:sup>
        </m:sSup>
      </m:oMath>
    </w:p>
    <w:p w14:paraId="42E27A07" w14:textId="77777777" w:rsidR="00C23BB1" w:rsidRPr="00C65C28" w:rsidRDefault="00C23BB1" w:rsidP="00C23BB1">
      <w:pPr>
        <w:rPr>
          <w:rFonts w:eastAsiaTheme="minorEastAsia"/>
          <w:lang w:eastAsia="ar-SA"/>
        </w:rPr>
      </w:pPr>
      <w:r w:rsidRPr="00C65C28">
        <w:rPr>
          <w:rFonts w:eastAsiaTheme="minorEastAsia"/>
          <w:lang w:eastAsia="ar-SA"/>
        </w:rPr>
        <w:t xml:space="preserve">Si </w:t>
      </w:r>
      <m:oMath>
        <m:r>
          <w:rPr>
            <w:rFonts w:ascii="Cambria Math" w:hAnsi="Cambria Math"/>
            <w:lang w:eastAsia="ar-SA"/>
          </w:rPr>
          <m:t>FC</m:t>
        </m:r>
        <m:r>
          <m:rPr>
            <m:sty m:val="p"/>
          </m:rPr>
          <w:rPr>
            <w:rFonts w:ascii="Cambria Math" w:hAnsi="Cambria Math"/>
            <w:lang w:eastAsia="ar-SA"/>
          </w:rPr>
          <m:t>&gt;35%            ∆</m:t>
        </m:r>
        <m:sSub>
          <m:sSubPr>
            <m:ctrlPr>
              <w:rPr>
                <w:rFonts w:ascii="Cambria Math" w:hAnsi="Cambria Math"/>
                <w:lang w:eastAsia="ar-SA"/>
              </w:rPr>
            </m:ctrlPr>
          </m:sSubPr>
          <m:e>
            <m:r>
              <w:rPr>
                <w:rFonts w:ascii="Cambria Math" w:hAnsi="Cambria Math"/>
              </w:rPr>
              <m:t>p</m:t>
            </m:r>
          </m:e>
          <m:sub>
            <m:r>
              <m:rPr>
                <m:scr m:val="script"/>
                <m:sty m:val="p"/>
              </m:rPr>
              <w:rPr>
                <w:rFonts w:ascii="Cambria Math" w:hAnsi="Cambria Math"/>
                <w:vertAlign w:val="subscript"/>
              </w:rPr>
              <m:t>l,</m:t>
            </m:r>
            <m:r>
              <w:rPr>
                <w:rFonts w:ascii="Cambria Math" w:hAnsi="Cambria Math"/>
              </w:rPr>
              <m:t>FC</m:t>
            </m:r>
          </m:sub>
        </m:sSub>
        <m:r>
          <m:rPr>
            <m:sty m:val="p"/>
          </m:rPr>
          <w:rPr>
            <w:rFonts w:ascii="Cambria Math" w:hAnsi="Cambria Math"/>
            <w:lang w:eastAsia="ar-SA"/>
          </w:rPr>
          <m:t>=</m:t>
        </m:r>
      </m:oMath>
      <w:r>
        <w:rPr>
          <w:rFonts w:eastAsiaTheme="minorEastAsia"/>
          <w:lang w:eastAsia="ar-SA"/>
        </w:rPr>
        <w:t xml:space="preserve"> </w:t>
      </w:r>
      <w:r w:rsidRPr="00C65C28">
        <w:rPr>
          <w:rFonts w:eastAsiaTheme="minorEastAsia"/>
          <w:lang w:eastAsia="ar-SA"/>
        </w:rPr>
        <w:t>4,3</w:t>
      </w:r>
    </w:p>
    <w:p w14:paraId="05703D8E" w14:textId="77777777" w:rsidR="00C23BB1" w:rsidRPr="00C65C28" w:rsidRDefault="00C23BB1" w:rsidP="00C23BB1">
      <w:pPr>
        <w:rPr>
          <w:rFonts w:eastAsiaTheme="minorEastAsia"/>
          <w:lang w:eastAsia="ar-SA"/>
        </w:rPr>
      </w:pPr>
    </w:p>
    <w:p w14:paraId="3DF6305A" w14:textId="3F780271" w:rsidR="00C23BB1" w:rsidRDefault="00C23BB1" w:rsidP="00C23BB1">
      <w:r w:rsidRPr="00C65C28">
        <w:t xml:space="preserve">Les données collectées dans la bibliographie </w:t>
      </w:r>
      <w:r>
        <w:t xml:space="preserve">pour des essais en chambre d'étalonnage et triaxiaux </w:t>
      </w:r>
      <w:r w:rsidR="009165E0">
        <w:t>(Bouguerra, 1997</w:t>
      </w:r>
      <w:r w:rsidR="009165E0">
        <w:rPr>
          <w:lang w:val="fr-FR"/>
        </w:rPr>
        <w:t xml:space="preserve"> ; </w:t>
      </w:r>
      <w:r w:rsidR="009165E0" w:rsidRPr="009165E0">
        <w:t xml:space="preserve">Dupla J.-C. , 1995) </w:t>
      </w:r>
      <w:r w:rsidRPr="00C65C28">
        <w:t xml:space="preserve">et sur </w:t>
      </w:r>
      <w:r>
        <w:t>d</w:t>
      </w:r>
      <w:r w:rsidRPr="00C65C28">
        <w:t xml:space="preserve">es sites </w:t>
      </w:r>
      <w:r>
        <w:t>américains, japonais</w:t>
      </w:r>
      <w:r w:rsidR="006E6A53">
        <w:rPr>
          <w:lang w:val="fr-FR"/>
        </w:rPr>
        <w:t>,</w:t>
      </w:r>
      <w:r>
        <w:t xml:space="preserve"> </w:t>
      </w:r>
      <w:r w:rsidR="006E6A53">
        <w:t xml:space="preserve">français </w:t>
      </w:r>
      <w:r>
        <w:t xml:space="preserve">et </w:t>
      </w:r>
      <w:r w:rsidR="006E6A53">
        <w:rPr>
          <w:lang w:val="fr-FR"/>
        </w:rPr>
        <w:t xml:space="preserve">turcs </w:t>
      </w:r>
      <w:r w:rsidR="009165E0">
        <w:t>(Pass, 1991</w:t>
      </w:r>
      <w:r w:rsidR="009165E0">
        <w:rPr>
          <w:lang w:val="fr-FR"/>
        </w:rPr>
        <w:t xml:space="preserve"> ; </w:t>
      </w:r>
      <w:r w:rsidR="009165E0" w:rsidRPr="009165E0">
        <w:t xml:space="preserve">Masuda, </w:t>
      </w:r>
      <w:r w:rsidR="009165E0">
        <w:rPr>
          <w:lang w:val="fr-FR"/>
        </w:rPr>
        <w:t>et al.</w:t>
      </w:r>
      <w:r w:rsidR="009165E0" w:rsidRPr="009165E0">
        <w:t>, 2005</w:t>
      </w:r>
      <w:r w:rsidR="009165E0">
        <w:rPr>
          <w:lang w:val="fr-FR"/>
        </w:rPr>
        <w:t xml:space="preserve"> ; D</w:t>
      </w:r>
      <w:r w:rsidR="009165E0" w:rsidRPr="009165E0">
        <w:t xml:space="preserve">upla, </w:t>
      </w:r>
      <w:r w:rsidR="009165E0">
        <w:rPr>
          <w:lang w:val="fr-FR"/>
        </w:rPr>
        <w:t>et al.,</w:t>
      </w:r>
      <w:r w:rsidR="009165E0">
        <w:t xml:space="preserve"> 2010</w:t>
      </w:r>
      <w:r w:rsidR="009165E0">
        <w:rPr>
          <w:lang w:val="fr-FR"/>
        </w:rPr>
        <w:t xml:space="preserve"> ; </w:t>
      </w:r>
      <w:r w:rsidR="009165E0" w:rsidRPr="009165E0">
        <w:t xml:space="preserve">Kayabasi &amp; Gokceoglu, 2018) </w:t>
      </w:r>
      <w:r>
        <w:t>sont</w:t>
      </w:r>
      <w:r w:rsidRPr="00C65C28">
        <w:t xml:space="preserve"> synthétisées sur la </w:t>
      </w:r>
      <w:r w:rsidR="00B216EB">
        <w:rPr>
          <w:lang w:val="fr-FR"/>
        </w:rPr>
        <w:t>Figure 1</w:t>
      </w:r>
      <w:r>
        <w:t>b</w:t>
      </w:r>
      <w:r w:rsidR="0076219F">
        <w:rPr>
          <w:lang w:val="fr-FR"/>
        </w:rPr>
        <w:t>,</w:t>
      </w:r>
      <w:r w:rsidRPr="00C65C28">
        <w:t xml:space="preserve"> permettent de juger de la pertinence de ce graphique.</w:t>
      </w:r>
    </w:p>
    <w:p w14:paraId="28A9B647" w14:textId="77777777" w:rsidR="00C23BB1" w:rsidRPr="00E05596" w:rsidRDefault="00C23BB1" w:rsidP="00C23BB1"/>
    <w:p w14:paraId="11C28382" w14:textId="7E17608B" w:rsidR="00C23BB1" w:rsidRPr="00C65C28" w:rsidRDefault="00C23BB1" w:rsidP="00DC4C5D">
      <w:pPr>
        <w:pStyle w:val="Paragraphedeliste"/>
      </w:pPr>
      <w:r>
        <w:t>a</w:t>
      </w:r>
      <w:r w:rsidR="00DE7968">
        <w:rPr>
          <w:noProof/>
          <w:lang w:val="fr-FR" w:eastAsia="ja-JP"/>
        </w:rPr>
        <w:drawing>
          <wp:inline distT="0" distB="0" distL="0" distR="0" wp14:anchorId="5C3F21AF" wp14:editId="1B3990DF">
            <wp:extent cx="2911450" cy="315202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977" cy="3162339"/>
                    </a:xfrm>
                    <a:prstGeom prst="rect">
                      <a:avLst/>
                    </a:prstGeom>
                    <a:noFill/>
                  </pic:spPr>
                </pic:pic>
              </a:graphicData>
            </a:graphic>
          </wp:inline>
        </w:drawing>
      </w:r>
      <w:r>
        <w:t>b</w:t>
      </w:r>
      <w:r>
        <w:rPr>
          <w:noProof/>
          <w:lang w:val="fr-FR" w:eastAsia="ja-JP"/>
        </w:rPr>
        <w:drawing>
          <wp:inline distT="0" distB="0" distL="0" distR="0" wp14:anchorId="1529ECCD" wp14:editId="4F00C6D0">
            <wp:extent cx="2982762" cy="3041589"/>
            <wp:effectExtent l="0" t="0" r="8255" b="698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9042" cy="3047993"/>
                    </a:xfrm>
                    <a:prstGeom prst="rect">
                      <a:avLst/>
                    </a:prstGeom>
                    <a:noFill/>
                  </pic:spPr>
                </pic:pic>
              </a:graphicData>
            </a:graphic>
          </wp:inline>
        </w:drawing>
      </w:r>
    </w:p>
    <w:p w14:paraId="6E3BD12A" w14:textId="76C648F7" w:rsidR="00C23BB1" w:rsidRPr="00C65C28" w:rsidRDefault="00C23BB1" w:rsidP="00B216EB">
      <w:pPr>
        <w:pStyle w:val="Lgendefigure"/>
        <w:jc w:val="both"/>
      </w:pPr>
      <w:bookmarkStart w:id="1" w:name="_Toc23868104"/>
      <w:r w:rsidRPr="00C65C28">
        <w:t xml:space="preserve">Courbe de résistance cyclique pour le sable propre, Comparaison de valeurs de la littérature avec </w:t>
      </w:r>
      <w:r>
        <w:t>la courbe</w:t>
      </w:r>
      <w:r w:rsidRPr="00C65C28">
        <w:t xml:space="preserve"> proposée</w:t>
      </w:r>
      <w:bookmarkEnd w:id="1"/>
    </w:p>
    <w:p w14:paraId="07D42848" w14:textId="77777777" w:rsidR="00C23BB1" w:rsidRDefault="00C23BB1" w:rsidP="00C23BB1"/>
    <w:p w14:paraId="00934427" w14:textId="00F7D277" w:rsidR="00C23BB1" w:rsidRDefault="00C23BB1" w:rsidP="00BE7576">
      <w:r w:rsidRPr="00C65C28">
        <w:lastRenderedPageBreak/>
        <w:t xml:space="preserve">Dans le cadre d’un projet où le pressiomètre est l’outil utilisé pour la reconnaissance, cette méthode est intéressante mais les mesures pâtissent du </w:t>
      </w:r>
      <w:r>
        <w:t>fait qu’elles sont discontinues, homogénéisées sur 20 cm</w:t>
      </w:r>
      <w:r w:rsidRPr="00C65C28">
        <w:t xml:space="preserve"> et moins rapides que le CPT, cependant le pressiomètre étant couramment employé dans les projets</w:t>
      </w:r>
      <w:r>
        <w:t>, elle permet de compléter les outils disponibles.</w:t>
      </w:r>
      <w:r w:rsidR="00BE7576">
        <w:rPr>
          <w:lang w:val="fr-FR"/>
        </w:rPr>
        <w:t xml:space="preserve"> </w:t>
      </w:r>
      <w:r>
        <w:t xml:space="preserve">Dans une configuration géologique avec lentilles ou couches minces </w:t>
      </w:r>
      <w:r w:rsidR="00BE1A84">
        <w:t>interstratifiées</w:t>
      </w:r>
      <w:r>
        <w:t>, le pressiomètre ne viendrait alors qu’en complément pour l’avis global ou confirmer certaines hypothèses du fait de la discontinuité de la mesure.</w:t>
      </w:r>
    </w:p>
    <w:p w14:paraId="30373939" w14:textId="49AB53AC" w:rsidR="00C23BB1" w:rsidRPr="00C65C28" w:rsidRDefault="00C23BB1" w:rsidP="00C23BB1">
      <w:r>
        <w:t>Dans le cadre d'un projet, la combinaison du pressiomètre cyclique permettant d'obtenir la courbe CSR-N</w:t>
      </w:r>
      <w:r w:rsidR="00BE1A84">
        <w:rPr>
          <w:lang w:val="fr-FR"/>
        </w:rPr>
        <w:t xml:space="preserve">ombre de </w:t>
      </w:r>
      <w:r>
        <w:t>cycles et de 2 sondages</w:t>
      </w:r>
      <w:r w:rsidR="00BE1A84">
        <w:rPr>
          <w:lang w:val="fr-FR"/>
        </w:rPr>
        <w:t xml:space="preserve"> proches</w:t>
      </w:r>
      <w:r>
        <w:t xml:space="preserve"> décalés de 50 cm verticalement </w:t>
      </w:r>
      <w:r w:rsidR="00BE1A84">
        <w:rPr>
          <w:lang w:val="fr-FR"/>
        </w:rPr>
        <w:t xml:space="preserve">(essai tous les mètres pour l’un et mètres cinquante pour l’autre) </w:t>
      </w:r>
      <w:r>
        <w:t>pourrait amener à une mesure suffisamment précise, certes pas aussi fine que celle obtenue avec le pénétromètre mais du même ordre que celle menée avec le SPT.</w:t>
      </w:r>
      <w:bookmarkEnd w:id="0"/>
    </w:p>
    <w:p w14:paraId="44F355FC" w14:textId="77777777" w:rsidR="00C23BB1" w:rsidRPr="00C65C28" w:rsidRDefault="00C23BB1" w:rsidP="003007F5">
      <w:pPr>
        <w:pStyle w:val="Titre1"/>
        <w:ind w:left="357" w:hanging="357"/>
      </w:pPr>
      <w:bookmarkStart w:id="2" w:name="_Toc509992129"/>
      <w:bookmarkStart w:id="3" w:name="_Toc509991655"/>
      <w:bookmarkStart w:id="4" w:name="_Toc509234414"/>
      <w:bookmarkStart w:id="5" w:name="_Toc68259590"/>
      <w:r w:rsidRPr="00C65C28">
        <w:t xml:space="preserve">Fraction fine </w:t>
      </w:r>
      <w:r w:rsidRPr="003007F5">
        <w:rPr>
          <w:rStyle w:val="Corpsdetexte12Car"/>
          <w:lang w:val="fr-FR"/>
        </w:rPr>
        <w:t>et</w:t>
      </w:r>
      <w:r w:rsidRPr="00C65C28">
        <w:t xml:space="preserve"> fraction granulométrique</w:t>
      </w:r>
      <w:bookmarkEnd w:id="2"/>
      <w:bookmarkEnd w:id="3"/>
      <w:bookmarkEnd w:id="4"/>
      <w:bookmarkEnd w:id="5"/>
    </w:p>
    <w:p w14:paraId="03CC96E8" w14:textId="0FCA20BD" w:rsidR="00C23BB1" w:rsidRDefault="00C23BB1" w:rsidP="003007F5">
      <w:pPr>
        <w:pStyle w:val="Paragraphedeliste"/>
      </w:pPr>
      <w:r>
        <w:t xml:space="preserve">Dans les techniques in situ, lorsque des échantillons intacts ne sont pas récupérés dans le forage </w:t>
      </w:r>
      <w:r w:rsidR="00B75EA1">
        <w:rPr>
          <w:lang w:val="fr-FR"/>
        </w:rPr>
        <w:t xml:space="preserve">comme </w:t>
      </w:r>
      <w:r>
        <w:t xml:space="preserve">pour le CPT ou que les </w:t>
      </w:r>
      <w:r w:rsidR="00B75EA1">
        <w:rPr>
          <w:lang w:val="fr-FR"/>
        </w:rPr>
        <w:t>débris de forage</w:t>
      </w:r>
      <w:r>
        <w:t xml:space="preserve"> peuvent être pollués par des </w:t>
      </w:r>
      <w:r w:rsidR="00B75EA1">
        <w:rPr>
          <w:lang w:val="fr-FR"/>
        </w:rPr>
        <w:t>éléments</w:t>
      </w:r>
      <w:r>
        <w:t xml:space="preserve"> de la partie sus-jacente du trou, une méthode indirecte peut être d'une grande utilité. Dans la méthode CPT développée par </w:t>
      </w:r>
      <w:r w:rsidR="006005FE" w:rsidRPr="00AB081E">
        <w:t>Robertson</w:t>
      </w:r>
      <w:r w:rsidR="006005FE">
        <w:rPr>
          <w:lang w:val="fr-FR"/>
        </w:rPr>
        <w:t xml:space="preserve"> et </w:t>
      </w:r>
      <w:r w:rsidR="006005FE" w:rsidRPr="00AB081E">
        <w:t>Wride</w:t>
      </w:r>
      <w:r w:rsidR="006005FE">
        <w:rPr>
          <w:lang w:val="fr-FR"/>
        </w:rPr>
        <w:t xml:space="preserve"> </w:t>
      </w:r>
      <w:r w:rsidR="006005FE">
        <w:t>(199</w:t>
      </w:r>
      <w:r w:rsidR="006005FE">
        <w:rPr>
          <w:lang w:val="fr-FR"/>
        </w:rPr>
        <w:t>8)</w:t>
      </w:r>
      <w:r w:rsidR="006005FE" w:rsidRPr="00AB081E">
        <w:t xml:space="preserve">, </w:t>
      </w:r>
      <w:r>
        <w:t xml:space="preserve">Robertson (2009) et Youd et al. (1997), un tableau basé sur l'indice de type de comportement permet de donner une estimation approximative de la teneur en fines. Cette teneur apparente en fines </w:t>
      </w:r>
      <w:r w:rsidR="0076219F">
        <w:rPr>
          <w:lang w:val="fr-FR"/>
        </w:rPr>
        <w:t xml:space="preserve">est </w:t>
      </w:r>
      <w:r>
        <w:t>utilisée pour normaliser la résistance corrigée du cône.</w:t>
      </w:r>
    </w:p>
    <w:p w14:paraId="5AC5E81E" w14:textId="0330813C" w:rsidR="00C23BB1" w:rsidRPr="006005FE" w:rsidRDefault="00C23BB1" w:rsidP="00C23BB1">
      <w:pPr>
        <w:rPr>
          <w:lang w:val="fr-FR"/>
        </w:rPr>
      </w:pPr>
      <w:r>
        <w:t xml:space="preserve">Lors d'un essai pressiométrique Ménard, le programme de chargement est réalisé avec des paliers de pression maintenus pendant une minute. Par analogie avec l'essai œdométrique, pendant ces étapes, dans les sols moins perméables, les pressions interstitielles potentielles se dissipent. Par conséquent, le changement de volume pendant le maintien de la pression augmente généralement avec l'augmentation de la teneur en fines et de la plasticité du sol. La </w:t>
      </w:r>
      <w:r w:rsidR="00B216EB">
        <w:rPr>
          <w:lang w:val="fr-FR"/>
        </w:rPr>
        <w:t>Figure 2</w:t>
      </w:r>
      <w:r>
        <w:t xml:space="preserve">a montre un exemple d'évolution de l'expansion, c'est-à-dire la courbe pression-volume en fonction du temps dans un sol limoneux. La </w:t>
      </w:r>
      <w:r w:rsidR="00B216EB">
        <w:rPr>
          <w:lang w:val="fr-FR"/>
        </w:rPr>
        <w:t>Figure 2</w:t>
      </w:r>
      <w:r>
        <w:t>b se concentre sur l'évolution du volume pour une charge donnée pendant le pas de temps</w:t>
      </w:r>
      <w:r w:rsidR="006005FE">
        <w:rPr>
          <w:lang w:val="fr-FR"/>
        </w:rPr>
        <w:t xml:space="preserve"> pour ce même essai</w:t>
      </w:r>
      <w:r>
        <w:t xml:space="preserve">. Comme pour un essai œdométrique, pendant la phase pseudo-élastique, l'équilibre est atteint pendant le palier de pression et près de la rupture conventionnelle, une évolution constante est observée. </w:t>
      </w:r>
      <w:r w:rsidR="006005FE">
        <w:rPr>
          <w:lang w:val="fr-FR"/>
        </w:rPr>
        <w:t>Cette analyse pourrait avoir d’autres applications, comme définir un module court terme ou long terme.</w:t>
      </w:r>
    </w:p>
    <w:p w14:paraId="7566BCAF" w14:textId="77777777" w:rsidR="00C23BB1" w:rsidRDefault="00C23BB1" w:rsidP="00C23BB1"/>
    <w:p w14:paraId="01617419" w14:textId="77777777" w:rsidR="00C23BB1" w:rsidRPr="003B53EF" w:rsidRDefault="00C23BB1" w:rsidP="00C23BB1">
      <w:pPr>
        <w:rPr>
          <w:lang w:eastAsia="fr-FR"/>
        </w:rPr>
      </w:pPr>
      <w:r w:rsidRPr="003B53EF">
        <w:rPr>
          <w:lang w:eastAsia="fr-FR"/>
        </w:rPr>
        <w:t>a)</w:t>
      </w:r>
      <w:r>
        <w:rPr>
          <w:noProof/>
          <w:lang w:val="fr-FR" w:eastAsia="ja-JP"/>
        </w:rPr>
        <w:drawing>
          <wp:inline distT="0" distB="0" distL="0" distR="0" wp14:anchorId="561E7547" wp14:editId="5237830C">
            <wp:extent cx="3108520" cy="2487168"/>
            <wp:effectExtent l="0" t="0" r="0" b="889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29" r="1446"/>
                    <a:stretch/>
                  </pic:blipFill>
                  <pic:spPr bwMode="auto">
                    <a:xfrm>
                      <a:off x="0" y="0"/>
                      <a:ext cx="3121099" cy="2497232"/>
                    </a:xfrm>
                    <a:prstGeom prst="rect">
                      <a:avLst/>
                    </a:prstGeom>
                    <a:noFill/>
                    <a:ln>
                      <a:noFill/>
                    </a:ln>
                    <a:extLst>
                      <a:ext uri="{53640926-AAD7-44D8-BBD7-CCE9431645EC}">
                        <a14:shadowObscured xmlns:a14="http://schemas.microsoft.com/office/drawing/2010/main"/>
                      </a:ext>
                    </a:extLst>
                  </pic:spPr>
                </pic:pic>
              </a:graphicData>
            </a:graphic>
          </wp:inline>
        </w:drawing>
      </w:r>
      <w:r w:rsidRPr="003B53EF">
        <w:rPr>
          <w:lang w:eastAsia="fr-FR"/>
        </w:rPr>
        <w:t>b)</w:t>
      </w:r>
      <w:r>
        <w:rPr>
          <w:noProof/>
          <w:lang w:val="fr-FR" w:eastAsia="ja-JP"/>
        </w:rPr>
        <w:drawing>
          <wp:inline distT="0" distB="0" distL="0" distR="0" wp14:anchorId="5407E436" wp14:editId="32D1DA7C">
            <wp:extent cx="2501798" cy="2411709"/>
            <wp:effectExtent l="0" t="0" r="0" b="8255"/>
            <wp:docPr id="60" name="Image 60" descr="Une image contenant texte, reçu,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descr="Une image contenant texte, reçu, document&#10;&#10;Description générée automatiqueme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19" r="2291"/>
                    <a:stretch/>
                  </pic:blipFill>
                  <pic:spPr bwMode="auto">
                    <a:xfrm>
                      <a:off x="0" y="0"/>
                      <a:ext cx="2510274" cy="2419880"/>
                    </a:xfrm>
                    <a:prstGeom prst="rect">
                      <a:avLst/>
                    </a:prstGeom>
                    <a:noFill/>
                    <a:ln>
                      <a:noFill/>
                    </a:ln>
                    <a:extLst>
                      <a:ext uri="{53640926-AAD7-44D8-BBD7-CCE9431645EC}">
                        <a14:shadowObscured xmlns:a14="http://schemas.microsoft.com/office/drawing/2010/main"/>
                      </a:ext>
                    </a:extLst>
                  </pic:spPr>
                </pic:pic>
              </a:graphicData>
            </a:graphic>
          </wp:inline>
        </w:drawing>
      </w:r>
    </w:p>
    <w:p w14:paraId="12AF9390" w14:textId="743FE4CD" w:rsidR="00C23BB1" w:rsidRPr="001009B1" w:rsidRDefault="00C23BB1" w:rsidP="00C23BB1">
      <w:pPr>
        <w:pStyle w:val="Lgendefigure"/>
        <w:rPr>
          <w:lang w:eastAsia="fr-FR"/>
        </w:rPr>
      </w:pPr>
      <w:r w:rsidRPr="001009B1">
        <w:t>Évolution des courbes pression-volume en fonction du temps (sable, profondeur 1m, Decize, France)</w:t>
      </w:r>
    </w:p>
    <w:p w14:paraId="74BCC2CB" w14:textId="77777777" w:rsidR="00C23BB1" w:rsidRPr="006C0BF1" w:rsidRDefault="00C23BB1" w:rsidP="00C23BB1">
      <w:r w:rsidRPr="006C0BF1">
        <w:lastRenderedPageBreak/>
        <w:t>Pour étudier l'influence de la distribution granulométrique du matériau granulaire sur la réponse au programme de chargement, il est proposé d'utiliser la pente du dernier incrément de temps mesuré selon la norme d'essai ISO 22476-4, entre 30 et 60 s.</w:t>
      </w:r>
    </w:p>
    <w:p w14:paraId="0889D608" w14:textId="757A57E9" w:rsidR="00C23BB1" w:rsidRDefault="005918AE" w:rsidP="0001702B">
      <w:pPr>
        <w:jc w:val="right"/>
        <w:rPr>
          <w:lang w:val="fr-FR"/>
        </w:rPr>
      </w:pPr>
      <m:oMath>
        <m:sSub>
          <m:sSubPr>
            <m:ctrlPr>
              <w:rPr>
                <w:rFonts w:ascii="Cambria Math" w:eastAsiaTheme="minorEastAsia"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r>
          <w:rPr>
            <w:rFonts w:ascii="Cambria Math" w:hAnsi="Cambria Math"/>
          </w:rPr>
          <m:t>slope</m:t>
        </m:r>
        <m:r>
          <m:rPr>
            <m:sty m:val="p"/>
          </m:rPr>
          <w:rPr>
            <w:rFonts w:ascii="Cambria Math" w:hAnsi="Cambria Math"/>
          </w:rPr>
          <m:t> </m:t>
        </m:r>
        <m:d>
          <m:dPr>
            <m:ctrlPr>
              <w:rPr>
                <w:rFonts w:ascii="Cambria Math" w:eastAsiaTheme="minorEastAsia" w:hAnsi="Cambria Math"/>
              </w:rPr>
            </m:ctrlPr>
          </m:dPr>
          <m:e>
            <m:f>
              <m:fPr>
                <m:type m:val="skw"/>
                <m:ctrlPr>
                  <w:rPr>
                    <w:rFonts w:ascii="Cambria Math" w:eastAsiaTheme="minorEastAsia" w:hAnsi="Cambria Math"/>
                  </w:rPr>
                </m:ctrlPr>
              </m:fPr>
              <m:num>
                <m:r>
                  <w:rPr>
                    <w:rFonts w:ascii="Cambria Math" w:hAnsi="Cambria Math"/>
                  </w:rPr>
                  <m:t>V</m:t>
                </m:r>
                <m:d>
                  <m:dPr>
                    <m:ctrlPr>
                      <w:rPr>
                        <w:rFonts w:ascii="Cambria Math" w:eastAsiaTheme="minorEastAsia" w:hAnsi="Cambria Math"/>
                      </w:rPr>
                    </m:ctrlPr>
                  </m:dPr>
                  <m:e>
                    <m:r>
                      <w:rPr>
                        <w:rFonts w:ascii="Cambria Math" w:hAnsi="Cambria Math"/>
                      </w:rPr>
                      <m:t>p</m:t>
                    </m:r>
                  </m:e>
                </m:d>
              </m:num>
              <m:den>
                <m:r>
                  <m:rPr>
                    <m:sty m:val="p"/>
                  </m:rPr>
                  <w:rPr>
                    <w:rFonts w:ascii="Cambria Math" w:hAnsi="Cambria Math"/>
                  </w:rPr>
                  <m:t>log⁡(</m:t>
                </m:r>
                <m:r>
                  <w:rPr>
                    <w:rFonts w:ascii="Cambria Math" w:hAnsi="Cambria Math"/>
                  </w:rPr>
                  <m:t>t</m:t>
                </m:r>
                <m:r>
                  <m:rPr>
                    <m:sty m:val="p"/>
                  </m:rPr>
                  <w:rPr>
                    <w:rFonts w:ascii="Cambria Math" w:hAnsi="Cambria Math"/>
                  </w:rPr>
                  <m:t>)</m:t>
                </m:r>
              </m:den>
            </m:f>
          </m:e>
        </m:d>
      </m:oMath>
      <w:r w:rsidR="0001702B">
        <w:rPr>
          <w:lang w:val="fr-FR"/>
        </w:rPr>
        <w:t xml:space="preserve">  </w:t>
      </w:r>
      <w:r w:rsidR="0001702B">
        <w:rPr>
          <w:lang w:val="fr-FR"/>
        </w:rPr>
        <w:tab/>
      </w:r>
      <w:r w:rsidR="0001702B">
        <w:rPr>
          <w:lang w:val="fr-FR"/>
        </w:rPr>
        <w:tab/>
      </w:r>
      <w:r w:rsidR="0001702B">
        <w:rPr>
          <w:lang w:val="fr-FR"/>
        </w:rPr>
        <w:tab/>
      </w:r>
      <w:r w:rsidR="0001702B">
        <w:rPr>
          <w:lang w:val="fr-FR"/>
        </w:rPr>
        <w:tab/>
      </w:r>
      <w:r w:rsidR="0001702B">
        <w:rPr>
          <w:lang w:val="fr-FR"/>
        </w:rPr>
        <w:tab/>
        <w:t xml:space="preserve"> (4)</w:t>
      </w:r>
    </w:p>
    <w:p w14:paraId="718B7283" w14:textId="77777777" w:rsidR="009F2233" w:rsidRPr="0001702B" w:rsidRDefault="009F2233" w:rsidP="0001702B">
      <w:pPr>
        <w:jc w:val="right"/>
        <w:rPr>
          <w:lang w:val="fr-FR" w:eastAsia="fr-FR"/>
        </w:rPr>
      </w:pPr>
    </w:p>
    <w:p w14:paraId="2AE4988C" w14:textId="6E05DF24" w:rsidR="00C23BB1" w:rsidRPr="001009B1" w:rsidRDefault="00C23BB1" w:rsidP="00C23BB1">
      <w:r w:rsidRPr="006C0BF1">
        <w:t>Lors d'un essai, cette pente présente une valeur minimale pendant la phase pseudo élastique et augmente jusqu'à un maximum (</w:t>
      </w:r>
      <w:r w:rsidR="00B216EB">
        <w:rPr>
          <w:lang w:val="fr-FR"/>
        </w:rPr>
        <w:t>Figure 3</w:t>
      </w:r>
      <w:r w:rsidRPr="006C0BF1">
        <w:t>a) avec une valeur plus faible observée pour le sable et les argiles r</w:t>
      </w:r>
      <w:r>
        <w:t>a</w:t>
      </w:r>
      <w:r w:rsidRPr="006C0BF1">
        <w:t>ides (</w:t>
      </w:r>
      <w:r w:rsidR="00B216EB">
        <w:rPr>
          <w:lang w:val="fr-FR"/>
        </w:rPr>
        <w:t>Figure 3</w:t>
      </w:r>
      <w:r w:rsidRPr="006C0BF1">
        <w:t>b). Les sols sensibles ou argileux donn</w:t>
      </w:r>
      <w:r>
        <w:t>e</w:t>
      </w:r>
      <w:r w:rsidRPr="006C0BF1">
        <w:t xml:space="preserve">nt les valeurs les plus élevées. </w:t>
      </w:r>
      <w:r w:rsidRPr="001009B1">
        <w:t>À la fin de l'essai</w:t>
      </w:r>
      <w:r>
        <w:t>, une discrimination plus importante semble apparaître.</w:t>
      </w:r>
    </w:p>
    <w:p w14:paraId="505E9D18" w14:textId="38682C4B" w:rsidR="00C23BB1" w:rsidRPr="001009B1" w:rsidRDefault="00C23BB1" w:rsidP="00C23BB1">
      <w:pPr>
        <w:pStyle w:val="Corpsdetexte"/>
      </w:pPr>
      <w:r w:rsidRPr="001009B1">
        <w:t>a)</w:t>
      </w:r>
      <w:r>
        <w:rPr>
          <w:noProof/>
          <w:lang w:val="fr-FR" w:eastAsia="ja-JP" w:bidi="ar-SA"/>
        </w:rPr>
        <w:drawing>
          <wp:inline distT="0" distB="0" distL="0" distR="0" wp14:anchorId="7B21FBD7" wp14:editId="1784F703">
            <wp:extent cx="2611983" cy="2201875"/>
            <wp:effectExtent l="0" t="0" r="0" b="825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3594"/>
                    <a:stretch/>
                  </pic:blipFill>
                  <pic:spPr bwMode="auto">
                    <a:xfrm>
                      <a:off x="0" y="0"/>
                      <a:ext cx="2624518" cy="2212442"/>
                    </a:xfrm>
                    <a:prstGeom prst="rect">
                      <a:avLst/>
                    </a:prstGeom>
                    <a:noFill/>
                    <a:ln>
                      <a:noFill/>
                    </a:ln>
                    <a:extLst>
                      <a:ext uri="{53640926-AAD7-44D8-BBD7-CCE9431645EC}">
                        <a14:shadowObscured xmlns:a14="http://schemas.microsoft.com/office/drawing/2010/main"/>
                      </a:ext>
                    </a:extLst>
                  </pic:spPr>
                </pic:pic>
              </a:graphicData>
            </a:graphic>
          </wp:inline>
        </w:drawing>
      </w:r>
      <w:r w:rsidRPr="001009B1">
        <w:t xml:space="preserve"> b)</w:t>
      </w:r>
      <w:r w:rsidR="00BE1A84">
        <w:rPr>
          <w:noProof/>
          <w:lang w:val="fr-FR" w:eastAsia="ja-JP" w:bidi="ar-SA"/>
        </w:rPr>
        <w:drawing>
          <wp:inline distT="0" distB="0" distL="0" distR="0" wp14:anchorId="189C8EE4" wp14:editId="50EBDFB4">
            <wp:extent cx="2882189" cy="219508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2"/>
                    <a:stretch/>
                  </pic:blipFill>
                  <pic:spPr bwMode="auto">
                    <a:xfrm>
                      <a:off x="0" y="0"/>
                      <a:ext cx="2891822" cy="2202417"/>
                    </a:xfrm>
                    <a:prstGeom prst="rect">
                      <a:avLst/>
                    </a:prstGeom>
                    <a:noFill/>
                    <a:ln>
                      <a:noFill/>
                    </a:ln>
                    <a:extLst>
                      <a:ext uri="{53640926-AAD7-44D8-BBD7-CCE9431645EC}">
                        <a14:shadowObscured xmlns:a14="http://schemas.microsoft.com/office/drawing/2010/main"/>
                      </a:ext>
                    </a:extLst>
                  </pic:spPr>
                </pic:pic>
              </a:graphicData>
            </a:graphic>
          </wp:inline>
        </w:drawing>
      </w:r>
    </w:p>
    <w:p w14:paraId="58BD817A" w14:textId="0D00D6DF" w:rsidR="00C23BB1" w:rsidRPr="001009B1" w:rsidRDefault="00C23BB1" w:rsidP="00C23BB1">
      <w:pPr>
        <w:pStyle w:val="Lgendefigure"/>
        <w:rPr>
          <w:lang w:eastAsia="fr-FR"/>
        </w:rPr>
      </w:pPr>
      <w:r w:rsidRPr="001009B1">
        <w:t>Évolution d</w:t>
      </w:r>
      <w:r>
        <w:t>u paramètre A</w:t>
      </w:r>
      <w:r w:rsidRPr="00CB6D1D">
        <w:rPr>
          <w:vertAlign w:val="subscript"/>
        </w:rPr>
        <w:t>0</w:t>
      </w:r>
      <w:r>
        <w:t xml:space="preserve"> lors d'un essai</w:t>
      </w:r>
      <w:r w:rsidRPr="001009B1">
        <w:t xml:space="preserve"> (sable, profondeur 1m, Decize, France) et pour 13 sites différents</w:t>
      </w:r>
    </w:p>
    <w:p w14:paraId="791D0467" w14:textId="36F34BD1" w:rsidR="00C23BB1" w:rsidRDefault="00C23BB1" w:rsidP="00C23BB1">
      <w:r w:rsidRPr="006C0BF1">
        <w:t xml:space="preserve">La </w:t>
      </w:r>
      <w:r w:rsidR="00B216EB">
        <w:rPr>
          <w:lang w:val="fr-FR"/>
        </w:rPr>
        <w:t>Figure 4a</w:t>
      </w:r>
      <w:r w:rsidRPr="006C0BF1">
        <w:t xml:space="preserve"> montre la relation expérimentale obtenue entre </w:t>
      </w:r>
      <w:r>
        <w:t>les valeurs du coefficient A</w:t>
      </w:r>
      <w:r w:rsidRPr="00CB6D1D">
        <w:rPr>
          <w:vertAlign w:val="subscript"/>
        </w:rPr>
        <w:t>0</w:t>
      </w:r>
      <w:r>
        <w:t xml:space="preserve"> et la fraction fine des couches de sol</w:t>
      </w:r>
      <w:r w:rsidRPr="006C0BF1">
        <w:t>.</w:t>
      </w:r>
      <w:r>
        <w:t xml:space="preserve"> Une relation linéaire semble donner une bonne approximation de l'évolution observée. </w:t>
      </w:r>
      <w:r w:rsidRPr="006C0BF1">
        <w:t xml:space="preserve"> Un calage a été réalisé pour treize sites pour lesquels la caractérisation physique des sols et plus particulièrement la courbe granulométrique et la valeur de la fraction fine</w:t>
      </w:r>
      <w:r w:rsidR="0076219F">
        <w:rPr>
          <w:lang w:val="fr-FR"/>
        </w:rPr>
        <w:t>,</w:t>
      </w:r>
      <w:r w:rsidRPr="006C0BF1">
        <w:t xml:space="preserve"> </w:t>
      </w:r>
      <w:r w:rsidR="0076219F">
        <w:rPr>
          <w:lang w:val="fr-FR"/>
        </w:rPr>
        <w:t>étaient</w:t>
      </w:r>
      <w:r w:rsidRPr="006C0BF1">
        <w:t xml:space="preserve"> connue</w:t>
      </w:r>
      <w:r w:rsidR="0076219F">
        <w:rPr>
          <w:lang w:val="fr-FR"/>
        </w:rPr>
        <w:t>s</w:t>
      </w:r>
      <w:r w:rsidRPr="006C0BF1">
        <w:t>.</w:t>
      </w:r>
      <w:r>
        <w:t xml:space="preserve"> </w:t>
      </w:r>
    </w:p>
    <w:p w14:paraId="693ED083" w14:textId="77777777" w:rsidR="00C23BB1" w:rsidRDefault="00C23BB1" w:rsidP="00C23BB1"/>
    <w:p w14:paraId="29D21D6A" w14:textId="0287E0EB" w:rsidR="00C23BB1" w:rsidRPr="0001702B" w:rsidRDefault="00C23BB1" w:rsidP="0001702B">
      <w:pPr>
        <w:jc w:val="right"/>
        <w:rPr>
          <w:lang w:val="fr-FR" w:eastAsia="fr-FR"/>
        </w:rPr>
      </w:pPr>
      <m:oMath>
        <m:r>
          <w:rPr>
            <w:rFonts w:ascii="Cambria Math" w:hAnsi="Cambria Math"/>
            <w:lang w:eastAsia="ar-SA"/>
          </w:rPr>
          <m:t>FC</m:t>
        </m:r>
        <m:d>
          <m:dPr>
            <m:ctrlPr>
              <w:rPr>
                <w:rFonts w:ascii="Cambria Math" w:hAnsi="Cambria Math"/>
                <w:lang w:eastAsia="ar-SA"/>
              </w:rPr>
            </m:ctrlPr>
          </m:dPr>
          <m:e>
            <m:r>
              <m:rPr>
                <m:sty m:val="p"/>
              </m:rPr>
              <w:rPr>
                <w:rFonts w:ascii="Cambria Math" w:hAnsi="Cambria Math"/>
                <w:lang w:eastAsia="ar-SA"/>
              </w:rPr>
              <m:t>%</m:t>
            </m:r>
          </m:e>
        </m:d>
        <m:r>
          <m:rPr>
            <m:sty m:val="p"/>
          </m:rPr>
          <w:rPr>
            <w:rFonts w:ascii="Cambria Math" w:hAnsi="Cambria Math"/>
            <w:lang w:eastAsia="ar-SA"/>
          </w:rPr>
          <m:t>=2∙</m:t>
        </m:r>
        <m:sSub>
          <m:sSubPr>
            <m:ctrlPr>
              <w:rPr>
                <w:rFonts w:ascii="Cambria Math" w:hAnsi="Cambria Math"/>
                <w:lang w:eastAsia="ar-SA"/>
              </w:rPr>
            </m:ctrlPr>
          </m:sSubPr>
          <m:e>
            <m:r>
              <w:rPr>
                <w:rFonts w:ascii="Cambria Math" w:hAnsi="Cambria Math"/>
              </w:rPr>
              <m:t>A</m:t>
            </m:r>
          </m:e>
          <m:sub>
            <m:r>
              <m:rPr>
                <m:sty m:val="p"/>
              </m:rPr>
              <w:rPr>
                <w:rFonts w:ascii="Cambria Math" w:hAnsi="Cambria Math"/>
                <w:vertAlign w:val="subscript"/>
              </w:rPr>
              <m:t>0</m:t>
            </m:r>
          </m:sub>
        </m:sSub>
        <m:r>
          <m:rPr>
            <m:sty m:val="p"/>
          </m:rPr>
          <w:rPr>
            <w:rFonts w:ascii="Cambria Math" w:hAnsi="Cambria Math"/>
            <w:lang w:eastAsia="ar-SA"/>
          </w:rPr>
          <m:t>-30</m:t>
        </m:r>
      </m:oMath>
      <w:r w:rsidR="0001702B">
        <w:rPr>
          <w:lang w:val="fr-FR" w:eastAsia="ar-SA"/>
        </w:rPr>
        <w:t xml:space="preserve">       </w:t>
      </w:r>
      <w:r w:rsidR="0001702B">
        <w:rPr>
          <w:lang w:val="fr-FR" w:eastAsia="ar-SA"/>
        </w:rPr>
        <w:tab/>
      </w:r>
      <w:r w:rsidR="0001702B">
        <w:rPr>
          <w:lang w:val="fr-FR" w:eastAsia="ar-SA"/>
        </w:rPr>
        <w:tab/>
      </w:r>
      <w:r w:rsidR="0001702B">
        <w:rPr>
          <w:lang w:val="fr-FR" w:eastAsia="ar-SA"/>
        </w:rPr>
        <w:tab/>
      </w:r>
      <w:r w:rsidR="0001702B">
        <w:rPr>
          <w:lang w:val="fr-FR" w:eastAsia="ar-SA"/>
        </w:rPr>
        <w:tab/>
        <w:t>(5)</w:t>
      </w:r>
    </w:p>
    <w:p w14:paraId="40B3D914" w14:textId="77777777" w:rsidR="00143609" w:rsidRPr="00143609" w:rsidRDefault="00143609" w:rsidP="00143609"/>
    <w:p w14:paraId="4D450200" w14:textId="77777777" w:rsidR="00C23BB1" w:rsidRPr="001009B1" w:rsidRDefault="00C23BB1" w:rsidP="003007F5">
      <w:pPr>
        <w:pStyle w:val="Paragraphedeliste"/>
        <w:rPr>
          <w:lang w:eastAsia="fr-FR"/>
        </w:rPr>
      </w:pPr>
      <w:r w:rsidRPr="001009B1">
        <w:rPr>
          <w:lang w:eastAsia="fr-FR"/>
        </w:rPr>
        <w:t>a)</w:t>
      </w:r>
      <w:r>
        <w:rPr>
          <w:noProof/>
          <w:lang w:val="fr-FR" w:eastAsia="ja-JP"/>
        </w:rPr>
        <w:drawing>
          <wp:inline distT="0" distB="0" distL="0" distR="0" wp14:anchorId="2616BFF9" wp14:editId="5700B1E4">
            <wp:extent cx="2874874" cy="2137948"/>
            <wp:effectExtent l="0" t="0" r="1905"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457" r="1489"/>
                    <a:stretch/>
                  </pic:blipFill>
                  <pic:spPr bwMode="auto">
                    <a:xfrm>
                      <a:off x="0" y="0"/>
                      <a:ext cx="2880740" cy="2142310"/>
                    </a:xfrm>
                    <a:prstGeom prst="rect">
                      <a:avLst/>
                    </a:prstGeom>
                    <a:noFill/>
                    <a:ln>
                      <a:noFill/>
                    </a:ln>
                    <a:extLst>
                      <a:ext uri="{53640926-AAD7-44D8-BBD7-CCE9431645EC}">
                        <a14:shadowObscured xmlns:a14="http://schemas.microsoft.com/office/drawing/2010/main"/>
                      </a:ext>
                    </a:extLst>
                  </pic:spPr>
                </pic:pic>
              </a:graphicData>
            </a:graphic>
          </wp:inline>
        </w:drawing>
      </w:r>
      <w:r w:rsidRPr="001009B1">
        <w:rPr>
          <w:lang w:eastAsia="fr-FR"/>
        </w:rPr>
        <w:t>b)</w:t>
      </w:r>
      <w:r>
        <w:rPr>
          <w:noProof/>
          <w:lang w:val="fr-FR" w:eastAsia="ja-JP"/>
        </w:rPr>
        <w:drawing>
          <wp:inline distT="0" distB="0" distL="0" distR="0" wp14:anchorId="1D0B8C3B" wp14:editId="5470586E">
            <wp:extent cx="2757830" cy="2156669"/>
            <wp:effectExtent l="0" t="0" r="4445"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33" r="2079"/>
                    <a:stretch/>
                  </pic:blipFill>
                  <pic:spPr bwMode="auto">
                    <a:xfrm>
                      <a:off x="0" y="0"/>
                      <a:ext cx="2766936" cy="2163790"/>
                    </a:xfrm>
                    <a:prstGeom prst="rect">
                      <a:avLst/>
                    </a:prstGeom>
                    <a:noFill/>
                    <a:ln>
                      <a:noFill/>
                    </a:ln>
                    <a:extLst>
                      <a:ext uri="{53640926-AAD7-44D8-BBD7-CCE9431645EC}">
                        <a14:shadowObscured xmlns:a14="http://schemas.microsoft.com/office/drawing/2010/main"/>
                      </a:ext>
                    </a:extLst>
                  </pic:spPr>
                </pic:pic>
              </a:graphicData>
            </a:graphic>
          </wp:inline>
        </w:drawing>
      </w:r>
    </w:p>
    <w:p w14:paraId="6B6A957C" w14:textId="10224013" w:rsidR="00C23BB1" w:rsidRDefault="00C23BB1" w:rsidP="00C23BB1">
      <w:pPr>
        <w:pStyle w:val="Lgendefigure"/>
      </w:pPr>
      <w:r>
        <w:t>Relation</w:t>
      </w:r>
      <w:r w:rsidRPr="001009B1">
        <w:t xml:space="preserve"> proposé</w:t>
      </w:r>
      <w:r>
        <w:t>e pour l'évolution du coefficient A</w:t>
      </w:r>
      <w:r w:rsidRPr="007E1EA0">
        <w:rPr>
          <w:vertAlign w:val="subscript"/>
        </w:rPr>
        <w:t>0</w:t>
      </w:r>
      <w:r>
        <w:t xml:space="preserve"> </w:t>
      </w:r>
      <w:r w:rsidRPr="001009B1">
        <w:t xml:space="preserve">avec </w:t>
      </w:r>
      <w:r>
        <w:t>la fraction fine</w:t>
      </w:r>
      <w:r w:rsidRPr="001009B1">
        <w:t xml:space="preserve"> et comparaison de </w:t>
      </w:r>
      <w:r>
        <w:t>la fraction fine</w:t>
      </w:r>
      <w:r w:rsidRPr="001009B1">
        <w:t xml:space="preserve"> prédit</w:t>
      </w:r>
      <w:r>
        <w:t>e</w:t>
      </w:r>
      <w:r w:rsidRPr="001009B1">
        <w:t xml:space="preserve"> et mesuré</w:t>
      </w:r>
      <w:r>
        <w:t>e</w:t>
      </w:r>
    </w:p>
    <w:p w14:paraId="72F5ADEE" w14:textId="045C1F3B" w:rsidR="00C23BB1" w:rsidRPr="001009B1" w:rsidRDefault="00C23BB1" w:rsidP="00C23BB1">
      <w:pPr>
        <w:rPr>
          <w:lang w:eastAsia="fr-FR"/>
        </w:rPr>
      </w:pPr>
      <w:r>
        <w:lastRenderedPageBreak/>
        <w:t xml:space="preserve">L'utilisation de la relation proposée </w:t>
      </w:r>
      <w:r w:rsidRPr="006C0BF1">
        <w:t xml:space="preserve">pour la détermination de la </w:t>
      </w:r>
      <w:r>
        <w:t>fraction fine</w:t>
      </w:r>
      <w:r w:rsidRPr="006C0BF1">
        <w:t xml:space="preserve"> avec le pressiomètre e</w:t>
      </w:r>
      <w:r>
        <w:t>s</w:t>
      </w:r>
      <w:r w:rsidRPr="006C0BF1">
        <w:t>t compar</w:t>
      </w:r>
      <w:r>
        <w:t>ée</w:t>
      </w:r>
      <w:r w:rsidRPr="006C0BF1">
        <w:t xml:space="preserve"> </w:t>
      </w:r>
      <w:r>
        <w:t>aux valeurs expérimentales</w:t>
      </w:r>
      <w:r w:rsidRPr="006C0BF1">
        <w:t>.</w:t>
      </w:r>
      <w:r>
        <w:t xml:space="preserve"> </w:t>
      </w:r>
      <w:r w:rsidR="00B216EB">
        <w:t>À</w:t>
      </w:r>
      <w:r>
        <w:t xml:space="preserve"> ce stade, une estimation avec une erreur de 10-20% est observée.</w:t>
      </w:r>
    </w:p>
    <w:p w14:paraId="360571D5" w14:textId="662A262A" w:rsidR="00C23BB1" w:rsidRPr="00C23BB1" w:rsidRDefault="00C23BB1" w:rsidP="00C23BB1">
      <w:pPr>
        <w:pStyle w:val="Titre1"/>
        <w:ind w:left="357" w:hanging="357"/>
        <w:rPr>
          <w:rStyle w:val="Corpsdetexte12Car"/>
          <w:szCs w:val="24"/>
        </w:rPr>
      </w:pPr>
      <w:r>
        <w:rPr>
          <w:lang w:val="fr-FR"/>
        </w:rPr>
        <w:t>Détermination de la courbe CSR avec un e</w:t>
      </w:r>
      <w:r w:rsidRPr="00C23BB1">
        <w:t xml:space="preserve">ssai pressiométrique </w:t>
      </w:r>
      <w:r>
        <w:rPr>
          <w:lang w:val="fr-FR"/>
        </w:rPr>
        <w:t>mul</w:t>
      </w:r>
      <w:r w:rsidR="0001702B">
        <w:rPr>
          <w:lang w:val="fr-FR"/>
        </w:rPr>
        <w:t>t</w:t>
      </w:r>
      <w:r>
        <w:rPr>
          <w:lang w:val="fr-FR"/>
        </w:rPr>
        <w:t>i</w:t>
      </w:r>
      <w:r w:rsidRPr="00C23BB1">
        <w:t>cycle</w:t>
      </w:r>
    </w:p>
    <w:p w14:paraId="67AACC81" w14:textId="24519148" w:rsidR="00C23BB1" w:rsidRPr="00C65C28" w:rsidRDefault="00C23BB1" w:rsidP="003007F5">
      <w:pPr>
        <w:pStyle w:val="Paragraphedeliste"/>
      </w:pPr>
      <w:r w:rsidRPr="00C65C28">
        <w:t xml:space="preserve">Dans le cadre des travaux financés par </w:t>
      </w:r>
      <w:r w:rsidR="009165E0">
        <w:rPr>
          <w:lang w:val="fr-FR"/>
        </w:rPr>
        <w:t>la</w:t>
      </w:r>
      <w:r w:rsidRPr="00C65C28">
        <w:t xml:space="preserve"> DGPR </w:t>
      </w:r>
      <w:r w:rsidR="009165E0">
        <w:rPr>
          <w:lang w:val="fr-FR"/>
        </w:rPr>
        <w:t xml:space="preserve">du Min. de la Transition </w:t>
      </w:r>
      <w:r w:rsidR="006E6ADE">
        <w:rPr>
          <w:lang w:val="fr-FR"/>
        </w:rPr>
        <w:t>Écologique</w:t>
      </w:r>
      <w:r w:rsidR="009165E0">
        <w:rPr>
          <w:lang w:val="fr-FR"/>
        </w:rPr>
        <w:t xml:space="preserve"> </w:t>
      </w:r>
      <w:r w:rsidRPr="00C65C28">
        <w:t xml:space="preserve">et le projet ANR ISOLATE, un type d'essais cycliques au pressiomètre a </w:t>
      </w:r>
      <w:r w:rsidR="009165E0">
        <w:rPr>
          <w:lang w:val="fr-FR"/>
        </w:rPr>
        <w:t>pu être</w:t>
      </w:r>
      <w:r w:rsidRPr="00C65C28">
        <w:t xml:space="preserve"> validé</w:t>
      </w:r>
      <w:r w:rsidR="009165E0" w:rsidRPr="009165E0">
        <w:t xml:space="preserve"> (Bouguerra, 1997) (Dupla J.-C. , 1995) (Dang, et al., 2019) (Karagiannopoulos, </w:t>
      </w:r>
      <w:r w:rsidR="009165E0">
        <w:rPr>
          <w:lang w:val="fr-FR"/>
        </w:rPr>
        <w:t>et al.</w:t>
      </w:r>
      <w:r w:rsidR="009165E0" w:rsidRPr="009165E0">
        <w:t xml:space="preserve"> 2020)</w:t>
      </w:r>
      <w:r w:rsidRPr="00C65C28">
        <w:t>. Cet essai de chargement cyclique est réalisé entre deux limites de pression p</w:t>
      </w:r>
      <w:r w:rsidRPr="00C65C28">
        <w:rPr>
          <w:vertAlign w:val="subscript"/>
        </w:rPr>
        <w:t>M</w:t>
      </w:r>
      <w:r w:rsidRPr="00C65C28">
        <w:t xml:space="preserve"> et p</w:t>
      </w:r>
      <w:r w:rsidRPr="00C65C28">
        <w:rPr>
          <w:vertAlign w:val="subscript"/>
        </w:rPr>
        <w:t>m</w:t>
      </w:r>
      <w:r w:rsidRPr="00C65C28">
        <w:t>. La limite inférieure p</w:t>
      </w:r>
      <w:r w:rsidRPr="00C65C28">
        <w:rPr>
          <w:vertAlign w:val="subscript"/>
        </w:rPr>
        <w:t>m</w:t>
      </w:r>
      <w:r w:rsidRPr="00C65C28">
        <w:t xml:space="preserve"> est généralement maintenue supérieure à la pression des terres au repos p'</w:t>
      </w:r>
      <w:r w:rsidRPr="00C65C28">
        <w:rPr>
          <w:vertAlign w:val="subscript"/>
        </w:rPr>
        <w:t>0</w:t>
      </w:r>
      <w:r w:rsidRPr="00C65C28">
        <w:t xml:space="preserve"> (</w:t>
      </w:r>
      <w:r w:rsidR="00B216EB">
        <w:rPr>
          <w:lang w:val="fr-FR"/>
        </w:rPr>
        <w:t>Figure 5</w:t>
      </w:r>
      <w:r w:rsidRPr="00C65C28">
        <w:t>).</w:t>
      </w:r>
    </w:p>
    <w:p w14:paraId="6F34839E" w14:textId="093644F6" w:rsidR="00C23BB1" w:rsidRPr="00C65C28" w:rsidRDefault="00C23BB1" w:rsidP="003007F5">
      <w:pPr>
        <w:pStyle w:val="Figure"/>
        <w:jc w:val="center"/>
      </w:pPr>
      <w:r w:rsidRPr="00C65C28">
        <w:rPr>
          <w:noProof/>
          <w:lang w:val="fr-FR" w:eastAsia="ja-JP"/>
        </w:rPr>
        <w:drawing>
          <wp:inline distT="0" distB="0" distL="0" distR="0" wp14:anchorId="49EF9D2B" wp14:editId="086D5AAF">
            <wp:extent cx="2100355" cy="1265451"/>
            <wp:effectExtent l="0" t="0" r="0" b="0"/>
            <wp:docPr id="15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6320" cy="1275070"/>
                    </a:xfrm>
                    <a:prstGeom prst="rect">
                      <a:avLst/>
                    </a:prstGeom>
                    <a:noFill/>
                    <a:ln>
                      <a:noFill/>
                    </a:ln>
                  </pic:spPr>
                </pic:pic>
              </a:graphicData>
            </a:graphic>
          </wp:inline>
        </w:drawing>
      </w:r>
    </w:p>
    <w:p w14:paraId="4CAA4A38" w14:textId="5BB7CDE1" w:rsidR="00C23BB1" w:rsidRPr="00C65C28" w:rsidRDefault="00C23BB1" w:rsidP="00C23BB1">
      <w:pPr>
        <w:pStyle w:val="Lgendefigure"/>
      </w:pPr>
      <w:bookmarkStart w:id="6" w:name="_Toc23868135"/>
      <w:r w:rsidRPr="00C65C28">
        <w:t>Programme de chargement cyclique appliqué avec l'appareil pressiométrique</w:t>
      </w:r>
      <w:bookmarkEnd w:id="6"/>
    </w:p>
    <w:p w14:paraId="3BEE3011" w14:textId="2985F548" w:rsidR="00C23BB1" w:rsidRPr="001D2A8A" w:rsidRDefault="00C23BB1" w:rsidP="00C23BB1">
      <w:pPr>
        <w:rPr>
          <w:lang w:val="fr-FR"/>
        </w:rPr>
      </w:pPr>
      <w:r w:rsidRPr="00C65C28">
        <w:t>Les essais sont réalisés en mode pression contrôlée avec une fréquence cyclique basée sur le type de sol afin de rester drainé en utilisant un niveau de contrainte prédéfini. Les cycles</w:t>
      </w:r>
      <w:r w:rsidR="005221E5">
        <w:rPr>
          <w:lang w:val="fr-FR"/>
        </w:rPr>
        <w:t xml:space="preserve"> ont</w:t>
      </w:r>
      <w:r w:rsidRPr="00C65C28">
        <w:t xml:space="preserve"> une fréquence variant de 0,01 à 0,05 Hz et un nombre de cycles égal à 50.</w:t>
      </w:r>
      <w:r w:rsidR="001D2A8A">
        <w:rPr>
          <w:lang w:val="fr-FR"/>
        </w:rPr>
        <w:t xml:space="preserve"> Lors du pilotage, la correction de résistance propre doit être intégrée avec une fonction appropriée afin de maintenir au niveau du sol des bornes de pression constantes.</w:t>
      </w:r>
    </w:p>
    <w:p w14:paraId="3BB6E154" w14:textId="47322ADE" w:rsidR="00C23BB1" w:rsidRPr="00C65C28" w:rsidRDefault="00C23BB1" w:rsidP="00C23BB1">
      <w:r w:rsidRPr="00C65C28">
        <w:t>La pression initiale p</w:t>
      </w:r>
      <w:r w:rsidRPr="00C65C28">
        <w:rPr>
          <w:vertAlign w:val="subscript"/>
        </w:rPr>
        <w:t>m</w:t>
      </w:r>
      <w:r w:rsidRPr="00C65C28">
        <w:t xml:space="preserve"> utilisée pour démarrer la phase cyclique du test est maintenue supérieure à la contrainte effective horizontale p</w:t>
      </w:r>
      <w:r w:rsidRPr="00C65C28">
        <w:rPr>
          <w:rFonts w:ascii="Times New Roman" w:hAnsi="Times New Roman"/>
        </w:rPr>
        <w:t>ʹ</w:t>
      </w:r>
      <w:r w:rsidRPr="00C65C28">
        <w:rPr>
          <w:vertAlign w:val="subscript"/>
        </w:rPr>
        <w:t>0</w:t>
      </w:r>
      <w:r w:rsidRPr="00C65C28">
        <w:t xml:space="preserve">, tandis que la pression maximale </w:t>
      </w:r>
      <w:r w:rsidRPr="00C65C28">
        <w:rPr>
          <w:rFonts w:ascii="Cambria Math" w:hAnsi="Cambria Math"/>
          <w:i/>
        </w:rPr>
        <w:t>p</w:t>
      </w:r>
      <w:r w:rsidRPr="00C65C28">
        <w:rPr>
          <w:rFonts w:ascii="Cambria Math" w:hAnsi="Cambria Math"/>
          <w:i/>
          <w:vertAlign w:val="subscript"/>
        </w:rPr>
        <w:t>M</w:t>
      </w:r>
      <w:r w:rsidRPr="00C65C28">
        <w:t xml:space="preserve"> est s</w:t>
      </w:r>
      <w:r w:rsidRPr="00C65C28">
        <w:rPr>
          <w:rFonts w:cs="Georgia"/>
        </w:rPr>
        <w:t>é</w:t>
      </w:r>
      <w:r w:rsidRPr="00C65C28">
        <w:t>lectionn</w:t>
      </w:r>
      <w:r w:rsidRPr="00C65C28">
        <w:rPr>
          <w:rFonts w:cs="Georgia"/>
        </w:rPr>
        <w:t>é</w:t>
      </w:r>
      <w:r w:rsidRPr="00C65C28">
        <w:t>e pour obtenir un rapport de contrainte sp</w:t>
      </w:r>
      <w:r w:rsidRPr="00C65C28">
        <w:rPr>
          <w:rFonts w:cs="Georgia"/>
        </w:rPr>
        <w:t>é</w:t>
      </w:r>
      <w:r w:rsidRPr="00C65C28">
        <w:t>cifique tel que d</w:t>
      </w:r>
      <w:r w:rsidRPr="00C65C28">
        <w:rPr>
          <w:rFonts w:cs="Georgia"/>
        </w:rPr>
        <w:t>é</w:t>
      </w:r>
      <w:r w:rsidRPr="00C65C28">
        <w:t>fini par (Dupla &amp; Canou, 2003). La pression p'</w:t>
      </w:r>
      <w:r w:rsidRPr="00C65C28">
        <w:rPr>
          <w:vertAlign w:val="subscript"/>
        </w:rPr>
        <w:t>0</w:t>
      </w:r>
      <w:r w:rsidRPr="00C65C28">
        <w:t xml:space="preserve"> est estim</w:t>
      </w:r>
      <w:r w:rsidRPr="00C65C28">
        <w:rPr>
          <w:rFonts w:cs="Georgia"/>
        </w:rPr>
        <w:t>é</w:t>
      </w:r>
      <w:r w:rsidRPr="00C65C28">
        <w:t xml:space="preserve">e </w:t>
      </w:r>
      <w:r w:rsidRPr="00C65C28">
        <w:rPr>
          <w:rFonts w:cs="Georgia"/>
        </w:rPr>
        <w:t>à</w:t>
      </w:r>
      <w:r w:rsidRPr="00C65C28">
        <w:t xml:space="preserve"> partir de r</w:t>
      </w:r>
      <w:r w:rsidRPr="00C65C28">
        <w:rPr>
          <w:rFonts w:cs="Georgia"/>
        </w:rPr>
        <w:t>é</w:t>
      </w:r>
      <w:r w:rsidRPr="00C65C28">
        <w:t>sultats d’essais d'expansion de type M</w:t>
      </w:r>
      <w:r w:rsidRPr="00C65C28">
        <w:rPr>
          <w:rFonts w:cs="Georgia"/>
        </w:rPr>
        <w:t>é</w:t>
      </w:r>
      <w:r w:rsidRPr="00C65C28">
        <w:t>nard ant</w:t>
      </w:r>
      <w:r w:rsidRPr="00C65C28">
        <w:rPr>
          <w:rFonts w:cs="Georgia"/>
        </w:rPr>
        <w:t>é</w:t>
      </w:r>
      <w:r w:rsidRPr="00C65C28">
        <w:t>rieurs à l'aide de la méthode proposée par Briaud en utilisant le point de courbure minimal lorsque la sonde recontacte la paroi du trou de forage (Hawkins, et al. 1990; Benoît et Lutenegger 1992</w:t>
      </w:r>
      <w:r w:rsidR="009165E0">
        <w:rPr>
          <w:lang w:val="fr-FR"/>
        </w:rPr>
        <w:t xml:space="preserve"> </w:t>
      </w:r>
      <w:r w:rsidR="009165E0">
        <w:t>; Briaud 1992</w:t>
      </w:r>
      <w:r w:rsidR="009165E0">
        <w:rPr>
          <w:lang w:val="fr-FR"/>
        </w:rPr>
        <w:t xml:space="preserve"> </w:t>
      </w:r>
      <w:r w:rsidR="009165E0">
        <w:t xml:space="preserve">; </w:t>
      </w:r>
      <w:r w:rsidRPr="00C65C28">
        <w:t>Cransac, et al. 2005).</w:t>
      </w:r>
    </w:p>
    <w:p w14:paraId="5F41D84B" w14:textId="37323174" w:rsidR="00C23BB1" w:rsidRDefault="00C23BB1" w:rsidP="001D2A8A">
      <w:r w:rsidRPr="00C65C28">
        <w:t xml:space="preserve">Pour l'essai au pressiomètre, le rapport de contrainte cyclique est défini de manière </w:t>
      </w:r>
      <w:r w:rsidR="0001702B">
        <w:rPr>
          <w:lang w:val="fr-FR"/>
        </w:rPr>
        <w:t xml:space="preserve">similaire </w:t>
      </w:r>
      <w:r w:rsidRPr="00C65C28">
        <w:t xml:space="preserve">qu'au laboratoire. C'est le rapport de l'amplitude simple </w:t>
      </w:r>
      <m:oMath>
        <m:r>
          <w:rPr>
            <w:rFonts w:ascii="Cambria Math" w:hAnsi="Cambria Math"/>
            <w:lang w:val="en-US"/>
          </w:rPr>
          <m:t>δ</m:t>
        </m:r>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r</m:t>
                    </m:r>
                  </m:sub>
                </m:sSub>
              </m:e>
            </m:d>
          </m:e>
          <m:sub>
            <m:r>
              <w:rPr>
                <w:rFonts w:ascii="Cambria Math" w:hAnsi="Cambria Math"/>
              </w:rPr>
              <m:t>cy</m:t>
            </m:r>
          </m:sub>
        </m:sSub>
      </m:oMath>
      <w:r w:rsidRPr="00C65C28">
        <w:t xml:space="preserve"> sur deux fois la contrainte au repos de la pression </w:t>
      </w:r>
      <w:r w:rsidR="0001702B">
        <w:rPr>
          <w:lang w:val="fr-FR"/>
        </w:rPr>
        <w:t>moyenne appliquée</w:t>
      </w:r>
      <w:r w:rsidRPr="00C65C28">
        <w:t xml:space="preserve"> réelle, </w:t>
      </w:r>
      <m:oMath>
        <m:sSub>
          <m:sSubPr>
            <m:ctrlPr>
              <w:rPr>
                <w:rFonts w:ascii="Cambria Math" w:hAnsi="Cambria Math"/>
                <w:i/>
              </w:rPr>
            </m:ctrlPr>
          </m:sSubPr>
          <m:e>
            <m:r>
              <w:rPr>
                <w:rFonts w:ascii="Cambria Math" w:hAnsi="Cambria Math"/>
              </w:rPr>
              <m:t>σ</m:t>
            </m:r>
          </m:e>
          <m:sub>
            <m:r>
              <w:rPr>
                <w:rFonts w:ascii="Cambria Math" w:hAnsi="Cambria Math"/>
              </w:rPr>
              <m:t>H;m</m:t>
            </m:r>
            <m:r>
              <w:rPr>
                <w:rFonts w:ascii="Cambria Math" w:hAnsi="Cambria Math"/>
                <w:lang w:val="en-US"/>
              </w:rPr>
              <m:t>ean</m:t>
            </m:r>
          </m:sub>
        </m:sSub>
      </m:oMath>
      <w:r w:rsidRPr="00C65C28">
        <w:t xml:space="preserve"> </w:t>
      </w:r>
      <w:r w:rsidR="0001702B">
        <w:rPr>
          <w:lang w:val="fr-FR"/>
        </w:rPr>
        <w:t>(</w:t>
      </w:r>
      <w:r w:rsidRPr="00C65C28">
        <w:t xml:space="preserve">équation </w:t>
      </w:r>
      <w:r w:rsidR="0001702B">
        <w:rPr>
          <w:lang w:val="fr-FR"/>
        </w:rPr>
        <w:t>6)</w:t>
      </w:r>
      <w:r w:rsidRPr="00C65C28">
        <w:t xml:space="preserve"> :</w:t>
      </w:r>
    </w:p>
    <w:p w14:paraId="1B9FEE28" w14:textId="77777777" w:rsidR="009F2233" w:rsidRPr="00C65C28" w:rsidRDefault="009F2233" w:rsidP="001D2A8A"/>
    <w:p w14:paraId="7C13ACAE" w14:textId="7FB7A49B" w:rsidR="00C23BB1" w:rsidRPr="00C65C28" w:rsidRDefault="005918AE" w:rsidP="0001702B">
      <w:pPr>
        <w:jc w:val="right"/>
      </w:pPr>
      <m:oMath>
        <m:sSub>
          <m:sSubPr>
            <m:ctrlPr>
              <w:rPr>
                <w:rFonts w:ascii="Cambria Math" w:hAnsi="Cambria Math"/>
              </w:rPr>
            </m:ctrlPr>
          </m:sSubPr>
          <m:e>
            <m:r>
              <w:rPr>
                <w:rFonts w:ascii="Cambria Math" w:hAnsi="Cambria Math"/>
              </w:rPr>
              <m:t>CSR</m:t>
            </m:r>
          </m:e>
          <m:sub>
            <m:r>
              <w:rPr>
                <w:rFonts w:ascii="Cambria Math" w:hAnsi="Cambria Math"/>
              </w:rPr>
              <m:t>PMT</m:t>
            </m:r>
          </m:sub>
        </m:sSub>
        <m:r>
          <m:rPr>
            <m:sty m:val="p"/>
          </m:rPr>
          <w:rPr>
            <w:rFonts w:ascii="Cambria Math" w:hAnsi="Cambria Math"/>
          </w:rPr>
          <m:t>=</m:t>
        </m:r>
        <m:f>
          <m:fPr>
            <m:ctrlPr>
              <w:rPr>
                <w:rFonts w:ascii="Cambria Math" w:hAnsi="Cambria Math"/>
                <w:lang w:val="en-US"/>
              </w:rPr>
            </m:ctrlPr>
          </m:fPr>
          <m:num>
            <m:r>
              <w:rPr>
                <w:rFonts w:ascii="Cambria Math" w:hAnsi="Cambria Math"/>
                <w:lang w:val="en-US"/>
              </w:rPr>
              <m:t>δ</m:t>
            </m:r>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r</m:t>
                        </m:r>
                      </m:sub>
                    </m:sSub>
                  </m:e>
                </m:d>
              </m:e>
              <m:sub>
                <m:r>
                  <w:rPr>
                    <w:rFonts w:ascii="Cambria Math" w:hAnsi="Cambria Math"/>
                  </w:rPr>
                  <m:t>cy</m:t>
                </m:r>
              </m:sub>
            </m:sSub>
          </m:num>
          <m:den>
            <m:sSub>
              <m:sSubPr>
                <m:ctrlPr>
                  <w:rPr>
                    <w:rFonts w:ascii="Cambria Math" w:hAnsi="Cambria Math"/>
                    <w:i/>
                  </w:rPr>
                </m:ctrlPr>
              </m:sSubPr>
              <m:e>
                <m:r>
                  <m:rPr>
                    <m:sty m:val="p"/>
                  </m:rPr>
                  <w:rPr>
                    <w:rFonts w:ascii="Cambria Math" w:hAnsi="Cambria Math"/>
                    <w:lang w:val="en-US"/>
                  </w:rPr>
                  <m:t>2∙</m:t>
                </m:r>
                <m:r>
                  <w:rPr>
                    <w:rFonts w:ascii="Cambria Math" w:hAnsi="Cambria Math"/>
                  </w:rPr>
                  <m:t>σ</m:t>
                </m:r>
              </m:e>
              <m:sub>
                <m:r>
                  <w:rPr>
                    <w:rFonts w:ascii="Cambria Math" w:hAnsi="Cambria Math"/>
                  </w:rPr>
                  <m:t>H;m</m:t>
                </m:r>
                <m:r>
                  <w:rPr>
                    <w:rFonts w:ascii="Cambria Math" w:hAnsi="Cambria Math"/>
                    <w:lang w:val="en-US"/>
                  </w:rPr>
                  <m:t>ean</m:t>
                </m:r>
              </m:sub>
            </m:sSub>
            <m:r>
              <m:rPr>
                <m:sty m:val="p"/>
              </m:rPr>
              <w:rPr>
                <w:rFonts w:ascii="Cambria Math" w:hAnsi="Cambria Math"/>
                <w:lang w:val="en-US"/>
              </w:rPr>
              <m:t xml:space="preserve"> </m:t>
            </m:r>
          </m:den>
        </m:f>
        <m:r>
          <w:rPr>
            <w:rFonts w:ascii="Cambria Math" w:hAnsi="Cambria Math"/>
            <w:lang w:val="en-US"/>
          </w:rPr>
          <m:t>=</m:t>
        </m:r>
        <m:f>
          <m:fPr>
            <m:ctrlPr>
              <w:rPr>
                <w:rFonts w:ascii="Cambria Math" w:hAnsi="Cambria Math"/>
                <w:lang w:val="en-US"/>
              </w:rPr>
            </m:ctrlPr>
          </m:fPr>
          <m:num>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num>
          <m:den>
            <m:r>
              <m:rPr>
                <m:sty m:val="p"/>
              </m:rPr>
              <w:rPr>
                <w:rFonts w:ascii="Cambria Math" w:hAnsi="Cambria Math"/>
                <w:lang w:val="en-US"/>
              </w:rPr>
              <m:t>2∙</m:t>
            </m:r>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r>
              <w:rPr>
                <w:rFonts w:ascii="Cambria Math" w:hAnsi="Cambria Math"/>
                <w:lang w:val="en-US"/>
              </w:rPr>
              <m:t>)</m:t>
            </m:r>
            <m:r>
              <m:rPr>
                <m:sty m:val="p"/>
              </m:rPr>
              <w:rPr>
                <w:rFonts w:ascii="Cambria Math" w:hAnsi="Cambria Math"/>
                <w:lang w:val="en-US"/>
              </w:rPr>
              <m:t xml:space="preserve"> </m:t>
            </m:r>
          </m:den>
        </m:f>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m:rPr>
                <m:sty m:val="p"/>
              </m:rPr>
              <w:rPr>
                <w:rFonts w:ascii="Cambria Math" w:hAnsi="Cambria Math"/>
                <w:lang w:val="en-US"/>
              </w:rPr>
              <m:t>2∙</m:t>
            </m:r>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r>
              <m:rPr>
                <m:sty m:val="p"/>
              </m:rPr>
              <w:rPr>
                <w:rFonts w:ascii="Cambria Math" w:hAnsi="Cambria Math"/>
                <w:lang w:val="en-US"/>
              </w:rPr>
              <m:t xml:space="preserve"> </m:t>
            </m:r>
          </m:den>
        </m:f>
      </m:oMath>
      <w:r w:rsidR="0001702B">
        <w:rPr>
          <w:lang w:val="en-US"/>
        </w:rPr>
        <w:tab/>
      </w:r>
      <w:r w:rsidR="0001702B">
        <w:rPr>
          <w:lang w:val="en-US"/>
        </w:rPr>
        <w:tab/>
      </w:r>
      <w:r w:rsidR="0001702B">
        <w:rPr>
          <w:lang w:val="en-US"/>
        </w:rPr>
        <w:tab/>
      </w:r>
      <w:r w:rsidR="0001702B">
        <w:rPr>
          <w:lang w:val="en-US"/>
        </w:rPr>
        <w:tab/>
        <w:t>(6)</w:t>
      </w:r>
    </w:p>
    <w:p w14:paraId="19D4890C" w14:textId="77777777" w:rsidR="00C23BB1" w:rsidRPr="00C65C28" w:rsidRDefault="00C23BB1" w:rsidP="00C23BB1"/>
    <w:p w14:paraId="099A5253" w14:textId="71438C6B" w:rsidR="00C23BB1" w:rsidRPr="00C65C28" w:rsidRDefault="009F2233" w:rsidP="00C23BB1">
      <w:r w:rsidRPr="00C65C28">
        <w:t xml:space="preserve">Lors d'un essai cyclique au pressiomètre, la liquéfaction est définie de manière similaire à l'essai triaxial. </w:t>
      </w:r>
      <w:r w:rsidR="00C23BB1" w:rsidRPr="00C65C28">
        <w:t xml:space="preserve">Dans l'essai triaxial, la rupture est généralement définie soit lorsque l'éprouvette atteint la liquéfaction (Δu = </w:t>
      </w:r>
      <w:r w:rsidR="00C23BB1" w:rsidRPr="00C65C28">
        <w:rPr>
          <w:rFonts w:ascii="Symbol" w:hAnsi="Symbol"/>
        </w:rPr>
        <w:t></w:t>
      </w:r>
      <w:r w:rsidR="00C23BB1" w:rsidRPr="00C65C28">
        <w:t>'</w:t>
      </w:r>
      <w:r w:rsidR="00C23BB1" w:rsidRPr="009F2233">
        <w:rPr>
          <w:vertAlign w:val="subscript"/>
        </w:rPr>
        <w:t>3c</w:t>
      </w:r>
      <w:r w:rsidR="00C23BB1" w:rsidRPr="00C65C28">
        <w:t>), soit à une déformation axiale en double amplitude de 5% att</w:t>
      </w:r>
      <w:r w:rsidR="00C23BB1">
        <w:t>einte en 20 cycles (Ishihara K.</w:t>
      </w:r>
      <w:r w:rsidR="00C23BB1" w:rsidRPr="00C65C28">
        <w:t>, 1993). Ce dernier critère est utilisé ici. Pour l'application au</w:t>
      </w:r>
      <w:r w:rsidR="005221E5">
        <w:t xml:space="preserve"> pressiomètre préforé sous boue</w:t>
      </w:r>
      <w:r>
        <w:rPr>
          <w:lang w:val="fr-FR"/>
        </w:rPr>
        <w:t>,</w:t>
      </w:r>
      <w:r w:rsidR="00C23BB1" w:rsidRPr="00C65C28">
        <w:t xml:space="preserve"> la déformation radiale de référence est prise égale à 21%.</w:t>
      </w:r>
    </w:p>
    <w:p w14:paraId="00550024" w14:textId="77777777" w:rsidR="00C23BB1" w:rsidRPr="00C65C28" w:rsidRDefault="00C23BB1" w:rsidP="00C23BB1">
      <w:pPr>
        <w:rPr>
          <w:rStyle w:val="tlid-translation"/>
        </w:rPr>
      </w:pPr>
      <w:r w:rsidRPr="00C65C28">
        <w:rPr>
          <w:rStyle w:val="tlid-translation"/>
        </w:rPr>
        <w:t>Les résultats sont analysés comme décrit dans</w:t>
      </w:r>
      <w:r w:rsidRPr="00C65C28">
        <w:t xml:space="preserve"> (Dupla &amp; Canou, 2003)</w:t>
      </w:r>
      <w:r w:rsidRPr="00C65C28">
        <w:rPr>
          <w:rStyle w:val="tlid-translation"/>
        </w:rPr>
        <w:t xml:space="preserve">. Une courbe enveloppe est calée sur la courbe pression-volume (appelée </w:t>
      </w:r>
      <w:r w:rsidRPr="00C65C28">
        <w:t>courbe d'accumulation)</w:t>
      </w:r>
      <w:r w:rsidRPr="00C65C28">
        <w:rPr>
          <w:rStyle w:val="tlid-translation"/>
        </w:rPr>
        <w:t>.</w:t>
      </w:r>
    </w:p>
    <w:p w14:paraId="57F30B37" w14:textId="0D4C072A" w:rsidR="00C23BB1" w:rsidRDefault="005C54A3" w:rsidP="00C23BB1">
      <w:r w:rsidRPr="00C65C28">
        <w:t xml:space="preserve">Comme présenté sur la </w:t>
      </w:r>
      <w:r>
        <w:rPr>
          <w:lang w:val="fr-FR"/>
        </w:rPr>
        <w:t>Figure 6</w:t>
      </w:r>
      <w:r w:rsidRPr="00C65C28">
        <w:t xml:space="preserve">, les essais pressiométriques sont effectués à différentes amplitudes de contrainte Δp, et les courbes d'évolution du </w:t>
      </w:r>
      <w:r w:rsidRPr="00C65C28">
        <w:rPr>
          <w:rFonts w:ascii="Cambria Math" w:hAnsi="Cambria Math"/>
          <w:i/>
        </w:rPr>
        <w:t>CSR</w:t>
      </w:r>
      <w:r w:rsidRPr="00C65C28">
        <w:t xml:space="preserve"> qui en résultent </w:t>
      </w:r>
      <w:r w:rsidRPr="00C65C28">
        <w:lastRenderedPageBreak/>
        <w:t xml:space="preserve">sont tracées en fonction du nombre de cycles N jusqu'à la </w:t>
      </w:r>
      <w:r>
        <w:rPr>
          <w:lang w:val="fr-FR"/>
        </w:rPr>
        <w:t>rupture</w:t>
      </w:r>
      <w:r w:rsidRPr="00C65C28">
        <w:t xml:space="preserve">. Pour les cas où seules les variations de volume sont enregistrées en supposant des conditions de drainage, Dupla </w:t>
      </w:r>
      <w:r>
        <w:t xml:space="preserve">et Canou (2003) </w:t>
      </w:r>
      <w:r w:rsidRPr="00C65C28">
        <w:t>propose</w:t>
      </w:r>
      <w:r>
        <w:t>nt</w:t>
      </w:r>
      <w:r w:rsidRPr="00C65C28">
        <w:t xml:space="preserve"> d'utiliser l'enveloppe de volume en fonction du nombre de cycles équipée d'une loi de puissance pour définir la défaillance pour un ε</w:t>
      </w:r>
      <w:r w:rsidRPr="00C65C28">
        <w:rPr>
          <w:vertAlign w:val="subscript"/>
        </w:rPr>
        <w:t>r</w:t>
      </w:r>
      <w:r w:rsidRPr="00C65C28">
        <w:t xml:space="preserve"> donné.</w:t>
      </w:r>
    </w:p>
    <w:p w14:paraId="38BB93ED" w14:textId="77777777" w:rsidR="004B2C32" w:rsidRPr="00C65C28" w:rsidRDefault="004B2C32" w:rsidP="00C23BB1">
      <w:pPr>
        <w:rPr>
          <w:rStyle w:val="tlid-translation"/>
        </w:rPr>
      </w:pPr>
    </w:p>
    <w:p w14:paraId="22022848" w14:textId="77777777" w:rsidR="00C23BB1" w:rsidRPr="00C65C28" w:rsidRDefault="00C23BB1" w:rsidP="003007F5">
      <w:pPr>
        <w:pStyle w:val="Paragraphedeliste"/>
      </w:pPr>
      <w:bookmarkStart w:id="7" w:name="_Toc23868136"/>
      <w:r w:rsidRPr="00C65C28">
        <w:rPr>
          <w:noProof/>
          <w:lang w:val="fr-FR" w:eastAsia="ja-JP"/>
        </w:rPr>
        <w:drawing>
          <wp:inline distT="0" distB="0" distL="0" distR="0" wp14:anchorId="663C99CE" wp14:editId="3DE55073">
            <wp:extent cx="4045975" cy="1317894"/>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2288" cy="1319950"/>
                    </a:xfrm>
                    <a:prstGeom prst="rect">
                      <a:avLst/>
                    </a:prstGeom>
                    <a:noFill/>
                    <a:ln>
                      <a:noFill/>
                    </a:ln>
                  </pic:spPr>
                </pic:pic>
              </a:graphicData>
            </a:graphic>
          </wp:inline>
        </w:drawing>
      </w:r>
      <w:r w:rsidRPr="00C65C28">
        <w:rPr>
          <w:noProof/>
          <w:lang w:val="fr-FR" w:eastAsia="ja-JP"/>
        </w:rPr>
        <w:drawing>
          <wp:inline distT="0" distB="0" distL="0" distR="0" wp14:anchorId="214C12BD" wp14:editId="7E7790A8">
            <wp:extent cx="1973018" cy="1007745"/>
            <wp:effectExtent l="0" t="0" r="8255" b="190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8604" cy="1015706"/>
                    </a:xfrm>
                    <a:prstGeom prst="rect">
                      <a:avLst/>
                    </a:prstGeom>
                    <a:noFill/>
                    <a:ln>
                      <a:noFill/>
                    </a:ln>
                  </pic:spPr>
                </pic:pic>
              </a:graphicData>
            </a:graphic>
          </wp:inline>
        </w:drawing>
      </w:r>
    </w:p>
    <w:p w14:paraId="47D01837" w14:textId="35621DE9" w:rsidR="00C23BB1" w:rsidRPr="005221E5" w:rsidRDefault="00C23BB1" w:rsidP="00C23BB1">
      <w:pPr>
        <w:pStyle w:val="Lgendefigure"/>
        <w:rPr>
          <w:lang w:val="fr-FR"/>
        </w:rPr>
      </w:pPr>
      <w:r w:rsidRPr="00C65C28">
        <w:t xml:space="preserve">Comportement cyclique et concept </w:t>
      </w:r>
      <w:bookmarkEnd w:id="7"/>
      <w:r w:rsidR="005221E5">
        <w:rPr>
          <w:lang w:val="fr-FR"/>
        </w:rPr>
        <w:t>CSR</w:t>
      </w:r>
    </w:p>
    <w:p w14:paraId="153DC974" w14:textId="40B1B2E8" w:rsidR="00C23BB1" w:rsidRPr="005221E5" w:rsidRDefault="00C23BB1" w:rsidP="00C23BB1">
      <w:pPr>
        <w:rPr>
          <w:lang w:val="fr-FR"/>
        </w:rPr>
      </w:pPr>
      <w:r w:rsidRPr="00C65C28">
        <w:t xml:space="preserve">Dans la </w:t>
      </w:r>
      <w:r w:rsidR="00B216EB">
        <w:rPr>
          <w:lang w:val="fr-FR"/>
        </w:rPr>
        <w:t>Figure 6</w:t>
      </w:r>
      <w:r w:rsidRPr="00C65C28">
        <w:t>, N</w:t>
      </w:r>
      <w:r w:rsidRPr="00C65C28">
        <w:rPr>
          <w:vertAlign w:val="subscript"/>
        </w:rPr>
        <w:t>L</w:t>
      </w:r>
      <w:r w:rsidRPr="00C65C28">
        <w:t xml:space="preserve"> est le nombre de cycles jusqu'à la liquéfaction, ε</w:t>
      </w:r>
      <w:r w:rsidRPr="00C65C28">
        <w:rPr>
          <w:vertAlign w:val="subscript"/>
        </w:rPr>
        <w:t>r</w:t>
      </w:r>
      <w:r w:rsidRPr="00C65C28">
        <w:t xml:space="preserve"> est la </w:t>
      </w:r>
      <w:r>
        <w:t>déformation</w:t>
      </w:r>
      <w:r w:rsidRPr="00C65C28">
        <w:t xml:space="preserve"> radiale calculée à partir du changement de volume et r</w:t>
      </w:r>
      <w:r w:rsidRPr="00C65C28">
        <w:rPr>
          <w:vertAlign w:val="subscript"/>
        </w:rPr>
        <w:t>u</w:t>
      </w:r>
      <w:r w:rsidRPr="00C65C28">
        <w:t xml:space="preserve"> est le rapp</w:t>
      </w:r>
      <w:r w:rsidR="005221E5">
        <w:t xml:space="preserve">ort de </w:t>
      </w:r>
      <w:r w:rsidR="0076219F">
        <w:rPr>
          <w:lang w:val="fr-FR"/>
        </w:rPr>
        <w:t>sur</w:t>
      </w:r>
      <w:r w:rsidR="005221E5">
        <w:t>pression interstitielle</w:t>
      </w:r>
      <w:r w:rsidR="005221E5">
        <w:rPr>
          <w:lang w:val="fr-FR"/>
        </w:rPr>
        <w:t xml:space="preserve"> </w:t>
      </w:r>
      <w:r w:rsidR="0076219F">
        <w:rPr>
          <w:lang w:val="fr-FR"/>
        </w:rPr>
        <w:t xml:space="preserve">basé sur la </w:t>
      </w:r>
      <w:r w:rsidR="005221E5">
        <w:rPr>
          <w:lang w:val="fr-FR"/>
        </w:rPr>
        <w:t>mesur</w:t>
      </w:r>
      <w:r w:rsidR="0076219F">
        <w:rPr>
          <w:lang w:val="fr-FR"/>
        </w:rPr>
        <w:t>e faite</w:t>
      </w:r>
      <w:r w:rsidR="005221E5">
        <w:rPr>
          <w:lang w:val="fr-FR"/>
        </w:rPr>
        <w:t xml:space="preserve"> à mi-hauteur de la sonde par le capteur mis au point par Jean Lutz SA lors des travaux de thèse de Karagiannopoulos (Karagiannopoulos, 2020).</w:t>
      </w:r>
    </w:p>
    <w:p w14:paraId="7E6627F3" w14:textId="1F84ADC3" w:rsidR="00C23BB1" w:rsidRDefault="00C23BB1" w:rsidP="00C23BB1">
      <w:pPr>
        <w:rPr>
          <w:rStyle w:val="tlid-translation"/>
        </w:rPr>
      </w:pPr>
      <w:r w:rsidRPr="00C65C28">
        <w:rPr>
          <w:rStyle w:val="tlid-translation"/>
        </w:rPr>
        <w:t xml:space="preserve">Les couples </w:t>
      </w:r>
      <w:r w:rsidRPr="00C65C28">
        <w:rPr>
          <w:rStyle w:val="tlid-translation"/>
          <w:rFonts w:ascii="Cambria Math" w:hAnsi="Cambria Math"/>
          <w:i/>
        </w:rPr>
        <w:t>CSR</w:t>
      </w:r>
      <w:r w:rsidRPr="00C65C28">
        <w:rPr>
          <w:rStyle w:val="tlid-translation"/>
        </w:rPr>
        <w:t xml:space="preserve"> appliqué – </w:t>
      </w:r>
      <w:r w:rsidRPr="00C65C28">
        <w:rPr>
          <w:rStyle w:val="tlid-translation"/>
          <w:rFonts w:ascii="Cambria Math" w:hAnsi="Cambria Math"/>
          <w:i/>
        </w:rPr>
        <w:t>N</w:t>
      </w:r>
      <w:r w:rsidRPr="00C65C28">
        <w:rPr>
          <w:rStyle w:val="tlid-translation"/>
          <w:rFonts w:ascii="Cambria Math" w:hAnsi="Cambria Math"/>
          <w:i/>
          <w:vertAlign w:val="subscript"/>
        </w:rPr>
        <w:t>L</w:t>
      </w:r>
      <w:r w:rsidRPr="00C65C28">
        <w:rPr>
          <w:rStyle w:val="tlid-translation"/>
        </w:rPr>
        <w:t xml:space="preserve"> nombre de cycles pour atteindre la rupture conventionnelle, sont  reportés dans un plan semi-logarithmique (</w:t>
      </w:r>
      <w:r w:rsidR="00B216EB">
        <w:rPr>
          <w:lang w:val="fr-FR"/>
        </w:rPr>
        <w:t>Figure 6</w:t>
      </w:r>
      <w:r w:rsidRPr="00C65C28">
        <w:rPr>
          <w:rStyle w:val="tlid-translation"/>
        </w:rPr>
        <w:t xml:space="preserve"> et </w:t>
      </w:r>
      <w:r w:rsidR="00B216EB">
        <w:rPr>
          <w:lang w:val="fr-FR"/>
        </w:rPr>
        <w:t>Figure  7</w:t>
      </w:r>
      <w:r w:rsidRPr="00C65C28">
        <w:rPr>
          <w:rStyle w:val="tlid-translation"/>
        </w:rPr>
        <w:t>a).</w:t>
      </w:r>
    </w:p>
    <w:p w14:paraId="30179A0D" w14:textId="77777777" w:rsidR="00C23BB1" w:rsidRPr="00C65C28" w:rsidRDefault="00C23BB1" w:rsidP="00C23BB1">
      <w:pPr>
        <w:rPr>
          <w:rStyle w:val="tlid-translation"/>
        </w:rPr>
      </w:pPr>
    </w:p>
    <w:p w14:paraId="147DB978" w14:textId="4FF5AFC6" w:rsidR="00C23BB1" w:rsidRPr="00C65C28" w:rsidRDefault="00C23BB1" w:rsidP="00F5103B">
      <w:pPr>
        <w:pStyle w:val="Paragraphedeliste"/>
        <w:ind w:left="-142"/>
      </w:pPr>
      <w:r w:rsidRPr="00C65C28">
        <w:t>a</w:t>
      </w:r>
      <w:r w:rsidR="00F5103B">
        <w:rPr>
          <w:noProof/>
          <w:lang w:val="fr-FR" w:eastAsia="ja-JP"/>
        </w:rPr>
        <w:drawing>
          <wp:inline distT="0" distB="0" distL="0" distR="0" wp14:anchorId="1C94A55C" wp14:editId="0421522A">
            <wp:extent cx="3135525" cy="1911140"/>
            <wp:effectExtent l="0" t="0" r="825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17"/>
                    <a:stretch/>
                  </pic:blipFill>
                  <pic:spPr bwMode="auto">
                    <a:xfrm>
                      <a:off x="0" y="0"/>
                      <a:ext cx="3168784" cy="1931412"/>
                    </a:xfrm>
                    <a:prstGeom prst="rect">
                      <a:avLst/>
                    </a:prstGeom>
                    <a:noFill/>
                    <a:ln>
                      <a:noFill/>
                    </a:ln>
                    <a:extLst>
                      <a:ext uri="{53640926-AAD7-44D8-BBD7-CCE9431645EC}">
                        <a14:shadowObscured xmlns:a14="http://schemas.microsoft.com/office/drawing/2010/main"/>
                      </a:ext>
                    </a:extLst>
                  </pic:spPr>
                </pic:pic>
              </a:graphicData>
            </a:graphic>
          </wp:inline>
        </w:drawing>
      </w:r>
      <w:r w:rsidRPr="00C65C28">
        <w:t>b</w:t>
      </w:r>
      <w:r w:rsidR="00F5103B" w:rsidRPr="00C65C28">
        <w:rPr>
          <w:noProof/>
          <w:lang w:val="fr-FR" w:eastAsia="ja-JP"/>
        </w:rPr>
        <w:drawing>
          <wp:inline distT="0" distB="0" distL="0" distR="0" wp14:anchorId="1F651387" wp14:editId="7786D1A1">
            <wp:extent cx="2795204" cy="2012817"/>
            <wp:effectExtent l="0" t="0" r="5715" b="698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682" r="1152"/>
                    <a:stretch/>
                  </pic:blipFill>
                  <pic:spPr bwMode="auto">
                    <a:xfrm>
                      <a:off x="0" y="0"/>
                      <a:ext cx="2819900" cy="2030601"/>
                    </a:xfrm>
                    <a:prstGeom prst="rect">
                      <a:avLst/>
                    </a:prstGeom>
                    <a:noFill/>
                    <a:ln>
                      <a:noFill/>
                    </a:ln>
                    <a:extLst>
                      <a:ext uri="{53640926-AAD7-44D8-BBD7-CCE9431645EC}">
                        <a14:shadowObscured xmlns:a14="http://schemas.microsoft.com/office/drawing/2010/main"/>
                      </a:ext>
                    </a:extLst>
                  </pic:spPr>
                </pic:pic>
              </a:graphicData>
            </a:graphic>
          </wp:inline>
        </w:drawing>
      </w:r>
    </w:p>
    <w:p w14:paraId="3640F4C8" w14:textId="00B6B43B" w:rsidR="00C23BB1" w:rsidRPr="00C65C28" w:rsidRDefault="00C23BB1" w:rsidP="00C23BB1">
      <w:pPr>
        <w:pStyle w:val="Lgendefigure"/>
      </w:pPr>
      <w:r w:rsidRPr="00C65C28">
        <w:t>Application sur le site de Saint Benoît</w:t>
      </w:r>
    </w:p>
    <w:p w14:paraId="74FB5B5E" w14:textId="6B3AF502" w:rsidR="00C23BB1" w:rsidRPr="00C65C28" w:rsidRDefault="00C23BB1" w:rsidP="00C23BB1">
      <w:r w:rsidRPr="00C65C28">
        <w:t>Ces courbes peuvent ensuite être utilisées pour prédire le comportement des structures sous charge sismique ou cyclique. Contrairement aux expériences de laboratoire telles que l</w:t>
      </w:r>
      <w:r>
        <w:t xml:space="preserve">es </w:t>
      </w:r>
      <w:r w:rsidRPr="00C65C28">
        <w:t>essai</w:t>
      </w:r>
      <w:r>
        <w:t>s</w:t>
      </w:r>
      <w:r w:rsidRPr="00C65C28">
        <w:t xml:space="preserve"> triaxia</w:t>
      </w:r>
      <w:r>
        <w:t>ux</w:t>
      </w:r>
      <w:r w:rsidRPr="00C65C28">
        <w:t xml:space="preserve"> ou le</w:t>
      </w:r>
      <w:r>
        <w:t>s</w:t>
      </w:r>
      <w:r w:rsidRPr="00C65C28">
        <w:t xml:space="preserve"> essai</w:t>
      </w:r>
      <w:r>
        <w:t>s</w:t>
      </w:r>
      <w:r w:rsidRPr="00C65C28">
        <w:t xml:space="preserve"> de cisaillement simple, pour les essais in situ, il n'est pas possible de changer ou de modifier la densité du sol, de sorte que les essais sont effectués à la densité existante en place et l'amplitude doit être variée en conséquence pour atteindre les valeurs du </w:t>
      </w:r>
      <w:r w:rsidR="005221E5">
        <w:rPr>
          <w:lang w:val="fr-FR"/>
        </w:rPr>
        <w:t>CSR</w:t>
      </w:r>
      <w:r w:rsidRPr="00C65C28">
        <w:t xml:space="preserve">. </w:t>
      </w:r>
    </w:p>
    <w:p w14:paraId="3ACBDB8B" w14:textId="50AA0259" w:rsidR="00C23BB1" w:rsidRDefault="00C23BB1" w:rsidP="003007F5">
      <w:r w:rsidRPr="00C65C28">
        <w:t xml:space="preserve">Lorsque des mesures de la pression interstitielle sont disponibles, la liquéfaction est définie en utilisant le </w:t>
      </w:r>
      <w:r w:rsidR="005221E5">
        <w:rPr>
          <w:lang w:val="fr-FR"/>
        </w:rPr>
        <w:t xml:space="preserve">rapport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u</m:t>
            </m:r>
          </m:sub>
        </m:sSub>
      </m:oMath>
      <w:r w:rsidR="0076219F" w:rsidRPr="00C65C28">
        <w:t xml:space="preserve"> </w:t>
      </w:r>
      <w:r w:rsidR="005221E5">
        <w:rPr>
          <w:lang w:val="fr-FR"/>
        </w:rPr>
        <w:t>de la surpression interstitielle observé à la contrainte horizontale en place</w:t>
      </w:r>
      <w:r w:rsidR="009F2233">
        <w:rPr>
          <w:lang w:val="fr-FR"/>
        </w:rPr>
        <w:t xml:space="preserve">, </w:t>
      </w:r>
      <w:r w:rsidRPr="00C65C28">
        <w:t xml:space="preserve">comme indiqué pour les deux premiers cas sur la </w:t>
      </w:r>
      <w:r w:rsidR="00B216EB">
        <w:rPr>
          <w:lang w:val="fr-FR"/>
        </w:rPr>
        <w:t>Figure 6a</w:t>
      </w:r>
      <w:r w:rsidRPr="00C65C28">
        <w:t xml:space="preserve">. Un exemple est donné sur la </w:t>
      </w:r>
      <w:r w:rsidR="00B216EB">
        <w:rPr>
          <w:lang w:val="fr-FR"/>
        </w:rPr>
        <w:t>Figure 7</w:t>
      </w:r>
      <w:r w:rsidR="009F2233">
        <w:rPr>
          <w:lang w:val="fr-FR"/>
        </w:rPr>
        <w:t>b</w:t>
      </w:r>
      <w:r w:rsidRPr="00C65C28">
        <w:t xml:space="preserve">. </w:t>
      </w:r>
    </w:p>
    <w:p w14:paraId="10E9D418" w14:textId="77777777" w:rsidR="009F2233" w:rsidRDefault="009F2233" w:rsidP="003007F5"/>
    <w:p w14:paraId="1E8DC398" w14:textId="238E7860" w:rsidR="009F2233" w:rsidRPr="00FB5221" w:rsidRDefault="005918AE" w:rsidP="009F2233">
      <w:pPr>
        <w:ind w:left="1362"/>
        <w:jc w:val="right"/>
        <w:rPr>
          <w:lang w:val="fr-FR"/>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u</m:t>
            </m:r>
          </m:sub>
        </m:sSub>
        <m:r>
          <w:rPr>
            <w:rFonts w:ascii="Cambria Math" w:hAnsi="Cambria Math"/>
            <w:lang w:val="fr-FR"/>
          </w:rPr>
          <m:t>=</m:t>
        </m:r>
        <m:f>
          <m:fPr>
            <m:ctrlPr>
              <w:rPr>
                <w:rFonts w:ascii="Cambria Math" w:hAnsi="Cambria Math"/>
                <w:i/>
                <w:lang w:val="en-US"/>
              </w:rPr>
            </m:ctrlPr>
          </m:fPr>
          <m:num>
            <m:r>
              <w:rPr>
                <w:rFonts w:ascii="Cambria Math" w:hAnsi="Cambria Math"/>
                <w:lang w:val="fr-FR"/>
              </w:rPr>
              <m:t>∆</m:t>
            </m:r>
            <m:r>
              <w:rPr>
                <w:rFonts w:ascii="Cambria Math" w:hAnsi="Cambria Math"/>
                <w:lang w:val="en-US"/>
              </w:rPr>
              <m:t>u</m:t>
            </m:r>
          </m:num>
          <m:den>
            <m:sSub>
              <m:sSubPr>
                <m:ctrlPr>
                  <w:rPr>
                    <w:rFonts w:ascii="Cambria Math" w:hAnsi="Cambria Math"/>
                    <w:i/>
                  </w:rPr>
                </m:ctrlPr>
              </m:sSubPr>
              <m:e>
                <m:r>
                  <w:rPr>
                    <w:rFonts w:ascii="Cambria Math" w:hAnsi="Cambria Math"/>
                  </w:rPr>
                  <m:t>σ'</m:t>
                </m:r>
              </m:e>
              <m:sub>
                <m:r>
                  <w:rPr>
                    <w:rFonts w:ascii="Cambria Math" w:hAnsi="Cambria Math"/>
                  </w:rPr>
                  <m:t>H;m</m:t>
                </m:r>
                <m:r>
                  <w:rPr>
                    <w:rFonts w:ascii="Cambria Math" w:hAnsi="Cambria Math"/>
                    <w:lang w:val="en-US"/>
                  </w:rPr>
                  <m:t>ean</m:t>
                </m:r>
              </m:sub>
            </m:sSub>
          </m:den>
        </m:f>
        <m:r>
          <w:rPr>
            <w:rFonts w:ascii="Cambria Math" w:hAnsi="Cambria Math"/>
            <w:lang w:val="fr-FR"/>
          </w:rPr>
          <m:t>=</m:t>
        </m:r>
        <m:f>
          <m:fPr>
            <m:ctrlPr>
              <w:rPr>
                <w:rFonts w:ascii="Cambria Math" w:hAnsi="Cambria Math"/>
                <w:i/>
                <w:lang w:val="en-US"/>
              </w:rPr>
            </m:ctrlPr>
          </m:fPr>
          <m:num>
            <m:r>
              <w:rPr>
                <w:rFonts w:ascii="Cambria Math" w:hAnsi="Cambria Math"/>
                <w:lang w:val="fr-FR"/>
              </w:rPr>
              <m:t>∆</m:t>
            </m:r>
            <m:r>
              <w:rPr>
                <w:rFonts w:ascii="Cambria Math" w:hAnsi="Cambria Math"/>
                <w:lang w:val="en-US"/>
              </w:rPr>
              <m:t>u</m:t>
            </m:r>
          </m:num>
          <m:den>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fr-FR"/>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fr-FR"/>
                  </w:rPr>
                  <m:t>2</m:t>
                </m:r>
              </m:den>
            </m:f>
            <m:r>
              <w:rPr>
                <w:rFonts w:ascii="Cambria Math" w:hAnsi="Cambria Math"/>
                <w:lang w:val="fr-FR"/>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o</m:t>
                </m:r>
              </m:sub>
            </m:sSub>
          </m:den>
        </m:f>
      </m:oMath>
      <w:r w:rsidR="009F2233" w:rsidRPr="00FB5221">
        <w:rPr>
          <w:lang w:val="fr-FR"/>
        </w:rPr>
        <w:t xml:space="preserve">  </w:t>
      </w:r>
      <w:r w:rsidR="009F2233" w:rsidRPr="00FB5221">
        <w:rPr>
          <w:lang w:val="fr-FR"/>
        </w:rPr>
        <w:tab/>
      </w:r>
      <w:r w:rsidR="009F2233" w:rsidRPr="00FB5221">
        <w:rPr>
          <w:lang w:val="fr-FR"/>
        </w:rPr>
        <w:tab/>
      </w:r>
      <w:r w:rsidR="009F2233" w:rsidRPr="00FB5221">
        <w:rPr>
          <w:lang w:val="fr-FR"/>
        </w:rPr>
        <w:tab/>
      </w:r>
      <w:r w:rsidR="009F2233" w:rsidRPr="00FB5221">
        <w:rPr>
          <w:lang w:val="fr-FR"/>
        </w:rPr>
        <w:tab/>
        <w:t xml:space="preserve"> (7)</w:t>
      </w:r>
    </w:p>
    <w:p w14:paraId="4E104CB5" w14:textId="77777777" w:rsidR="00862A15" w:rsidRDefault="00862A15" w:rsidP="00862A15">
      <w:pPr>
        <w:rPr>
          <w:lang w:val="fr-FR"/>
        </w:rPr>
      </w:pPr>
    </w:p>
    <w:p w14:paraId="66700CD4" w14:textId="240C3872" w:rsidR="00862A15" w:rsidRPr="0059006E" w:rsidRDefault="00862A15" w:rsidP="00862A15">
      <w:pPr>
        <w:rPr>
          <w:rStyle w:val="tlid-translation"/>
          <w:lang w:val="fr-FR"/>
        </w:rPr>
      </w:pPr>
      <w:r w:rsidRPr="0059006E">
        <w:rPr>
          <w:lang w:val="fr-FR"/>
        </w:rPr>
        <w:t xml:space="preserve">On fixe une valeur limite de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u</m:t>
            </m:r>
          </m:sub>
        </m:sSub>
      </m:oMath>
      <w:r w:rsidRPr="0059006E">
        <w:rPr>
          <w:lang w:val="fr-FR"/>
        </w:rPr>
        <w:t xml:space="preserve"> égale à 0.8 comme critère de liquéfaction du sol étudié par analogie avec le facteur de sécurité introduit par Seed et Idriss, </w:t>
      </w:r>
      <w:r>
        <w:rPr>
          <w:lang w:val="fr-FR"/>
        </w:rPr>
        <w:t>(</w:t>
      </w:r>
      <w:r w:rsidRPr="0059006E">
        <w:rPr>
          <w:lang w:val="fr-FR"/>
        </w:rPr>
        <w:t>1971</w:t>
      </w:r>
      <w:r>
        <w:rPr>
          <w:lang w:val="fr-FR"/>
        </w:rPr>
        <w:t>)</w:t>
      </w:r>
      <w:r w:rsidRPr="0059006E">
        <w:rPr>
          <w:lang w:val="fr-FR"/>
        </w:rPr>
        <w:t xml:space="preserve">. Si la valeur du </w:t>
      </w:r>
      <w:r w:rsidRPr="0059006E">
        <w:rPr>
          <w:lang w:val="fr-FR"/>
        </w:rPr>
        <w:lastRenderedPageBreak/>
        <w:t xml:space="preserve">coefficient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u</m:t>
            </m:r>
          </m:sub>
        </m:sSub>
      </m:oMath>
      <w:r w:rsidRPr="0059006E">
        <w:rPr>
          <w:lang w:val="fr-FR"/>
        </w:rPr>
        <w:t xml:space="preserve"> dépasse cette valeur limite, la résistance du sol chute dramatiquement et une liquéfaction du sol locale a lieu aux parois de la cavité </w:t>
      </w:r>
      <w:r>
        <w:rPr>
          <w:lang w:val="fr-FR"/>
        </w:rPr>
        <w:t>du forage</w:t>
      </w:r>
      <w:r w:rsidRPr="0059006E">
        <w:rPr>
          <w:lang w:val="fr-FR"/>
        </w:rPr>
        <w:t>.</w:t>
      </w:r>
    </w:p>
    <w:p w14:paraId="3843DD4E" w14:textId="609109CF" w:rsidR="009F2233" w:rsidRPr="009F2233" w:rsidRDefault="009F2233" w:rsidP="003007F5">
      <w:pPr>
        <w:rPr>
          <w:rStyle w:val="Corpsdetexte12Car"/>
          <w:lang w:val="fr-FR"/>
        </w:rPr>
      </w:pPr>
      <w:r>
        <w:rPr>
          <w:rStyle w:val="Corpsdetexte12Car"/>
          <w:lang w:val="fr-FR"/>
        </w:rPr>
        <w:t>Les résultats placés sur la figure 7a montre une très bonne cohérence avec les estimations obtenues à partir d’essais triaxiaux et d’essais pressiométriques basés sur l’analyse du volume.</w:t>
      </w:r>
    </w:p>
    <w:p w14:paraId="00106B23" w14:textId="77777777" w:rsidR="00B84B6D" w:rsidRPr="006B44A2" w:rsidRDefault="00B84B6D" w:rsidP="00C23BB1">
      <w:pPr>
        <w:pStyle w:val="Titre1"/>
      </w:pPr>
      <w:r w:rsidRPr="006B44A2">
        <w:t>Conclusions</w:t>
      </w:r>
    </w:p>
    <w:p w14:paraId="361B9E75" w14:textId="083F46FF" w:rsidR="00BE7576" w:rsidRDefault="008F1554" w:rsidP="00BE7576">
      <w:pPr>
        <w:pStyle w:val="Corpsdetexte12retrait5mm"/>
        <w:rPr>
          <w:lang w:val="fr-FR"/>
        </w:rPr>
      </w:pPr>
      <w:r w:rsidRPr="005221E5">
        <w:rPr>
          <w:lang w:val="fr-FR"/>
        </w:rPr>
        <w:t>Dans cet</w:t>
      </w:r>
      <w:r>
        <w:rPr>
          <w:lang w:val="fr-FR"/>
        </w:rPr>
        <w:t>te</w:t>
      </w:r>
      <w:r w:rsidRPr="005221E5">
        <w:rPr>
          <w:lang w:val="fr-FR"/>
        </w:rPr>
        <w:t xml:space="preserve"> </w:t>
      </w:r>
      <w:r>
        <w:rPr>
          <w:lang w:val="fr-FR"/>
        </w:rPr>
        <w:t>communication</w:t>
      </w:r>
      <w:r w:rsidRPr="005221E5">
        <w:rPr>
          <w:lang w:val="fr-FR"/>
        </w:rPr>
        <w:t xml:space="preserve">, </w:t>
      </w:r>
      <w:r>
        <w:rPr>
          <w:lang w:val="fr-FR"/>
        </w:rPr>
        <w:t>u</w:t>
      </w:r>
      <w:r w:rsidR="00BE7576" w:rsidRPr="00BE7576">
        <w:rPr>
          <w:lang w:val="fr-FR"/>
        </w:rPr>
        <w:t>ne méthode simplifiée pour déterminer la susceptibilité des sols à la liquéfaction en utilisant les résultats des essais pressiométriques Ménard a été décrite dans cet</w:t>
      </w:r>
      <w:r w:rsidR="00BE7576">
        <w:rPr>
          <w:lang w:val="fr-FR"/>
        </w:rPr>
        <w:t>te communication.</w:t>
      </w:r>
      <w:r w:rsidR="00BE7576" w:rsidRPr="00BE7576">
        <w:rPr>
          <w:lang w:val="fr-FR"/>
        </w:rPr>
        <w:t xml:space="preserve"> La comparaison des courbes </w:t>
      </w:r>
      <w:r>
        <w:rPr>
          <w:lang w:val="fr-FR"/>
        </w:rPr>
        <w:t xml:space="preserve">proposées </w:t>
      </w:r>
      <w:r w:rsidR="00BE7576" w:rsidRPr="00BE7576">
        <w:rPr>
          <w:lang w:val="fr-FR"/>
        </w:rPr>
        <w:t xml:space="preserve">avec la base de données </w:t>
      </w:r>
      <w:r>
        <w:rPr>
          <w:lang w:val="fr-FR"/>
        </w:rPr>
        <w:t xml:space="preserve">d’essais en chambre d’étalonnage et en place </w:t>
      </w:r>
      <w:r w:rsidR="00BE7576" w:rsidRPr="00BE7576">
        <w:rPr>
          <w:lang w:val="fr-FR"/>
        </w:rPr>
        <w:t>collectée a montré leur pertinence. Plus de données sont nécessaires pour avoir la même robustesse que d'autres méthodes simplifiées bien connues et acceptées, dédiées à d'autres techniques d'essais in situ.</w:t>
      </w:r>
    </w:p>
    <w:p w14:paraId="5B0C6C9F" w14:textId="50A3306C" w:rsidR="005221E5" w:rsidRPr="005221E5" w:rsidRDefault="008F1554" w:rsidP="005221E5">
      <w:pPr>
        <w:pStyle w:val="Corpsdetexte12retrait5mm"/>
        <w:rPr>
          <w:lang w:val="fr-FR"/>
        </w:rPr>
      </w:pPr>
      <w:r>
        <w:rPr>
          <w:lang w:val="fr-FR"/>
        </w:rPr>
        <w:t>U</w:t>
      </w:r>
      <w:r w:rsidR="005221E5" w:rsidRPr="005221E5">
        <w:rPr>
          <w:lang w:val="fr-FR"/>
        </w:rPr>
        <w:t xml:space="preserve">ne nouvelle procédure d'investigation du sol pour évaluer le potentiel de liquéfaction basée sur des essais </w:t>
      </w:r>
      <w:r w:rsidR="005221E5" w:rsidRPr="00BE7576">
        <w:rPr>
          <w:lang w:val="fr-FR"/>
        </w:rPr>
        <w:t xml:space="preserve">pressiométriques </w:t>
      </w:r>
      <w:r w:rsidR="005221E5" w:rsidRPr="005221E5">
        <w:rPr>
          <w:lang w:val="fr-FR"/>
        </w:rPr>
        <w:t xml:space="preserve">cycliques a été </w:t>
      </w:r>
      <w:r>
        <w:rPr>
          <w:lang w:val="fr-FR"/>
        </w:rPr>
        <w:t xml:space="preserve">également </w:t>
      </w:r>
      <w:r w:rsidR="005221E5" w:rsidRPr="005221E5">
        <w:rPr>
          <w:lang w:val="fr-FR"/>
        </w:rPr>
        <w:t xml:space="preserve">présentée. </w:t>
      </w:r>
      <w:r w:rsidR="001A5F98">
        <w:rPr>
          <w:lang w:val="fr-FR"/>
        </w:rPr>
        <w:t>Si</w:t>
      </w:r>
      <w:r w:rsidR="001A5F98" w:rsidRPr="005221E5">
        <w:rPr>
          <w:lang w:val="fr-FR"/>
        </w:rPr>
        <w:t xml:space="preserve"> les corrections appropriées de </w:t>
      </w:r>
      <w:r w:rsidR="0076219F">
        <w:rPr>
          <w:lang w:val="fr-FR"/>
        </w:rPr>
        <w:t>résistance propre</w:t>
      </w:r>
      <w:r w:rsidR="001A5F98" w:rsidRPr="005221E5">
        <w:rPr>
          <w:lang w:val="fr-FR"/>
        </w:rPr>
        <w:t xml:space="preserve"> de </w:t>
      </w:r>
      <w:r w:rsidR="0076219F">
        <w:rPr>
          <w:lang w:val="fr-FR"/>
        </w:rPr>
        <w:t xml:space="preserve">la </w:t>
      </w:r>
      <w:r w:rsidR="001A5F98" w:rsidRPr="005221E5">
        <w:rPr>
          <w:lang w:val="fr-FR"/>
        </w:rPr>
        <w:t xml:space="preserve">membrane </w:t>
      </w:r>
      <w:r w:rsidR="001A5F98">
        <w:rPr>
          <w:lang w:val="fr-FR"/>
        </w:rPr>
        <w:t>s</w:t>
      </w:r>
      <w:r w:rsidR="001A5F98" w:rsidRPr="005221E5">
        <w:rPr>
          <w:lang w:val="fr-FR"/>
        </w:rPr>
        <w:t xml:space="preserve">ont appliquées au système de contrôle de la pression, </w:t>
      </w:r>
      <w:r w:rsidR="001A5F98">
        <w:rPr>
          <w:lang w:val="fr-FR"/>
        </w:rPr>
        <w:t>les bornes restent constantes</w:t>
      </w:r>
      <w:r>
        <w:rPr>
          <w:lang w:val="fr-FR"/>
        </w:rPr>
        <w:t xml:space="preserve"> et l</w:t>
      </w:r>
      <w:r w:rsidR="005221E5" w:rsidRPr="005221E5">
        <w:rPr>
          <w:lang w:val="fr-FR"/>
        </w:rPr>
        <w:t xml:space="preserve">'interprétation des résultats peut être effectuée de manière similaire à ce qui est fait dans les essais triaxiaux en laboratoire. Les résultats suggèrent qu'une courbe CSR peut être proposée sans qu'il soit nécessaire de prélever des échantillons et de réaliser des essais en laboratoire sur des échantillons perturbés ou reconstitués, en particulier dans les sols sans cohésion. </w:t>
      </w:r>
      <w:r w:rsidR="005221E5">
        <w:rPr>
          <w:lang w:val="fr-FR"/>
        </w:rPr>
        <w:t xml:space="preserve"> </w:t>
      </w:r>
      <w:r w:rsidR="001A5F98" w:rsidRPr="005221E5">
        <w:rPr>
          <w:lang w:val="fr-FR"/>
        </w:rPr>
        <w:t>L'ajout de mesures de pression interstitielle offre un nouvel aperçu potentiel de l'influence de la teneur en fines sur le développement de la pression interstitielle dans les sols dans leur état in</w:t>
      </w:r>
      <w:r>
        <w:rPr>
          <w:lang w:val="fr-FR"/>
        </w:rPr>
        <w:t>itial</w:t>
      </w:r>
      <w:r w:rsidR="001A5F98" w:rsidRPr="005221E5">
        <w:rPr>
          <w:lang w:val="fr-FR"/>
        </w:rPr>
        <w:t>.</w:t>
      </w:r>
    </w:p>
    <w:p w14:paraId="5C9AADBE" w14:textId="0710F8CA" w:rsidR="00BE7576" w:rsidRPr="00BE7576" w:rsidRDefault="00BE7576" w:rsidP="00BE7576">
      <w:pPr>
        <w:pStyle w:val="Titre1"/>
        <w:rPr>
          <w:lang w:val="fr-FR"/>
        </w:rPr>
      </w:pPr>
      <w:r w:rsidRPr="00BE7576">
        <w:t>Remerciements</w:t>
      </w:r>
    </w:p>
    <w:p w14:paraId="0C0E23E1" w14:textId="343C5C93" w:rsidR="00704CEC" w:rsidRDefault="00BE7576" w:rsidP="00F5103B">
      <w:pPr>
        <w:pStyle w:val="Corpsdetexte12retrait5mm"/>
        <w:rPr>
          <w:lang w:val="fr-FR"/>
        </w:rPr>
      </w:pPr>
      <w:r w:rsidRPr="00BE7576">
        <w:rPr>
          <w:lang w:val="fr-FR"/>
        </w:rPr>
        <w:t xml:space="preserve">Les auteurs remercient le projet national ARSCOP et </w:t>
      </w:r>
      <w:r>
        <w:rPr>
          <w:lang w:val="fr-FR"/>
        </w:rPr>
        <w:t xml:space="preserve">les </w:t>
      </w:r>
      <w:r w:rsidRPr="00BE7576">
        <w:rPr>
          <w:lang w:val="fr-FR"/>
        </w:rPr>
        <w:t>projet</w:t>
      </w:r>
      <w:r>
        <w:rPr>
          <w:lang w:val="fr-FR"/>
        </w:rPr>
        <w:t>s</w:t>
      </w:r>
      <w:r w:rsidRPr="00BE7576">
        <w:rPr>
          <w:lang w:val="fr-FR"/>
        </w:rPr>
        <w:t xml:space="preserve"> </w:t>
      </w:r>
      <w:r>
        <w:rPr>
          <w:lang w:val="fr-FR"/>
        </w:rPr>
        <w:t xml:space="preserve">ANR </w:t>
      </w:r>
      <w:r w:rsidRPr="00BE7576">
        <w:rPr>
          <w:lang w:val="fr-FR"/>
        </w:rPr>
        <w:t>Belle Plaine et ISOLATE (ANR-06-CATT-003, 2007-2010), et le Ministère de la Transition écologique pour le financ</w:t>
      </w:r>
      <w:r w:rsidR="00FB5221">
        <w:rPr>
          <w:lang w:val="fr-FR"/>
        </w:rPr>
        <w:t xml:space="preserve">ement de ce projet de recherche, J.-P. Baud pour l'accès à ses données, </w:t>
      </w:r>
      <w:r w:rsidRPr="00BE7576">
        <w:rPr>
          <w:lang w:val="fr-FR"/>
        </w:rPr>
        <w:t>Jean Lutz SA et l'ANRT pour le financement de M. Karagiannopoulos pendant sa thèse.</w:t>
      </w:r>
    </w:p>
    <w:p w14:paraId="79CA9926" w14:textId="678449ED" w:rsidR="009165E0" w:rsidRDefault="009165E0" w:rsidP="00704CEC">
      <w:pPr>
        <w:pStyle w:val="Titre1"/>
        <w:rPr>
          <w:noProof/>
        </w:rPr>
      </w:pPr>
      <w:r>
        <w:t>Bibliographie</w:t>
      </w:r>
    </w:p>
    <w:p w14:paraId="03C2C3F4" w14:textId="77777777" w:rsidR="00704CEC" w:rsidRPr="009165E0" w:rsidRDefault="00704CEC" w:rsidP="00704CEC">
      <w:pPr>
        <w:pStyle w:val="Bibliographie"/>
        <w:ind w:left="720" w:hanging="720"/>
        <w:rPr>
          <w:noProof/>
        </w:rPr>
      </w:pPr>
      <w:r w:rsidRPr="009165E0">
        <w:rPr>
          <w:noProof/>
        </w:rPr>
        <w:t>Benoît J. and Lutenegger A.J., Determining lateral stress in soft clays, Predictive soil mechanics, Proceedings of the Wroth Memorial Symposium, Oxford, Houlsby and Schofield Eds., 1992, 135-155</w:t>
      </w:r>
    </w:p>
    <w:p w14:paraId="6C6249DA" w14:textId="77777777" w:rsidR="009165E0" w:rsidRDefault="009165E0" w:rsidP="009165E0">
      <w:pPr>
        <w:pStyle w:val="Bibliographie"/>
        <w:ind w:left="720" w:hanging="720"/>
        <w:rPr>
          <w:noProof/>
        </w:rPr>
      </w:pPr>
      <w:r>
        <w:rPr>
          <w:noProof/>
        </w:rPr>
        <w:t>Bouguerra, H. (1997). Prévision du Potentiel de liquéfaction des sites sableux à l'aide d'appareillages in-situ. Grenoble: Thèse de doctorat de l'INPG.</w:t>
      </w:r>
    </w:p>
    <w:p w14:paraId="42B2B61F" w14:textId="5B977C09" w:rsidR="00704CEC" w:rsidRPr="009165E0" w:rsidRDefault="00704CEC" w:rsidP="00704CEC">
      <w:pPr>
        <w:pStyle w:val="Bibliographie"/>
        <w:ind w:left="720" w:hanging="720"/>
        <w:rPr>
          <w:noProof/>
        </w:rPr>
      </w:pPr>
      <w:r w:rsidRPr="009165E0">
        <w:rPr>
          <w:noProof/>
        </w:rPr>
        <w:t xml:space="preserve">Briaud, J.-L., </w:t>
      </w:r>
      <w:r w:rsidRPr="0076219F">
        <w:rPr>
          <w:noProof/>
          <w:lang w:val="fr-FR"/>
        </w:rPr>
        <w:t>(</w:t>
      </w:r>
      <w:r w:rsidRPr="009165E0">
        <w:rPr>
          <w:noProof/>
        </w:rPr>
        <w:t>1992</w:t>
      </w:r>
      <w:r w:rsidRPr="0076219F">
        <w:rPr>
          <w:noProof/>
          <w:lang w:val="fr-FR"/>
        </w:rPr>
        <w:t>)</w:t>
      </w:r>
      <w:r w:rsidRPr="009165E0">
        <w:rPr>
          <w:noProof/>
        </w:rPr>
        <w:t>, The pressuremeter, Balkema Eds., ISBN 978-9935-9436-1-3</w:t>
      </w:r>
      <w:r w:rsidR="00007C23" w:rsidRPr="0076219F">
        <w:rPr>
          <w:noProof/>
          <w:lang w:val="fr-FR"/>
        </w:rPr>
        <w:t xml:space="preserve"> </w:t>
      </w:r>
      <w:r w:rsidRPr="009165E0">
        <w:rPr>
          <w:noProof/>
        </w:rPr>
        <w:t>322 pages</w:t>
      </w:r>
    </w:p>
    <w:p w14:paraId="7F8DFA3C" w14:textId="097D4060" w:rsidR="00F5103B" w:rsidRPr="00F5103B" w:rsidRDefault="00F5103B" w:rsidP="00704CEC">
      <w:pPr>
        <w:pStyle w:val="Bibliographie"/>
        <w:ind w:left="720" w:hanging="720"/>
        <w:rPr>
          <w:noProof/>
          <w:lang w:val="en-US"/>
        </w:rPr>
      </w:pPr>
      <w:r w:rsidRPr="00F5103B">
        <w:rPr>
          <w:noProof/>
        </w:rPr>
        <w:t xml:space="preserve">Briaud, J.-L., (2013). The pressuremeter test: expanding its use. Ménard Lecture In: Proceedings of the 18th </w:t>
      </w:r>
      <w:r w:rsidRPr="00F5103B">
        <w:rPr>
          <w:noProof/>
          <w:lang w:val="en-US"/>
        </w:rPr>
        <w:t>IC</w:t>
      </w:r>
      <w:r>
        <w:rPr>
          <w:noProof/>
          <w:lang w:val="en-US"/>
        </w:rPr>
        <w:t>SMFE</w:t>
      </w:r>
      <w:r w:rsidRPr="00F5103B">
        <w:rPr>
          <w:noProof/>
        </w:rPr>
        <w:t>, Paris, 20 pages.</w:t>
      </w:r>
    </w:p>
    <w:p w14:paraId="33360342" w14:textId="04C5D300" w:rsidR="00704CEC" w:rsidRPr="009165E0" w:rsidRDefault="00704CEC" w:rsidP="00704CEC">
      <w:pPr>
        <w:pStyle w:val="Bibliographie"/>
        <w:ind w:left="720" w:hanging="720"/>
        <w:rPr>
          <w:noProof/>
        </w:rPr>
      </w:pPr>
      <w:r w:rsidRPr="009165E0">
        <w:rPr>
          <w:noProof/>
        </w:rPr>
        <w:t xml:space="preserve">Cransac D., Benoit J., Sève G. and Blivet J.-C., </w:t>
      </w:r>
      <w:r w:rsidRPr="00704CEC">
        <w:rPr>
          <w:noProof/>
          <w:lang w:val="en-US"/>
        </w:rPr>
        <w:t>(</w:t>
      </w:r>
      <w:r w:rsidRPr="009165E0">
        <w:rPr>
          <w:noProof/>
        </w:rPr>
        <w:t>2005</w:t>
      </w:r>
      <w:r w:rsidRPr="00704CEC">
        <w:rPr>
          <w:noProof/>
          <w:lang w:val="en-US"/>
        </w:rPr>
        <w:t>)</w:t>
      </w:r>
      <w:r w:rsidRPr="009165E0">
        <w:rPr>
          <w:noProof/>
        </w:rPr>
        <w:t>, Lateral stress evaluation of an unstable slope in Sallèdes, France, Pressio2005/ISP5, Presses des Ponts-LCPC, 217-226</w:t>
      </w:r>
    </w:p>
    <w:p w14:paraId="11B82490" w14:textId="0FCB192D" w:rsidR="009165E0" w:rsidRDefault="009165E0" w:rsidP="009165E0">
      <w:pPr>
        <w:pStyle w:val="Bibliographie"/>
        <w:ind w:left="720" w:hanging="720"/>
        <w:rPr>
          <w:noProof/>
        </w:rPr>
      </w:pPr>
      <w:r>
        <w:rPr>
          <w:noProof/>
        </w:rPr>
        <w:t>Dang, Q., Karagiannopoulos, P., Reiffsteck , P., Fanelli , S., Benoit , J., &amp; Desanneaux, G. (2019). Application of cyclic pressuremeter tests to evaluate soil liquefaction. Proc. XVII ECSMGE. Reykjavic.</w:t>
      </w:r>
      <w:r w:rsidR="00704CEC" w:rsidRPr="00704CEC">
        <w:rPr>
          <w:noProof/>
        </w:rPr>
        <w:t xml:space="preserve"> </w:t>
      </w:r>
    </w:p>
    <w:p w14:paraId="45D5601B" w14:textId="77777777" w:rsidR="009165E0" w:rsidRDefault="009165E0" w:rsidP="009165E0">
      <w:pPr>
        <w:pStyle w:val="Bibliographie"/>
        <w:ind w:left="720" w:hanging="720"/>
        <w:rPr>
          <w:noProof/>
        </w:rPr>
      </w:pPr>
      <w:r>
        <w:rPr>
          <w:noProof/>
        </w:rPr>
        <w:lastRenderedPageBreak/>
        <w:t>Dupla, J.-C. (1995). Application de la sollicitation d'expansion de cavité cylindrique à l'évaluation des caractéristiques de liquéfaction d'un sable. Marne la Vallée: Thèse de doctorat ENPC.</w:t>
      </w:r>
    </w:p>
    <w:p w14:paraId="1BFEF59B" w14:textId="1312A7D7" w:rsidR="00B75EA1" w:rsidRDefault="00B75EA1" w:rsidP="00704CEC">
      <w:pPr>
        <w:pStyle w:val="Bibliographie"/>
        <w:ind w:left="720" w:hanging="720"/>
        <w:rPr>
          <w:noProof/>
        </w:rPr>
      </w:pPr>
      <w:r w:rsidRPr="00B75EA1">
        <w:rPr>
          <w:noProof/>
        </w:rPr>
        <w:t xml:space="preserve">Dupla, J.C., Canou J., </w:t>
      </w:r>
      <w:r w:rsidR="00F5103B" w:rsidRPr="00F5103B">
        <w:rPr>
          <w:noProof/>
          <w:lang w:val="en-US"/>
        </w:rPr>
        <w:t>(</w:t>
      </w:r>
      <w:r w:rsidRPr="00B75EA1">
        <w:rPr>
          <w:noProof/>
        </w:rPr>
        <w:t>2003</w:t>
      </w:r>
      <w:r w:rsidR="00F5103B" w:rsidRPr="00F5103B">
        <w:rPr>
          <w:noProof/>
          <w:lang w:val="en-US"/>
        </w:rPr>
        <w:t>)</w:t>
      </w:r>
      <w:r w:rsidRPr="00B75EA1">
        <w:rPr>
          <w:noProof/>
        </w:rPr>
        <w:t>, Cyclic pressuremeter loading and liquefaction properties of sands, Soils and Foundations, Vol. 43(2), 17-31.</w:t>
      </w:r>
    </w:p>
    <w:p w14:paraId="323644F4" w14:textId="77777777" w:rsidR="00B75EA1" w:rsidRDefault="00B75EA1" w:rsidP="00B75EA1">
      <w:pPr>
        <w:pStyle w:val="Bibliographie"/>
        <w:ind w:left="720" w:hanging="720"/>
        <w:rPr>
          <w:noProof/>
        </w:rPr>
      </w:pPr>
      <w:r>
        <w:rPr>
          <w:noProof/>
        </w:rPr>
        <w:t>Dupla, J., Canou, J., Reiffsteck, P., Tacita, J., &amp; Desanneaux, G. (2010). Application de la sollicitation pressiométrique cyclique à l'évaluation du risque de liquéfaction d'un massif sableux. Marne la Vallée: Laboratoire Navier - projet ANR Belle Plaine.</w:t>
      </w:r>
    </w:p>
    <w:p w14:paraId="1993D3A6" w14:textId="1DF00510" w:rsidR="00704CEC" w:rsidRPr="009165E0" w:rsidRDefault="00704CEC" w:rsidP="00704CEC">
      <w:pPr>
        <w:pStyle w:val="Bibliographie"/>
        <w:ind w:left="720" w:hanging="720"/>
        <w:rPr>
          <w:noProof/>
        </w:rPr>
      </w:pPr>
      <w:r w:rsidRPr="009165E0">
        <w:rPr>
          <w:noProof/>
        </w:rPr>
        <w:t>Hawkins, P.G., Mair, R.J., Mathieson, W.G. and Muir Wood, D. (1990), Pressuremeter measurement of total horizontal stress in stiff clay, Proceedings of the 3rd International Symposium on pressuremeter, Oxford, 321-330</w:t>
      </w:r>
    </w:p>
    <w:p w14:paraId="2295EBAC" w14:textId="77777777" w:rsidR="00AB081E" w:rsidRDefault="00AB081E" w:rsidP="00704CEC">
      <w:pPr>
        <w:pStyle w:val="Bibliographie"/>
        <w:ind w:left="720" w:hanging="720"/>
        <w:rPr>
          <w:noProof/>
        </w:rPr>
      </w:pPr>
      <w:r w:rsidRPr="00AB081E">
        <w:rPr>
          <w:noProof/>
        </w:rPr>
        <w:t>Idriss, I.M., . and Boulanger, R.W. (2006). Semi-empirical procedures for evaluating liquefaction potential during earthquakes. Soil Dynamics and Earthquake Engineering 26: 115–130</w:t>
      </w:r>
    </w:p>
    <w:p w14:paraId="572B59A6" w14:textId="2427B6A0" w:rsidR="00704CEC" w:rsidRPr="009165E0" w:rsidRDefault="00704CEC" w:rsidP="00704CEC">
      <w:pPr>
        <w:pStyle w:val="Bibliographie"/>
        <w:ind w:left="720" w:hanging="720"/>
        <w:rPr>
          <w:noProof/>
        </w:rPr>
      </w:pPr>
      <w:r w:rsidRPr="009165E0">
        <w:rPr>
          <w:noProof/>
        </w:rPr>
        <w:t>Ishihara, K. (1993). Liquefaction and flow failure during earthquakes. Géotechnique 43, No. 4, 349-415.</w:t>
      </w:r>
    </w:p>
    <w:p w14:paraId="25D4C773" w14:textId="77777777" w:rsidR="009165E0" w:rsidRDefault="009165E0" w:rsidP="009165E0">
      <w:pPr>
        <w:pStyle w:val="Bibliographie"/>
        <w:ind w:left="720" w:hanging="720"/>
        <w:rPr>
          <w:noProof/>
        </w:rPr>
      </w:pPr>
      <w:r>
        <w:rPr>
          <w:noProof/>
        </w:rPr>
        <w:t>Karagiannopoulos, P., Peronne , M., Dang, Q., Reiffsteck, P., &amp; Benoit, J. (2020). Cyclic pressuremeter tests with pore pressure measurements, application to CSR evaluation,. 6th Int. Conf Geotechnical and Geophysical Site Charac.,, (p. 8 pages). Budapest Hongrie,.</w:t>
      </w:r>
    </w:p>
    <w:p w14:paraId="0F6D6140" w14:textId="251B6B55" w:rsidR="00862A15" w:rsidRDefault="00862A15" w:rsidP="009165E0">
      <w:pPr>
        <w:pStyle w:val="Bibliographie"/>
        <w:ind w:left="720" w:hanging="720"/>
        <w:rPr>
          <w:noProof/>
        </w:rPr>
      </w:pPr>
      <w:r w:rsidRPr="00862A15">
        <w:rPr>
          <w:noProof/>
        </w:rPr>
        <w:t xml:space="preserve">Karagiannopulos P.G., </w:t>
      </w:r>
      <w:r w:rsidRPr="00862A15">
        <w:rPr>
          <w:noProof/>
          <w:lang w:val="en-US"/>
        </w:rPr>
        <w:t>(</w:t>
      </w:r>
      <w:r w:rsidRPr="00862A15">
        <w:rPr>
          <w:noProof/>
        </w:rPr>
        <w:t>2020</w:t>
      </w:r>
      <w:r w:rsidRPr="00862A15">
        <w:rPr>
          <w:noProof/>
          <w:lang w:val="en-US"/>
        </w:rPr>
        <w:t>)</w:t>
      </w:r>
      <w:r w:rsidRPr="00862A15">
        <w:rPr>
          <w:noProof/>
        </w:rPr>
        <w:t xml:space="preserve">, Contribution of the interstitial pressure measurement to the determination of the parameters of the behaviour laws in monotonic and cyclic expansion tests,  Univ. Gustave Eiffel, PhD thesis, </w:t>
      </w:r>
    </w:p>
    <w:p w14:paraId="6EF43FDF" w14:textId="7EE2027B" w:rsidR="009165E0" w:rsidRDefault="009165E0" w:rsidP="009165E0">
      <w:pPr>
        <w:pStyle w:val="Bibliographie"/>
        <w:ind w:left="720" w:hanging="720"/>
        <w:rPr>
          <w:noProof/>
        </w:rPr>
      </w:pPr>
      <w:r>
        <w:rPr>
          <w:noProof/>
        </w:rPr>
        <w:t>Kayabasi, A., &amp; Gokceoglu, C. (2018). Liquefaction potential assessment of a region using different techniques (Tepebasi, Eskişehir, Turkey). Eng</w:t>
      </w:r>
      <w:r w:rsidR="00F5103B" w:rsidRPr="0076219F">
        <w:rPr>
          <w:noProof/>
          <w:lang w:val="sv-SE"/>
        </w:rPr>
        <w:t>.</w:t>
      </w:r>
      <w:r>
        <w:rPr>
          <w:noProof/>
        </w:rPr>
        <w:t xml:space="preserve"> Geol</w:t>
      </w:r>
      <w:r w:rsidR="00F5103B" w:rsidRPr="0076219F">
        <w:rPr>
          <w:noProof/>
          <w:lang w:val="sv-SE"/>
        </w:rPr>
        <w:t>.</w:t>
      </w:r>
      <w:r>
        <w:rPr>
          <w:noProof/>
        </w:rPr>
        <w:t>, 246, 139-161.</w:t>
      </w:r>
    </w:p>
    <w:p w14:paraId="2B433796" w14:textId="77777777" w:rsidR="009165E0" w:rsidRDefault="009165E0" w:rsidP="009165E0">
      <w:pPr>
        <w:pStyle w:val="Bibliographie"/>
        <w:ind w:left="720" w:hanging="720"/>
        <w:rPr>
          <w:noProof/>
        </w:rPr>
      </w:pPr>
      <w:r>
        <w:rPr>
          <w:noProof/>
        </w:rPr>
        <w:t>Masuda, K., Nagatoh, R., Tsukamoto, Y., &amp; Ishihara, K. (2005). Use of cyclic pressuremeter with multiple cells for evaluation of liquefaction resistance of soils. ISP5. Presses des Ponts Ed.</w:t>
      </w:r>
    </w:p>
    <w:p w14:paraId="4CB84CC8" w14:textId="77777777" w:rsidR="009165E0" w:rsidRDefault="009165E0" w:rsidP="009165E0">
      <w:pPr>
        <w:pStyle w:val="Bibliographie"/>
        <w:ind w:left="720" w:hanging="720"/>
        <w:rPr>
          <w:noProof/>
        </w:rPr>
      </w:pPr>
      <w:r>
        <w:rPr>
          <w:noProof/>
        </w:rPr>
        <w:t>Pass, D. (1991). Soil characterization of the deep accelerometer site at Treasure Island, San Francisco, California. Durham: Uni. New Hampshire.</w:t>
      </w:r>
    </w:p>
    <w:p w14:paraId="45B758A9" w14:textId="77777777" w:rsidR="00862A15" w:rsidRDefault="009165E0" w:rsidP="00862A15">
      <w:pPr>
        <w:pStyle w:val="Bibliographie"/>
        <w:ind w:left="720" w:hanging="720"/>
        <w:rPr>
          <w:noProof/>
        </w:rPr>
      </w:pPr>
      <w:r>
        <w:rPr>
          <w:noProof/>
        </w:rPr>
        <w:t>Reiffsteck, P., Lossy, D., &amp; Benoît, J. (2012). Forages, sondages et essais in situ géotechniques: Les outils pour la reconnaissance des sols et des roches. Paris: Presses des Ponts.</w:t>
      </w:r>
    </w:p>
    <w:p w14:paraId="2F28A39A" w14:textId="77777777" w:rsidR="00AB081E" w:rsidRDefault="00AB081E" w:rsidP="00862A15">
      <w:pPr>
        <w:pStyle w:val="Bibliographie"/>
        <w:ind w:left="720" w:hanging="720"/>
      </w:pPr>
      <w:r w:rsidRPr="00AB081E">
        <w:t>Robertson, P.K., and Wride, C.E., (1998), Evaluating Cyclic Liquefaction Potential using the Cone Penetration Test, Canadian Geotechnical Journal, (35): 442-459.</w:t>
      </w:r>
    </w:p>
    <w:p w14:paraId="7137735E" w14:textId="18EC9D70" w:rsidR="005C54A3" w:rsidRDefault="00B75EA1" w:rsidP="00B75EA1">
      <w:pPr>
        <w:pStyle w:val="Bibliographie"/>
        <w:ind w:left="720" w:hanging="720"/>
      </w:pPr>
      <w:r>
        <w:t xml:space="preserve">Robertson, P. K. (2009). Evaluation of flow liquefaction and liquefied strength using the cone penetration test. </w:t>
      </w:r>
      <w:r w:rsidR="00F5103B" w:rsidRPr="00007C23">
        <w:rPr>
          <w:lang w:val="en-US"/>
        </w:rPr>
        <w:t>ASCE JGGE</w:t>
      </w:r>
      <w:r>
        <w:t>, 136(6): 842–853.</w:t>
      </w:r>
    </w:p>
    <w:p w14:paraId="13C957D9" w14:textId="48D36787" w:rsidR="00AB081E" w:rsidRDefault="00862A15" w:rsidP="00B75EA1">
      <w:pPr>
        <w:pStyle w:val="Bibliographie"/>
        <w:ind w:left="720" w:hanging="720"/>
      </w:pPr>
      <w:r>
        <w:t>Seed, H.B.; Idriss, I.M. Simplified procedure for evaluating soil liquefaction potential. J. Soil Mech. Found.Div.</w:t>
      </w:r>
      <w:r w:rsidRPr="00FB5221">
        <w:rPr>
          <w:lang w:val="en-US"/>
        </w:rPr>
        <w:t xml:space="preserve"> </w:t>
      </w:r>
      <w:r>
        <w:t xml:space="preserve"> 1971, 97, 1249–1273</w:t>
      </w:r>
      <w:r w:rsidR="00AB081E" w:rsidRPr="00AB081E">
        <w:t xml:space="preserve"> </w:t>
      </w:r>
    </w:p>
    <w:p w14:paraId="26772218" w14:textId="77777777" w:rsidR="00AB7FD1" w:rsidRDefault="00AB081E" w:rsidP="00862A15">
      <w:pPr>
        <w:pStyle w:val="Bibliographie"/>
        <w:ind w:left="720" w:hanging="720"/>
      </w:pPr>
      <w:r w:rsidRPr="00AB081E">
        <w:t>Youd, T.L. and, et I.M. Idriss. (1997). Summary Papers. In Proceedings of the NCEER Workshop on Evaluation of Liquefaction Resistance of Soil, Salt Lake City, UT, January 5-6, 1996, Technical Report NCEER-97-0022, National Center for Earthquake Engineering Research, University at Buffalo.</w:t>
      </w:r>
      <w:r w:rsidR="00AB7FD1" w:rsidRPr="00AB7FD1">
        <w:t xml:space="preserve"> </w:t>
      </w:r>
    </w:p>
    <w:p w14:paraId="4D08EEC1" w14:textId="58E6EBF7" w:rsidR="00822934" w:rsidRPr="004403D9" w:rsidRDefault="00AB7FD1" w:rsidP="005C54A3">
      <w:pPr>
        <w:pStyle w:val="Bibliographie"/>
        <w:ind w:left="720" w:hanging="720"/>
        <w:rPr>
          <w:lang w:val="en-US"/>
        </w:rPr>
      </w:pPr>
      <w:r w:rsidRPr="00AB7FD1">
        <w:t xml:space="preserve">Youd, T.L., Idriss, I.M. Andrus R. D.,  Arango I., Castro G., Christian J.T., Dobry R., Finn W. D. L., Harder L. F. Jr., Hynes M. E., Ishihara K., Koester J. P., Liao S. S. C., Marcuson III W. F., Martin G. R., Mitchell J.K., Moriwaki Y., Power M. S., Robertson P. K., Seed R. B., Stokoe II K. H., 2001, Liquefaction resistance of soils: Summary report from the 1996 NCEER and 1998 NCEER/NSF Workshops on Evaluation of Liquefaction Resistance of Soils., </w:t>
      </w:r>
      <w:r w:rsidR="00F5103B" w:rsidRPr="00F5103B">
        <w:rPr>
          <w:lang w:val="en-US"/>
        </w:rPr>
        <w:t>ASCE JGGE</w:t>
      </w:r>
      <w:r w:rsidRPr="00AB7FD1">
        <w:t>. 127(10), 2001: 817-833.</w:t>
      </w:r>
    </w:p>
    <w:sectPr w:rsidR="00822934" w:rsidRPr="004403D9" w:rsidSect="00B84B6D">
      <w:headerReference w:type="default" r:id="rId21"/>
      <w:footerReference w:type="even" r:id="rId22"/>
      <w:footerReference w:type="default" r:id="rId23"/>
      <w:pgSz w:w="11879" w:h="16817"/>
      <w:pgMar w:top="1134" w:right="1134" w:bottom="1134" w:left="1134" w:header="454" w:footer="454"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B82A" w14:textId="77777777" w:rsidR="005918AE" w:rsidRDefault="005918AE" w:rsidP="00C23BB1">
      <w:r>
        <w:separator/>
      </w:r>
    </w:p>
    <w:p w14:paraId="641DE412" w14:textId="77777777" w:rsidR="005918AE" w:rsidRDefault="005918AE" w:rsidP="00C23BB1"/>
  </w:endnote>
  <w:endnote w:type="continuationSeparator" w:id="0">
    <w:p w14:paraId="08049306" w14:textId="77777777" w:rsidR="005918AE" w:rsidRDefault="005918AE" w:rsidP="00C23BB1">
      <w:r>
        <w:continuationSeparator/>
      </w:r>
    </w:p>
    <w:p w14:paraId="3289115E" w14:textId="77777777" w:rsidR="005918AE" w:rsidRDefault="005918AE" w:rsidP="00C23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4D"/>
    <w:family w:val="auto"/>
    <w:notTrueType/>
    <w:pitch w:val="default"/>
  </w:font>
  <w:font w:name="Arial Unicode MS">
    <w:panose1 w:val="020B0604020202020204"/>
    <w:charset w:val="80"/>
    <w:family w:val="swiss"/>
    <w:pitch w:val="variable"/>
    <w:sig w:usb0="F7FFAFFF" w:usb1="E9DFFFFF" w:usb2="0000003F" w:usb3="00000000" w:csb0="003F01FF" w:csb1="00000000"/>
  </w:font>
  <w:font w:name="TT Norms">
    <w:altName w:val="Times New Roman"/>
    <w:charset w:val="00"/>
    <w:family w:val="auto"/>
    <w:pitch w:val="variable"/>
    <w:sig w:usb0="00000001"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363" w14:textId="77777777" w:rsidR="000033F8" w:rsidRDefault="00B84B6D" w:rsidP="00C23BB1">
    <w:pPr>
      <w:rPr>
        <w:rStyle w:val="Numrodepage"/>
      </w:rPr>
    </w:pPr>
    <w:r>
      <w:rPr>
        <w:rStyle w:val="Numrodepage"/>
      </w:rPr>
      <w:fldChar w:fldCharType="begin"/>
    </w:r>
    <w:r>
      <w:rPr>
        <w:rStyle w:val="Numrodepage"/>
      </w:rPr>
      <w:instrText xml:space="preserve">PAGE  </w:instrText>
    </w:r>
    <w:r>
      <w:rPr>
        <w:rStyle w:val="Numrodepage"/>
      </w:rPr>
      <w:fldChar w:fldCharType="end"/>
    </w:r>
  </w:p>
  <w:p w14:paraId="335401C9" w14:textId="77777777" w:rsidR="000033F8" w:rsidRDefault="005918AE" w:rsidP="00C23BB1"/>
  <w:p w14:paraId="3ADF5141" w14:textId="77777777" w:rsidR="005F4F04" w:rsidRDefault="005F4F04" w:rsidP="00C23B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43F0" w14:textId="77777777" w:rsidR="000033F8" w:rsidRPr="00B16A79" w:rsidRDefault="00B84B6D" w:rsidP="00C23BB1">
    <w:pPr>
      <w:rPr>
        <w:rStyle w:val="Numrodepage"/>
        <w:rFonts w:cs="Arial"/>
        <w:sz w:val="22"/>
        <w:szCs w:val="22"/>
      </w:rPr>
    </w:pPr>
    <w:r w:rsidRPr="00B16A79">
      <w:rPr>
        <w:rStyle w:val="Numrodepage"/>
        <w:rFonts w:cs="Arial"/>
        <w:sz w:val="22"/>
        <w:szCs w:val="22"/>
      </w:rPr>
      <w:fldChar w:fldCharType="begin"/>
    </w:r>
    <w:r w:rsidRPr="00B16A79">
      <w:rPr>
        <w:rStyle w:val="Numrodepage"/>
        <w:rFonts w:cs="Arial"/>
        <w:sz w:val="22"/>
        <w:szCs w:val="22"/>
      </w:rPr>
      <w:instrText xml:space="preserve">PAGE  </w:instrText>
    </w:r>
    <w:r w:rsidRPr="00B16A79">
      <w:rPr>
        <w:rStyle w:val="Numrodepage"/>
        <w:rFonts w:cs="Arial"/>
        <w:sz w:val="22"/>
        <w:szCs w:val="22"/>
      </w:rPr>
      <w:fldChar w:fldCharType="separate"/>
    </w:r>
    <w:r w:rsidR="00007C23">
      <w:rPr>
        <w:rStyle w:val="Numrodepage"/>
        <w:rFonts w:cs="Arial"/>
        <w:noProof/>
        <w:sz w:val="22"/>
        <w:szCs w:val="22"/>
      </w:rPr>
      <w:t>2</w:t>
    </w:r>
    <w:r w:rsidRPr="00B16A79">
      <w:rPr>
        <w:rStyle w:val="Numrodepage"/>
        <w:rFonts w:cs="Arial"/>
        <w:sz w:val="22"/>
        <w:szCs w:val="22"/>
      </w:rPr>
      <w:fldChar w:fldCharType="end"/>
    </w:r>
  </w:p>
  <w:p w14:paraId="62F35009" w14:textId="77777777" w:rsidR="000033F8" w:rsidRDefault="005918AE" w:rsidP="00C23BB1"/>
  <w:p w14:paraId="47510E97" w14:textId="77777777" w:rsidR="005F4F04" w:rsidRDefault="005F4F04" w:rsidP="00C23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8AA5" w14:textId="77777777" w:rsidR="005918AE" w:rsidRDefault="005918AE" w:rsidP="00C23BB1">
      <w:r>
        <w:separator/>
      </w:r>
    </w:p>
    <w:p w14:paraId="5F3884ED" w14:textId="77777777" w:rsidR="005918AE" w:rsidRDefault="005918AE" w:rsidP="00C23BB1"/>
  </w:footnote>
  <w:footnote w:type="continuationSeparator" w:id="0">
    <w:p w14:paraId="24723E32" w14:textId="77777777" w:rsidR="005918AE" w:rsidRDefault="005918AE" w:rsidP="00C23BB1">
      <w:r>
        <w:continuationSeparator/>
      </w:r>
    </w:p>
    <w:p w14:paraId="4DC8C44D" w14:textId="77777777" w:rsidR="005918AE" w:rsidRDefault="005918AE" w:rsidP="00C23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4965" w14:textId="77777777" w:rsidR="000033F8" w:rsidRPr="003007F5" w:rsidRDefault="0013118E" w:rsidP="00C23BB1">
    <w:pPr>
      <w:pStyle w:val="En-tte"/>
      <w:rPr>
        <w:sz w:val="20"/>
      </w:rPr>
    </w:pPr>
    <w:r w:rsidRPr="003007F5">
      <w:rPr>
        <w:sz w:val="20"/>
      </w:rPr>
      <w:t>11</w:t>
    </w:r>
    <w:r w:rsidRPr="003007F5">
      <w:rPr>
        <w:sz w:val="20"/>
        <w:vertAlign w:val="superscript"/>
      </w:rPr>
      <w:t>emes</w:t>
    </w:r>
    <w:r w:rsidRPr="003007F5">
      <w:rPr>
        <w:sz w:val="20"/>
      </w:rPr>
      <w:t xml:space="preserve"> </w:t>
    </w:r>
    <w:r w:rsidR="00B84B6D" w:rsidRPr="003007F5">
      <w:rPr>
        <w:sz w:val="20"/>
      </w:rPr>
      <w:t>Journées Nationales de Géotechnique et de Géologie de l’Ingénieur – Lyon 202</w:t>
    </w:r>
    <w:r w:rsidRPr="003007F5">
      <w:rPr>
        <w:sz w:val="20"/>
      </w:rPr>
      <w:t>2</w:t>
    </w:r>
  </w:p>
  <w:p w14:paraId="1057AAF8" w14:textId="77777777" w:rsidR="000033F8" w:rsidRDefault="005918AE" w:rsidP="00C23BB1"/>
  <w:p w14:paraId="0E46A890" w14:textId="77777777" w:rsidR="000033F8" w:rsidRDefault="005918AE" w:rsidP="00C23BB1"/>
  <w:p w14:paraId="32454069" w14:textId="77777777" w:rsidR="005F4F04" w:rsidRDefault="005F4F04" w:rsidP="00C23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6B14"/>
    <w:multiLevelType w:val="multilevel"/>
    <w:tmpl w:val="1054C22E"/>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8545B81"/>
    <w:multiLevelType w:val="multilevel"/>
    <w:tmpl w:val="E42E37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455656A"/>
    <w:multiLevelType w:val="hybridMultilevel"/>
    <w:tmpl w:val="BD1C7768"/>
    <w:lvl w:ilvl="0" w:tplc="E90C1506">
      <w:start w:val="1"/>
      <w:numFmt w:val="decimal"/>
      <w:pStyle w:val="Lgendefigure"/>
      <w:lvlText w:val="Figure %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6D"/>
    <w:rsid w:val="00007C23"/>
    <w:rsid w:val="0001702B"/>
    <w:rsid w:val="0013118E"/>
    <w:rsid w:val="00143609"/>
    <w:rsid w:val="001A5F98"/>
    <w:rsid w:val="001D2A8A"/>
    <w:rsid w:val="001E215D"/>
    <w:rsid w:val="003007F5"/>
    <w:rsid w:val="003B57BD"/>
    <w:rsid w:val="003D0B77"/>
    <w:rsid w:val="0040401F"/>
    <w:rsid w:val="004403D9"/>
    <w:rsid w:val="004B2C32"/>
    <w:rsid w:val="004B5AD4"/>
    <w:rsid w:val="005221E5"/>
    <w:rsid w:val="005918AE"/>
    <w:rsid w:val="005C0803"/>
    <w:rsid w:val="005C54A3"/>
    <w:rsid w:val="005F4F04"/>
    <w:rsid w:val="006005FE"/>
    <w:rsid w:val="006E6A53"/>
    <w:rsid w:val="006E6ADE"/>
    <w:rsid w:val="00704CEC"/>
    <w:rsid w:val="0076219F"/>
    <w:rsid w:val="007E604C"/>
    <w:rsid w:val="00850A37"/>
    <w:rsid w:val="00862A15"/>
    <w:rsid w:val="008F1554"/>
    <w:rsid w:val="009165E0"/>
    <w:rsid w:val="00981C8E"/>
    <w:rsid w:val="009F2233"/>
    <w:rsid w:val="00A82417"/>
    <w:rsid w:val="00AB081E"/>
    <w:rsid w:val="00AB7FD1"/>
    <w:rsid w:val="00B216EB"/>
    <w:rsid w:val="00B456AE"/>
    <w:rsid w:val="00B75EA1"/>
    <w:rsid w:val="00B84B6D"/>
    <w:rsid w:val="00BE1A84"/>
    <w:rsid w:val="00BE7576"/>
    <w:rsid w:val="00C23BB1"/>
    <w:rsid w:val="00DC4C5D"/>
    <w:rsid w:val="00DE7968"/>
    <w:rsid w:val="00E228CC"/>
    <w:rsid w:val="00EC0A7C"/>
    <w:rsid w:val="00F5103B"/>
    <w:rsid w:val="00FB5221"/>
    <w:rsid w:val="00FC35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40C75"/>
  <w15:docId w15:val="{D9631CA8-5220-43E8-A387-D51955D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5D"/>
    <w:pPr>
      <w:spacing w:after="0" w:line="240" w:lineRule="auto"/>
      <w:ind w:firstLine="284"/>
      <w:jc w:val="both"/>
    </w:pPr>
    <w:rPr>
      <w:rFonts w:ascii="Arial" w:eastAsia="Times New Roman" w:hAnsi="Arial" w:cs="Times New Roman"/>
      <w:iCs/>
      <w:sz w:val="24"/>
      <w:szCs w:val="20"/>
      <w:lang w:val="x-none" w:eastAsia="x-none"/>
    </w:rPr>
  </w:style>
  <w:style w:type="paragraph" w:styleId="Titre1">
    <w:name w:val="heading 1"/>
    <w:aliases w:val="heading 1"/>
    <w:basedOn w:val="Normal"/>
    <w:next w:val="Normal"/>
    <w:link w:val="Titre1Car"/>
    <w:uiPriority w:val="9"/>
    <w:qFormat/>
    <w:rsid w:val="00B84B6D"/>
    <w:pPr>
      <w:keepNext/>
      <w:numPr>
        <w:numId w:val="1"/>
      </w:numPr>
      <w:spacing w:before="240" w:after="120"/>
      <w:outlineLvl w:val="0"/>
    </w:pPr>
    <w:rPr>
      <w:b/>
      <w:bCs/>
      <w:kern w:val="32"/>
      <w:szCs w:val="24"/>
    </w:rPr>
  </w:style>
  <w:style w:type="paragraph" w:styleId="Titre2">
    <w:name w:val="heading 2"/>
    <w:aliases w:val="heading 2"/>
    <w:basedOn w:val="Normal"/>
    <w:next w:val="Listenumros2"/>
    <w:link w:val="Titre2Car"/>
    <w:qFormat/>
    <w:rsid w:val="00B84B6D"/>
    <w:pPr>
      <w:keepNext/>
      <w:spacing w:before="240" w:after="120"/>
      <w:ind w:left="360" w:hanging="360"/>
      <w:outlineLvl w:val="1"/>
    </w:pPr>
    <w:rPr>
      <w:b/>
      <w:i/>
      <w:szCs w:val="24"/>
    </w:rPr>
  </w:style>
  <w:style w:type="paragraph" w:styleId="Titre3">
    <w:name w:val="heading 3"/>
    <w:aliases w:val="heading 3"/>
    <w:basedOn w:val="Normal"/>
    <w:next w:val="Normal"/>
    <w:link w:val="Titre3Car"/>
    <w:unhideWhenUsed/>
    <w:qFormat/>
    <w:rsid w:val="00C23BB1"/>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re4">
    <w:name w:val="heading 4"/>
    <w:aliases w:val="Not to be used"/>
    <w:basedOn w:val="Normal"/>
    <w:next w:val="Normal"/>
    <w:link w:val="Titre4Car"/>
    <w:unhideWhenUsed/>
    <w:qFormat/>
    <w:rsid w:val="00C23BB1"/>
    <w:pPr>
      <w:keepNext/>
      <w:widowControl w:val="0"/>
      <w:tabs>
        <w:tab w:val="left" w:pos="567"/>
        <w:tab w:val="num" w:pos="864"/>
      </w:tabs>
      <w:spacing w:before="240"/>
      <w:ind w:left="862" w:hanging="862"/>
      <w:outlineLvl w:val="3"/>
    </w:pPr>
    <w:rPr>
      <w:i/>
      <w:noProof/>
      <w:w w:val="80"/>
      <w:szCs w:val="24"/>
    </w:rPr>
  </w:style>
  <w:style w:type="paragraph" w:styleId="Titre5">
    <w:name w:val="heading 5"/>
    <w:basedOn w:val="Normal"/>
    <w:next w:val="Normal"/>
    <w:link w:val="Titre5Car"/>
    <w:semiHidden/>
    <w:unhideWhenUsed/>
    <w:qFormat/>
    <w:rsid w:val="00C23BB1"/>
    <w:pPr>
      <w:keepNext/>
      <w:tabs>
        <w:tab w:val="num" w:pos="1008"/>
      </w:tabs>
      <w:spacing w:before="1520" w:line="160" w:lineRule="exact"/>
      <w:ind w:left="1008" w:hanging="1008"/>
      <w:outlineLvl w:val="4"/>
    </w:pPr>
    <w:rPr>
      <w:b/>
      <w:noProof/>
      <w:color w:val="000080"/>
      <w:w w:val="55"/>
      <w:kern w:val="60"/>
      <w:sz w:val="22"/>
      <w:szCs w:val="24"/>
    </w:rPr>
  </w:style>
  <w:style w:type="paragraph" w:styleId="Titre6">
    <w:name w:val="heading 6"/>
    <w:basedOn w:val="Normal"/>
    <w:next w:val="Normal"/>
    <w:link w:val="Titre6Car"/>
    <w:semiHidden/>
    <w:unhideWhenUsed/>
    <w:qFormat/>
    <w:rsid w:val="00C23BB1"/>
    <w:pPr>
      <w:keepNext/>
      <w:tabs>
        <w:tab w:val="num" w:pos="1152"/>
      </w:tabs>
      <w:spacing w:before="1260" w:line="320" w:lineRule="exact"/>
      <w:ind w:left="1152" w:hanging="1152"/>
      <w:outlineLvl w:val="5"/>
    </w:pPr>
    <w:rPr>
      <w:b/>
      <w:noProof/>
      <w:w w:val="55"/>
      <w:kern w:val="60"/>
      <w:sz w:val="30"/>
      <w:szCs w:val="24"/>
    </w:rPr>
  </w:style>
  <w:style w:type="paragraph" w:styleId="Titre7">
    <w:name w:val="heading 7"/>
    <w:basedOn w:val="Normal"/>
    <w:next w:val="Normal"/>
    <w:link w:val="Titre7Car"/>
    <w:semiHidden/>
    <w:unhideWhenUsed/>
    <w:qFormat/>
    <w:rsid w:val="00C23BB1"/>
    <w:pPr>
      <w:tabs>
        <w:tab w:val="num" w:pos="1296"/>
      </w:tabs>
      <w:spacing w:before="240" w:after="60"/>
      <w:ind w:left="1296" w:hanging="1296"/>
      <w:outlineLvl w:val="6"/>
    </w:pPr>
    <w:rPr>
      <w:noProof/>
      <w:szCs w:val="24"/>
    </w:rPr>
  </w:style>
  <w:style w:type="paragraph" w:styleId="Titre8">
    <w:name w:val="heading 8"/>
    <w:basedOn w:val="Normal"/>
    <w:next w:val="Normal"/>
    <w:link w:val="Titre8Car"/>
    <w:semiHidden/>
    <w:unhideWhenUsed/>
    <w:qFormat/>
    <w:rsid w:val="00C23BB1"/>
    <w:pPr>
      <w:tabs>
        <w:tab w:val="num" w:pos="1440"/>
      </w:tabs>
      <w:spacing w:before="240" w:after="60"/>
      <w:ind w:left="1440" w:hanging="1440"/>
      <w:outlineLvl w:val="7"/>
    </w:pPr>
    <w:rPr>
      <w:i/>
      <w:noProof/>
      <w:szCs w:val="24"/>
    </w:rPr>
  </w:style>
  <w:style w:type="paragraph" w:styleId="Titre9">
    <w:name w:val="heading 9"/>
    <w:basedOn w:val="Normal"/>
    <w:next w:val="Normal"/>
    <w:link w:val="Titre9Car"/>
    <w:semiHidden/>
    <w:unhideWhenUsed/>
    <w:qFormat/>
    <w:rsid w:val="00C23BB1"/>
    <w:pPr>
      <w:tabs>
        <w:tab w:val="num" w:pos="1584"/>
      </w:tabs>
      <w:spacing w:before="240" w:after="60"/>
      <w:ind w:left="1584" w:hanging="1584"/>
      <w:outlineLvl w:val="8"/>
    </w:pPr>
    <w:rPr>
      <w:b/>
      <w:i/>
      <w:noProo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ar"/>
    <w:basedOn w:val="Policepardfaut"/>
    <w:link w:val="Titre1"/>
    <w:uiPriority w:val="9"/>
    <w:rsid w:val="00B84B6D"/>
    <w:rPr>
      <w:rFonts w:ascii="Arial" w:eastAsia="Times New Roman" w:hAnsi="Arial" w:cs="Times New Roman"/>
      <w:b/>
      <w:bCs/>
      <w:iCs/>
      <w:kern w:val="32"/>
      <w:sz w:val="24"/>
      <w:szCs w:val="24"/>
      <w:lang w:val="x-none" w:eastAsia="x-none"/>
    </w:rPr>
  </w:style>
  <w:style w:type="character" w:customStyle="1" w:styleId="Titre2Car">
    <w:name w:val="Titre 2 Car"/>
    <w:aliases w:val="heading 2 Car"/>
    <w:basedOn w:val="Policepardfaut"/>
    <w:link w:val="Titre2"/>
    <w:rsid w:val="00B84B6D"/>
    <w:rPr>
      <w:rFonts w:ascii="Arial" w:eastAsia="Times New Roman" w:hAnsi="Arial" w:cs="Times New Roman"/>
      <w:b/>
      <w:i/>
      <w:sz w:val="24"/>
      <w:szCs w:val="24"/>
      <w:lang w:eastAsia="fr-FR"/>
    </w:rPr>
  </w:style>
  <w:style w:type="paragraph" w:styleId="En-tte">
    <w:name w:val="header"/>
    <w:basedOn w:val="Normal"/>
    <w:link w:val="En-tteCar"/>
    <w:rsid w:val="00B84B6D"/>
    <w:pPr>
      <w:tabs>
        <w:tab w:val="center" w:pos="4536"/>
        <w:tab w:val="right" w:pos="9072"/>
      </w:tabs>
      <w:jc w:val="center"/>
    </w:pPr>
    <w:rPr>
      <w:rFonts w:cs="Arial"/>
      <w:i/>
    </w:rPr>
  </w:style>
  <w:style w:type="character" w:customStyle="1" w:styleId="En-tteCar">
    <w:name w:val="En-tête Car"/>
    <w:basedOn w:val="Policepardfaut"/>
    <w:link w:val="En-tte"/>
    <w:rsid w:val="00B84B6D"/>
    <w:rPr>
      <w:rFonts w:ascii="Arial" w:eastAsia="Times New Roman" w:hAnsi="Arial" w:cs="Arial"/>
      <w:i/>
      <w:sz w:val="20"/>
      <w:szCs w:val="20"/>
      <w:lang w:eastAsia="fr-FR"/>
    </w:rPr>
  </w:style>
  <w:style w:type="paragraph" w:customStyle="1" w:styleId="auteurs">
    <w:name w:val="auteurs"/>
    <w:basedOn w:val="Normal"/>
    <w:autoRedefine/>
    <w:rsid w:val="00DC4C5D"/>
    <w:pPr>
      <w:ind w:firstLine="0"/>
    </w:pPr>
    <w:rPr>
      <w:iCs w:val="0"/>
    </w:rPr>
  </w:style>
  <w:style w:type="paragraph" w:customStyle="1" w:styleId="titredeniveau3">
    <w:name w:val="titre de niveau 3"/>
    <w:basedOn w:val="Normal"/>
    <w:rsid w:val="00B84B6D"/>
    <w:pPr>
      <w:spacing w:before="240" w:after="120"/>
      <w:outlineLvl w:val="2"/>
    </w:pPr>
  </w:style>
  <w:style w:type="paragraph" w:customStyle="1" w:styleId="titredefigure">
    <w:name w:val="titre de figure"/>
    <w:basedOn w:val="auteurs"/>
    <w:rsid w:val="00B84B6D"/>
    <w:pPr>
      <w:spacing w:before="240" w:after="240"/>
      <w:jc w:val="center"/>
    </w:pPr>
    <w:rPr>
      <w:sz w:val="22"/>
    </w:rPr>
  </w:style>
  <w:style w:type="paragraph" w:customStyle="1" w:styleId="textedursum">
    <w:name w:val="texte du résumé"/>
    <w:basedOn w:val="Normal"/>
    <w:rsid w:val="00B84B6D"/>
  </w:style>
  <w:style w:type="paragraph" w:customStyle="1" w:styleId="Formule">
    <w:name w:val="Formule"/>
    <w:basedOn w:val="Normal"/>
    <w:rsid w:val="00B84B6D"/>
    <w:pPr>
      <w:tabs>
        <w:tab w:val="left" w:pos="284"/>
      </w:tabs>
      <w:jc w:val="center"/>
    </w:pPr>
    <w:rPr>
      <w:sz w:val="22"/>
    </w:rPr>
  </w:style>
  <w:style w:type="paragraph" w:customStyle="1" w:styleId="Corpsdetexte12">
    <w:name w:val="Corps de texte 12"/>
    <w:basedOn w:val="Normal"/>
    <w:next w:val="Corpsdetexte12retrait5mm"/>
    <w:link w:val="Corpsdetexte12Car"/>
    <w:rsid w:val="00B84B6D"/>
    <w:pPr>
      <w:ind w:left="284" w:hanging="284"/>
    </w:pPr>
  </w:style>
  <w:style w:type="paragraph" w:customStyle="1" w:styleId="textofenglishabstract">
    <w:name w:val="text of english abstract"/>
    <w:basedOn w:val="Normal"/>
    <w:rsid w:val="00B84B6D"/>
    <w:rPr>
      <w:sz w:val="22"/>
      <w:lang w:val="en-GB"/>
    </w:rPr>
  </w:style>
  <w:style w:type="paragraph" w:styleId="Titre">
    <w:name w:val="Title"/>
    <w:basedOn w:val="Normal"/>
    <w:link w:val="TitreCar"/>
    <w:qFormat/>
    <w:rsid w:val="00B84B6D"/>
    <w:pPr>
      <w:spacing w:before="240" w:after="60"/>
      <w:outlineLvl w:val="0"/>
    </w:pPr>
    <w:rPr>
      <w:rFonts w:cs="Arial"/>
      <w:b/>
      <w:bCs/>
      <w:kern w:val="28"/>
      <w:sz w:val="30"/>
      <w:szCs w:val="30"/>
    </w:rPr>
  </w:style>
  <w:style w:type="character" w:customStyle="1" w:styleId="TitreCar">
    <w:name w:val="Titre Car"/>
    <w:basedOn w:val="Policepardfaut"/>
    <w:link w:val="Titre"/>
    <w:rsid w:val="00B84B6D"/>
    <w:rPr>
      <w:rFonts w:ascii="Arial" w:eastAsia="Times New Roman" w:hAnsi="Arial" w:cs="Arial"/>
      <w:b/>
      <w:bCs/>
      <w:kern w:val="28"/>
      <w:sz w:val="30"/>
      <w:szCs w:val="30"/>
      <w:lang w:eastAsia="fr-FR"/>
    </w:rPr>
  </w:style>
  <w:style w:type="paragraph" w:customStyle="1" w:styleId="affiliationdesauteurs">
    <w:name w:val="affiliation des auteurs"/>
    <w:basedOn w:val="auteurs"/>
    <w:next w:val="textedursum"/>
    <w:rsid w:val="00B84B6D"/>
    <w:rPr>
      <w:i/>
    </w:rPr>
  </w:style>
  <w:style w:type="character" w:styleId="Numrodepage">
    <w:name w:val="page number"/>
    <w:basedOn w:val="Policepardfaut"/>
    <w:rsid w:val="00B84B6D"/>
  </w:style>
  <w:style w:type="paragraph" w:customStyle="1" w:styleId="Rfrencesbibliographiques12">
    <w:name w:val="Références bibliographiques 12"/>
    <w:basedOn w:val="Normal"/>
    <w:link w:val="Rfrencesbibliographiques12Car"/>
    <w:rsid w:val="00B84B6D"/>
  </w:style>
  <w:style w:type="character" w:customStyle="1" w:styleId="Rfrencesbibliographiques12Car">
    <w:name w:val="Références bibliographiques 12 Car"/>
    <w:link w:val="Rfrencesbibliographiques12"/>
    <w:rsid w:val="00B84B6D"/>
    <w:rPr>
      <w:rFonts w:ascii="Arial" w:eastAsia="Times New Roman" w:hAnsi="Arial" w:cs="Times New Roman"/>
      <w:sz w:val="24"/>
      <w:szCs w:val="20"/>
      <w:lang w:eastAsia="fr-FR"/>
    </w:rPr>
  </w:style>
  <w:style w:type="paragraph" w:customStyle="1" w:styleId="Corpsdetexte12retrait5mm">
    <w:name w:val="Corps de texte 12 + retrait 5mm"/>
    <w:basedOn w:val="Corpsdetexte12"/>
    <w:link w:val="Corpsdetexte12retrait5mmCar"/>
    <w:rsid w:val="00B84B6D"/>
    <w:pPr>
      <w:ind w:left="0" w:firstLine="0"/>
    </w:pPr>
    <w:rPr>
      <w:iCs w:val="0"/>
    </w:rPr>
  </w:style>
  <w:style w:type="character" w:customStyle="1" w:styleId="Corpsdetexte12Car">
    <w:name w:val="Corps de texte 12 Car"/>
    <w:link w:val="Corpsdetexte12"/>
    <w:rsid w:val="00B84B6D"/>
    <w:rPr>
      <w:rFonts w:ascii="Arial" w:eastAsia="Times New Roman" w:hAnsi="Arial" w:cs="Times New Roman"/>
      <w:sz w:val="24"/>
      <w:szCs w:val="20"/>
      <w:lang w:val="x-none" w:eastAsia="x-none"/>
    </w:rPr>
  </w:style>
  <w:style w:type="character" w:customStyle="1" w:styleId="Corpsdetexte12retrait5mmCar">
    <w:name w:val="Corps de texte 12 + retrait 5mm Car"/>
    <w:link w:val="Corpsdetexte12retrait5mm"/>
    <w:rsid w:val="00B84B6D"/>
    <w:rPr>
      <w:rFonts w:ascii="Arial" w:eastAsia="Times New Roman" w:hAnsi="Arial" w:cs="Times New Roman"/>
      <w:iCs/>
      <w:sz w:val="24"/>
      <w:szCs w:val="20"/>
      <w:lang w:val="x-none" w:eastAsia="x-none"/>
    </w:rPr>
  </w:style>
  <w:style w:type="paragraph" w:customStyle="1" w:styleId="Style12ptPremireligne05cm">
    <w:name w:val="Style 12 pt Première ligne : 05 cm"/>
    <w:basedOn w:val="Normal"/>
    <w:rsid w:val="00B84B6D"/>
  </w:style>
  <w:style w:type="paragraph" w:styleId="Sous-titre">
    <w:name w:val="Subtitle"/>
    <w:basedOn w:val="Normal"/>
    <w:next w:val="Normal"/>
    <w:link w:val="Sous-titreCar"/>
    <w:qFormat/>
    <w:rsid w:val="00B84B6D"/>
    <w:pPr>
      <w:spacing w:after="60"/>
      <w:jc w:val="center"/>
      <w:outlineLvl w:val="1"/>
    </w:pPr>
    <w:rPr>
      <w:rFonts w:ascii="Cambria" w:hAnsi="Cambria"/>
      <w:szCs w:val="24"/>
    </w:rPr>
  </w:style>
  <w:style w:type="character" w:customStyle="1" w:styleId="Sous-titreCar">
    <w:name w:val="Sous-titre Car"/>
    <w:basedOn w:val="Policepardfaut"/>
    <w:link w:val="Sous-titre"/>
    <w:rsid w:val="00B84B6D"/>
    <w:rPr>
      <w:rFonts w:ascii="Cambria" w:eastAsia="Times New Roman" w:hAnsi="Cambria" w:cs="Times New Roman"/>
      <w:sz w:val="24"/>
      <w:szCs w:val="24"/>
      <w:lang w:val="x-none" w:eastAsia="x-none"/>
    </w:rPr>
  </w:style>
  <w:style w:type="paragraph" w:styleId="Listenumros2">
    <w:name w:val="List Number 2"/>
    <w:basedOn w:val="Normal"/>
    <w:uiPriority w:val="99"/>
    <w:semiHidden/>
    <w:unhideWhenUsed/>
    <w:rsid w:val="00B84B6D"/>
    <w:pPr>
      <w:ind w:left="720" w:hanging="360"/>
      <w:contextualSpacing/>
    </w:pPr>
  </w:style>
  <w:style w:type="paragraph" w:styleId="Pieddepage">
    <w:name w:val="footer"/>
    <w:basedOn w:val="Normal"/>
    <w:link w:val="PieddepageCar"/>
    <w:uiPriority w:val="99"/>
    <w:unhideWhenUsed/>
    <w:rsid w:val="0013118E"/>
    <w:pPr>
      <w:tabs>
        <w:tab w:val="center" w:pos="4536"/>
        <w:tab w:val="right" w:pos="9072"/>
      </w:tabs>
    </w:pPr>
  </w:style>
  <w:style w:type="character" w:customStyle="1" w:styleId="PieddepageCar">
    <w:name w:val="Pied de page Car"/>
    <w:basedOn w:val="Policepardfaut"/>
    <w:link w:val="Pieddepage"/>
    <w:uiPriority w:val="99"/>
    <w:rsid w:val="0013118E"/>
    <w:rPr>
      <w:rFonts w:ascii="Avant Garde" w:eastAsia="Times New Roman" w:hAnsi="Avant Garde" w:cs="Times New Roman"/>
      <w:sz w:val="20"/>
      <w:szCs w:val="20"/>
      <w:lang w:eastAsia="fr-FR"/>
    </w:rPr>
  </w:style>
  <w:style w:type="paragraph" w:customStyle="1" w:styleId="Lgendefigure">
    <w:name w:val="Légende figure"/>
    <w:basedOn w:val="Lgende"/>
    <w:link w:val="LgendefigureCar"/>
    <w:qFormat/>
    <w:rsid w:val="00B216EB"/>
    <w:pPr>
      <w:numPr>
        <w:numId w:val="8"/>
      </w:numPr>
      <w:spacing w:after="120"/>
      <w:ind w:firstLine="0"/>
      <w:jc w:val="center"/>
    </w:pPr>
    <w:rPr>
      <w:rFonts w:eastAsia="Arial Unicode MS" w:cs="Arial"/>
      <w:i w:val="0"/>
      <w:color w:val="000000" w:themeColor="text1"/>
      <w:sz w:val="22"/>
      <w:szCs w:val="16"/>
      <w:lang w:eastAsia="en-US"/>
    </w:rPr>
  </w:style>
  <w:style w:type="character" w:customStyle="1" w:styleId="LgendefigureCar">
    <w:name w:val="Légende figure Car"/>
    <w:basedOn w:val="Policepardfaut"/>
    <w:link w:val="Lgendefigure"/>
    <w:rsid w:val="00B216EB"/>
    <w:rPr>
      <w:rFonts w:ascii="Arial" w:eastAsia="Arial Unicode MS" w:hAnsi="Arial" w:cs="Arial"/>
      <w:color w:val="000000" w:themeColor="text1"/>
      <w:szCs w:val="16"/>
      <w:lang w:val="x-none"/>
    </w:rPr>
  </w:style>
  <w:style w:type="paragraph" w:styleId="Lgende">
    <w:name w:val="caption"/>
    <w:basedOn w:val="Normal"/>
    <w:next w:val="Normal"/>
    <w:uiPriority w:val="35"/>
    <w:semiHidden/>
    <w:unhideWhenUsed/>
    <w:qFormat/>
    <w:rsid w:val="00C23BB1"/>
    <w:pPr>
      <w:spacing w:after="200"/>
    </w:pPr>
    <w:rPr>
      <w:i/>
      <w:iCs w:val="0"/>
      <w:color w:val="44546A" w:themeColor="text2"/>
      <w:sz w:val="18"/>
      <w:szCs w:val="18"/>
    </w:rPr>
  </w:style>
  <w:style w:type="paragraph" w:styleId="Corpsdetexte">
    <w:name w:val="Body Text"/>
    <w:basedOn w:val="Normal"/>
    <w:link w:val="CorpsdetexteCar"/>
    <w:uiPriority w:val="99"/>
    <w:qFormat/>
    <w:rsid w:val="00C23BB1"/>
    <w:pPr>
      <w:widowControl w:val="0"/>
      <w:autoSpaceDE w:val="0"/>
      <w:autoSpaceDN w:val="0"/>
    </w:pPr>
    <w:rPr>
      <w:rFonts w:ascii="TT Norms" w:eastAsia="TT Norms" w:hAnsi="TT Norms" w:cs="TT Norms"/>
      <w:color w:val="2F2A85"/>
      <w:szCs w:val="18"/>
      <w:lang w:bidi="fr-FR"/>
    </w:rPr>
  </w:style>
  <w:style w:type="character" w:customStyle="1" w:styleId="CorpsdetexteCar">
    <w:name w:val="Corps de texte Car"/>
    <w:basedOn w:val="Policepardfaut"/>
    <w:link w:val="Corpsdetexte"/>
    <w:uiPriority w:val="99"/>
    <w:rsid w:val="00C23BB1"/>
    <w:rPr>
      <w:rFonts w:ascii="TT Norms" w:eastAsia="TT Norms" w:hAnsi="TT Norms" w:cs="TT Norms"/>
      <w:color w:val="2F2A85"/>
      <w:sz w:val="20"/>
      <w:szCs w:val="18"/>
      <w:lang w:eastAsia="fr-FR" w:bidi="fr-FR"/>
    </w:rPr>
  </w:style>
  <w:style w:type="character" w:customStyle="1" w:styleId="Titre3Car">
    <w:name w:val="Titre 3 Car"/>
    <w:aliases w:val="heading 3 Car"/>
    <w:basedOn w:val="Policepardfaut"/>
    <w:link w:val="Titre3"/>
    <w:uiPriority w:val="9"/>
    <w:semiHidden/>
    <w:rsid w:val="00C23BB1"/>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aliases w:val="Not to be used Car"/>
    <w:basedOn w:val="Policepardfaut"/>
    <w:link w:val="Titre4"/>
    <w:rsid w:val="00C23BB1"/>
    <w:rPr>
      <w:rFonts w:ascii="Arial" w:eastAsia="Times New Roman" w:hAnsi="Arial" w:cs="Times New Roman"/>
      <w:i/>
      <w:noProof/>
      <w:w w:val="80"/>
      <w:sz w:val="20"/>
      <w:szCs w:val="24"/>
      <w:lang w:eastAsia="fr-FR"/>
    </w:rPr>
  </w:style>
  <w:style w:type="character" w:customStyle="1" w:styleId="Titre5Car">
    <w:name w:val="Titre 5 Car"/>
    <w:basedOn w:val="Policepardfaut"/>
    <w:link w:val="Titre5"/>
    <w:semiHidden/>
    <w:rsid w:val="00C23BB1"/>
    <w:rPr>
      <w:rFonts w:ascii="Arial" w:eastAsia="Times New Roman" w:hAnsi="Arial" w:cs="Times New Roman"/>
      <w:b/>
      <w:noProof/>
      <w:color w:val="000080"/>
      <w:w w:val="55"/>
      <w:kern w:val="60"/>
      <w:szCs w:val="24"/>
      <w:lang w:eastAsia="fr-FR"/>
    </w:rPr>
  </w:style>
  <w:style w:type="character" w:customStyle="1" w:styleId="Titre6Car">
    <w:name w:val="Titre 6 Car"/>
    <w:basedOn w:val="Policepardfaut"/>
    <w:link w:val="Titre6"/>
    <w:semiHidden/>
    <w:rsid w:val="00C23BB1"/>
    <w:rPr>
      <w:rFonts w:ascii="Arial" w:eastAsia="Times New Roman" w:hAnsi="Arial" w:cs="Times New Roman"/>
      <w:b/>
      <w:noProof/>
      <w:w w:val="55"/>
      <w:kern w:val="60"/>
      <w:sz w:val="30"/>
      <w:szCs w:val="24"/>
      <w:lang w:eastAsia="fr-FR"/>
    </w:rPr>
  </w:style>
  <w:style w:type="character" w:customStyle="1" w:styleId="Titre7Car">
    <w:name w:val="Titre 7 Car"/>
    <w:basedOn w:val="Policepardfaut"/>
    <w:link w:val="Titre7"/>
    <w:semiHidden/>
    <w:rsid w:val="00C23BB1"/>
    <w:rPr>
      <w:rFonts w:ascii="Arial" w:eastAsia="Times New Roman" w:hAnsi="Arial" w:cs="Times New Roman"/>
      <w:noProof/>
      <w:sz w:val="20"/>
      <w:szCs w:val="24"/>
      <w:lang w:eastAsia="fr-FR"/>
    </w:rPr>
  </w:style>
  <w:style w:type="character" w:customStyle="1" w:styleId="Titre8Car">
    <w:name w:val="Titre 8 Car"/>
    <w:basedOn w:val="Policepardfaut"/>
    <w:link w:val="Titre8"/>
    <w:semiHidden/>
    <w:rsid w:val="00C23BB1"/>
    <w:rPr>
      <w:rFonts w:ascii="Arial" w:eastAsia="Times New Roman" w:hAnsi="Arial" w:cs="Times New Roman"/>
      <w:i/>
      <w:noProof/>
      <w:sz w:val="20"/>
      <w:szCs w:val="24"/>
      <w:lang w:eastAsia="fr-FR"/>
    </w:rPr>
  </w:style>
  <w:style w:type="character" w:customStyle="1" w:styleId="Titre9Car">
    <w:name w:val="Titre 9 Car"/>
    <w:basedOn w:val="Policepardfaut"/>
    <w:link w:val="Titre9"/>
    <w:semiHidden/>
    <w:rsid w:val="00C23BB1"/>
    <w:rPr>
      <w:rFonts w:ascii="Arial" w:eastAsia="Times New Roman" w:hAnsi="Arial" w:cs="Times New Roman"/>
      <w:b/>
      <w:i/>
      <w:noProof/>
      <w:sz w:val="20"/>
      <w:szCs w:val="24"/>
      <w:lang w:eastAsia="fr-FR"/>
    </w:rPr>
  </w:style>
  <w:style w:type="paragraph" w:customStyle="1" w:styleId="Figure">
    <w:name w:val="Figure"/>
    <w:basedOn w:val="Normal"/>
    <w:next w:val="Normal"/>
    <w:rsid w:val="00C23BB1"/>
    <w:pPr>
      <w:spacing w:before="120"/>
    </w:pPr>
    <w:rPr>
      <w:rFonts w:ascii="Times New Roman" w:hAnsi="Times New Roman"/>
      <w:sz w:val="22"/>
      <w:lang w:val="en-US" w:eastAsia="nl-NL"/>
    </w:rPr>
  </w:style>
  <w:style w:type="character" w:customStyle="1" w:styleId="tlid-translation">
    <w:name w:val="tlid-translation"/>
    <w:basedOn w:val="Policepardfaut"/>
    <w:qFormat/>
    <w:rsid w:val="00C23BB1"/>
  </w:style>
  <w:style w:type="paragraph" w:styleId="Bibliographie">
    <w:name w:val="Bibliography"/>
    <w:basedOn w:val="Normal"/>
    <w:next w:val="Normal"/>
    <w:uiPriority w:val="37"/>
    <w:unhideWhenUsed/>
    <w:rsid w:val="00C23BB1"/>
  </w:style>
  <w:style w:type="paragraph" w:styleId="Paragraphedeliste">
    <w:name w:val="List Paragraph"/>
    <w:basedOn w:val="Normal"/>
    <w:uiPriority w:val="34"/>
    <w:qFormat/>
    <w:rsid w:val="00DC4C5D"/>
    <w:pPr>
      <w:ind w:firstLine="0"/>
    </w:pPr>
  </w:style>
  <w:style w:type="paragraph" w:styleId="Sansinterligne">
    <w:name w:val="No Spacing"/>
    <w:uiPriority w:val="1"/>
    <w:qFormat/>
    <w:rsid w:val="00DC4C5D"/>
    <w:pPr>
      <w:spacing w:after="0" w:line="240" w:lineRule="auto"/>
      <w:jc w:val="both"/>
    </w:pPr>
    <w:rPr>
      <w:rFonts w:ascii="Arial" w:eastAsia="Times New Roman" w:hAnsi="Arial" w:cs="Times New Roman"/>
      <w:iCs/>
      <w:sz w:val="24"/>
      <w:szCs w:val="20"/>
      <w:lang w:val="x-none" w:eastAsia="x-none"/>
    </w:rPr>
  </w:style>
  <w:style w:type="paragraph" w:styleId="Textedebulles">
    <w:name w:val="Balloon Text"/>
    <w:basedOn w:val="Normal"/>
    <w:link w:val="TextedebullesCar"/>
    <w:uiPriority w:val="99"/>
    <w:semiHidden/>
    <w:unhideWhenUsed/>
    <w:rsid w:val="004403D9"/>
    <w:rPr>
      <w:rFonts w:ascii="Tahoma" w:hAnsi="Tahoma" w:cs="Tahoma"/>
      <w:sz w:val="16"/>
      <w:szCs w:val="16"/>
    </w:rPr>
  </w:style>
  <w:style w:type="character" w:customStyle="1" w:styleId="TextedebullesCar">
    <w:name w:val="Texte de bulles Car"/>
    <w:basedOn w:val="Policepardfaut"/>
    <w:link w:val="Textedebulles"/>
    <w:uiPriority w:val="99"/>
    <w:semiHidden/>
    <w:rsid w:val="004403D9"/>
    <w:rPr>
      <w:rFonts w:ascii="Tahoma" w:eastAsia="Times New Roman" w:hAnsi="Tahoma" w:cs="Tahoma"/>
      <w:iCs/>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3903">
      <w:bodyDiv w:val="1"/>
      <w:marLeft w:val="0"/>
      <w:marRight w:val="0"/>
      <w:marTop w:val="0"/>
      <w:marBottom w:val="0"/>
      <w:divBdr>
        <w:top w:val="none" w:sz="0" w:space="0" w:color="auto"/>
        <w:left w:val="none" w:sz="0" w:space="0" w:color="auto"/>
        <w:bottom w:val="none" w:sz="0" w:space="0" w:color="auto"/>
        <w:right w:val="none" w:sz="0" w:space="0" w:color="auto"/>
      </w:divBdr>
    </w:div>
    <w:div w:id="346372516">
      <w:bodyDiv w:val="1"/>
      <w:marLeft w:val="0"/>
      <w:marRight w:val="0"/>
      <w:marTop w:val="0"/>
      <w:marBottom w:val="0"/>
      <w:divBdr>
        <w:top w:val="none" w:sz="0" w:space="0" w:color="auto"/>
        <w:left w:val="none" w:sz="0" w:space="0" w:color="auto"/>
        <w:bottom w:val="none" w:sz="0" w:space="0" w:color="auto"/>
        <w:right w:val="none" w:sz="0" w:space="0" w:color="auto"/>
      </w:divBdr>
    </w:div>
    <w:div w:id="429277412">
      <w:bodyDiv w:val="1"/>
      <w:marLeft w:val="0"/>
      <w:marRight w:val="0"/>
      <w:marTop w:val="0"/>
      <w:marBottom w:val="0"/>
      <w:divBdr>
        <w:top w:val="none" w:sz="0" w:space="0" w:color="auto"/>
        <w:left w:val="none" w:sz="0" w:space="0" w:color="auto"/>
        <w:bottom w:val="none" w:sz="0" w:space="0" w:color="auto"/>
        <w:right w:val="none" w:sz="0" w:space="0" w:color="auto"/>
      </w:divBdr>
    </w:div>
    <w:div w:id="559638180">
      <w:bodyDiv w:val="1"/>
      <w:marLeft w:val="0"/>
      <w:marRight w:val="0"/>
      <w:marTop w:val="0"/>
      <w:marBottom w:val="0"/>
      <w:divBdr>
        <w:top w:val="none" w:sz="0" w:space="0" w:color="auto"/>
        <w:left w:val="none" w:sz="0" w:space="0" w:color="auto"/>
        <w:bottom w:val="none" w:sz="0" w:space="0" w:color="auto"/>
        <w:right w:val="none" w:sz="0" w:space="0" w:color="auto"/>
      </w:divBdr>
    </w:div>
    <w:div w:id="870731621">
      <w:bodyDiv w:val="1"/>
      <w:marLeft w:val="0"/>
      <w:marRight w:val="0"/>
      <w:marTop w:val="0"/>
      <w:marBottom w:val="0"/>
      <w:divBdr>
        <w:top w:val="none" w:sz="0" w:space="0" w:color="auto"/>
        <w:left w:val="none" w:sz="0" w:space="0" w:color="auto"/>
        <w:bottom w:val="none" w:sz="0" w:space="0" w:color="auto"/>
        <w:right w:val="none" w:sz="0" w:space="0" w:color="auto"/>
      </w:divBdr>
    </w:div>
    <w:div w:id="905913534">
      <w:bodyDiv w:val="1"/>
      <w:marLeft w:val="0"/>
      <w:marRight w:val="0"/>
      <w:marTop w:val="0"/>
      <w:marBottom w:val="0"/>
      <w:divBdr>
        <w:top w:val="none" w:sz="0" w:space="0" w:color="auto"/>
        <w:left w:val="none" w:sz="0" w:space="0" w:color="auto"/>
        <w:bottom w:val="none" w:sz="0" w:space="0" w:color="auto"/>
        <w:right w:val="none" w:sz="0" w:space="0" w:color="auto"/>
      </w:divBdr>
    </w:div>
    <w:div w:id="1026563113">
      <w:bodyDiv w:val="1"/>
      <w:marLeft w:val="0"/>
      <w:marRight w:val="0"/>
      <w:marTop w:val="0"/>
      <w:marBottom w:val="0"/>
      <w:divBdr>
        <w:top w:val="none" w:sz="0" w:space="0" w:color="auto"/>
        <w:left w:val="none" w:sz="0" w:space="0" w:color="auto"/>
        <w:bottom w:val="none" w:sz="0" w:space="0" w:color="auto"/>
        <w:right w:val="none" w:sz="0" w:space="0" w:color="auto"/>
      </w:divBdr>
    </w:div>
    <w:div w:id="1155878986">
      <w:bodyDiv w:val="1"/>
      <w:marLeft w:val="0"/>
      <w:marRight w:val="0"/>
      <w:marTop w:val="0"/>
      <w:marBottom w:val="0"/>
      <w:divBdr>
        <w:top w:val="none" w:sz="0" w:space="0" w:color="auto"/>
        <w:left w:val="none" w:sz="0" w:space="0" w:color="auto"/>
        <w:bottom w:val="none" w:sz="0" w:space="0" w:color="auto"/>
        <w:right w:val="none" w:sz="0" w:space="0" w:color="auto"/>
      </w:divBdr>
    </w:div>
    <w:div w:id="1158301936">
      <w:bodyDiv w:val="1"/>
      <w:marLeft w:val="0"/>
      <w:marRight w:val="0"/>
      <w:marTop w:val="0"/>
      <w:marBottom w:val="0"/>
      <w:divBdr>
        <w:top w:val="none" w:sz="0" w:space="0" w:color="auto"/>
        <w:left w:val="none" w:sz="0" w:space="0" w:color="auto"/>
        <w:bottom w:val="none" w:sz="0" w:space="0" w:color="auto"/>
        <w:right w:val="none" w:sz="0" w:space="0" w:color="auto"/>
      </w:divBdr>
    </w:div>
    <w:div w:id="1334801634">
      <w:bodyDiv w:val="1"/>
      <w:marLeft w:val="0"/>
      <w:marRight w:val="0"/>
      <w:marTop w:val="0"/>
      <w:marBottom w:val="0"/>
      <w:divBdr>
        <w:top w:val="none" w:sz="0" w:space="0" w:color="auto"/>
        <w:left w:val="none" w:sz="0" w:space="0" w:color="auto"/>
        <w:bottom w:val="none" w:sz="0" w:space="0" w:color="auto"/>
        <w:right w:val="none" w:sz="0" w:space="0" w:color="auto"/>
      </w:divBdr>
    </w:div>
    <w:div w:id="1772973039">
      <w:bodyDiv w:val="1"/>
      <w:marLeft w:val="0"/>
      <w:marRight w:val="0"/>
      <w:marTop w:val="0"/>
      <w:marBottom w:val="0"/>
      <w:divBdr>
        <w:top w:val="none" w:sz="0" w:space="0" w:color="auto"/>
        <w:left w:val="none" w:sz="0" w:space="0" w:color="auto"/>
        <w:bottom w:val="none" w:sz="0" w:space="0" w:color="auto"/>
        <w:right w:val="none" w:sz="0" w:space="0" w:color="auto"/>
      </w:divBdr>
    </w:div>
    <w:div w:id="1876582662">
      <w:bodyDiv w:val="1"/>
      <w:marLeft w:val="0"/>
      <w:marRight w:val="0"/>
      <w:marTop w:val="0"/>
      <w:marBottom w:val="0"/>
      <w:divBdr>
        <w:top w:val="none" w:sz="0" w:space="0" w:color="auto"/>
        <w:left w:val="none" w:sz="0" w:space="0" w:color="auto"/>
        <w:bottom w:val="none" w:sz="0" w:space="0" w:color="auto"/>
        <w:right w:val="none" w:sz="0" w:space="0" w:color="auto"/>
      </w:divBdr>
    </w:div>
    <w:div w:id="2036924505">
      <w:bodyDiv w:val="1"/>
      <w:marLeft w:val="0"/>
      <w:marRight w:val="0"/>
      <w:marTop w:val="0"/>
      <w:marBottom w:val="0"/>
      <w:divBdr>
        <w:top w:val="none" w:sz="0" w:space="0" w:color="auto"/>
        <w:left w:val="none" w:sz="0" w:space="0" w:color="auto"/>
        <w:bottom w:val="none" w:sz="0" w:space="0" w:color="auto"/>
        <w:right w:val="none" w:sz="0" w:space="0" w:color="auto"/>
      </w:divBdr>
    </w:div>
    <w:div w:id="20534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Kay18</b:Tag>
    <b:SourceType>JournalArticle</b:SourceType>
    <b:Guid>{BA883191-7BAE-4960-9935-2F78147B1E2C}</b:Guid>
    <b:Title>Liquefaction potential assessment of a region using different techniques (Tepebasi, Eskişehir, Turkey)</b:Title>
    <b:Year>2018</b:Year>
    <b:Author>
      <b:Author>
        <b:NameList>
          <b:Person>
            <b:Last>Kayabasi</b:Last>
            <b:First>A.</b:First>
          </b:Person>
          <b:Person>
            <b:Last>Gokceoglu</b:Last>
            <b:First>C.</b:First>
          </b:Person>
        </b:NameList>
      </b:Author>
    </b:Author>
    <b:JournalName>Engineering Geology</b:JournalName>
    <b:Pages>139-161</b:Pages>
    <b:Volume>246</b:Volume>
    <b:StandardNumber>https://doi.org/10.1016/j.enggeo.2018.09.029</b:StandardNumber>
    <b:RefOrder>1</b:RefOrder>
  </b:Source>
  <b:Source>
    <b:Tag>Rei12</b:Tag>
    <b:SourceType>Book</b:SourceType>
    <b:Guid>{BDCBC429-DE64-4E60-9116-C40665917EAF}</b:Guid>
    <b:Title>Forages, sondages et essais in situ géotechniques: Les outils pour la reconnaissance des sols et des roches.</b:Title>
    <b:Year>2012</b:Year>
    <b:Pages>796 pages</b:Pages>
    <b:City>Paris</b:City>
    <b:Publisher>Presses des Ponts</b:Publisher>
    <b:Author>
      <b:Author>
        <b:NameList>
          <b:Person>
            <b:Last>Reiffsteck</b:Last>
            <b:First>P.</b:First>
          </b:Person>
          <b:Person>
            <b:Last>Lossy</b:Last>
            <b:First>D.</b:First>
          </b:Person>
          <b:Person>
            <b:Last>Benoît</b:Last>
            <b:First>J.</b:First>
          </b:Person>
        </b:NameList>
      </b:Author>
    </b:Author>
    <b:StandardNumber>ISBN : 978-2859784669</b:StandardNumber>
    <b:RefOrder>10</b:RefOrder>
  </b:Source>
  <b:Source>
    <b:Tag>Bou97</b:Tag>
    <b:SourceType>Report</b:SourceType>
    <b:Guid>{26E8F64F-3E42-4EDC-B5AD-FE8323494A9C}</b:Guid>
    <b:Title>Prévision du Potentiel de liquéfaction des sites sableux à l'aide d'appareillages in-situ.</b:Title>
    <b:Year>1997</b:Year>
    <b:Publisher>Thèse de doctorat de l'INPG</b:Publisher>
    <b:City>Grenoble</b:City>
    <b:Author>
      <b:Author>
        <b:NameList>
          <b:Person>
            <b:Last>Bouguerra</b:Last>
            <b:First>H. </b:First>
          </b:Person>
        </b:NameList>
      </b:Author>
    </b:Author>
    <b:RefOrder>2</b:RefOrder>
  </b:Source>
  <b:Source>
    <b:Tag>Dup95</b:Tag>
    <b:SourceType>Report</b:SourceType>
    <b:Guid>{8B5B6F25-763C-4C09-8AB8-A33DE25DF12F}</b:Guid>
    <b:Title>Application de la sollicitation d'expansion de cavité cylindrique à l'évaluation des caractéristiques de liquéfaction d'un sable.</b:Title>
    <b:Year>1995</b:Year>
    <b:Publisher>Thèse de doctorat ENPC.</b:Publisher>
    <b:City>Marne la Vallée</b:City>
    <b:Author>
      <b:Author>
        <b:NameList>
          <b:Person>
            <b:Last>Dupla</b:Last>
            <b:First>J.-C.</b:First>
          </b:Person>
        </b:NameList>
      </b:Author>
    </b:Author>
    <b:RefOrder>3</b:RefOrder>
  </b:Source>
  <b:Source>
    <b:Tag>Pas91</b:Tag>
    <b:SourceType>Report</b:SourceType>
    <b:Guid>{77181FFC-634B-45BC-8C35-158A0CF41893}</b:Guid>
    <b:Author>
      <b:Author>
        <b:NameList>
          <b:Person>
            <b:Last>Pass</b:Last>
            <b:First>D.G.</b:First>
          </b:Person>
        </b:NameList>
      </b:Author>
    </b:Author>
    <b:Title>Soil characterization of the deep accelerometer site at Treasure Island, San Francisco, California</b:Title>
    <b:Year>1991</b:Year>
    <b:City>Durham</b:City>
    <b:Publisher>Uni. New Hampshire</b:Publisher>
    <b:ThesisType>MSci report</b:ThesisType>
    <b:Pages>252</b:Pages>
    <b:RefOrder>4</b:RefOrder>
  </b:Source>
  <b:Source>
    <b:Tag>Mas051</b:Tag>
    <b:SourceType>ConferenceProceedings</b:SourceType>
    <b:Guid>{E2F7782C-F172-4A1E-B724-77C0A0C0524D}</b:Guid>
    <b:Title>Use of cyclic pressuremeter with multiple cells for evaluation of liquefaction resistance of soils</b:Title>
    <b:Year>2005</b:Year>
    <b:ConferenceName>ISP5</b:ConferenceName>
    <b:Publisher>Presses des Ponts Ed.</b:Publisher>
    <b:Author>
      <b:Author>
        <b:NameList>
          <b:Person>
            <b:Last>Masuda</b:Last>
            <b:First>K.</b:First>
          </b:Person>
          <b:Person>
            <b:Last>Nagatoh</b:Last>
            <b:First>R.</b:First>
          </b:Person>
          <b:Person>
            <b:Last>Tsukamoto</b:Last>
            <b:First>Y.</b:First>
          </b:Person>
          <b:Person>
            <b:Last>Ishihara</b:Last>
            <b:First>K.</b:First>
          </b:Person>
        </b:NameList>
      </b:Author>
    </b:Author>
    <b:RefOrder>5</b:RefOrder>
  </b:Source>
  <b:Source>
    <b:Tag>Dup10</b:Tag>
    <b:SourceType>Report</b:SourceType>
    <b:Guid>{5F47BF30-DF18-4CF4-9804-A1CE918E22B1}</b:Guid>
    <b:Title>Application de la sollicitation pressiométrique cyclique à l'évaluation du risque de liquéfaction d'un massif sableux</b:Title>
    <b:Year>2010</b:Year>
    <b:City>Marne la Vallée</b:City>
    <b:Publisher>Laboratoire Navier - projet ANR Belle Plaine</b:Publisher>
    <b:Author>
      <b:Author>
        <b:NameList>
          <b:Person>
            <b:Last>Dupla</b:Last>
            <b:First>J.C.</b:First>
          </b:Person>
          <b:Person>
            <b:Last>Canou</b:Last>
            <b:First>J.</b:First>
          </b:Person>
          <b:Person>
            <b:Last>Reiffsteck</b:Last>
            <b:First>P.</b:First>
          </b:Person>
          <b:Person>
            <b:Last>Tacita</b:Last>
            <b:First>J.L.</b:First>
          </b:Person>
          <b:Person>
            <b:Last>Desanneaux</b:Last>
            <b:First>G.</b:First>
          </b:Person>
        </b:NameList>
      </b:Author>
    </b:Author>
    <b:RefOrder>6</b:RefOrder>
  </b:Source>
  <b:Source>
    <b:Tag>Dan19b</b:Tag>
    <b:SourceType>ConferenceProceedings</b:SourceType>
    <b:Guid>{D3A68475-2987-407D-BD66-B27BBDD87D1A}</b:Guid>
    <b:Title>Application of cyclic pressuremeter tests to evaluate soil liquefaction</b:Title>
    <b:Year>2019</b:Year>
    <b:ConferenceName>Proc. XVII ECSMGE</b:ConferenceName>
    <b:City>Reykjavic</b:City>
    <b:StandardNumber> ISBN 978-9935-9436-1-3</b:StandardNumber>
    <b:Author>
      <b:Author>
        <b:NameList>
          <b:Person>
            <b:Last>Dang</b:Last>
            <b:First>Q.H.</b:First>
          </b:Person>
          <b:Person>
            <b:Last>Karagiannopoulos</b:Last>
            <b:First>P.G.</b:First>
          </b:Person>
          <b:Person>
            <b:Last>Reiffsteck </b:Last>
            <b:First>P.</b:First>
          </b:Person>
          <b:Person>
            <b:Last>Fanelli </b:Last>
            <b:First>S.</b:First>
          </b:Person>
          <b:Person>
            <b:Last>Benoit </b:Last>
            <b:First>J.</b:First>
          </b:Person>
          <b:Person>
            <b:Last>Desanneaux</b:Last>
            <b:First>G.</b:First>
          </b:Person>
        </b:NameList>
      </b:Author>
    </b:Author>
    <b:RefOrder>7</b:RefOrder>
  </b:Source>
  <b:Source>
    <b:Tag>Kar20</b:Tag>
    <b:SourceType>ConferenceProceedings</b:SourceType>
    <b:Guid>{EFD0D894-2044-4A84-B79F-2957FEF4CB18}</b:Guid>
    <b:Title>Cyclic pressuremeter tests with pore pressure measurements, application to CSR evaluation,</b:Title>
    <b:Year>2020</b:Year>
    <b:City>Budapest Hongrie,</b:City>
    <b:Pages>8 pages</b:Pages>
    <b:ConferenceName>6th Int. Conf Geotechnical and Geophysical Site Charac.,</b:ConferenceName>
    <b:Author>
      <b:Author>
        <b:NameList>
          <b:Person>
            <b:Last>Karagiannopoulos</b:Last>
            <b:First> P.G</b:First>
          </b:Person>
          <b:Person>
            <b:Last>Peronne </b:Last>
            <b:First>M.</b:First>
          </b:Person>
          <b:Person>
            <b:Last>Dang</b:Last>
            <b:First>Q.H.</b:First>
          </b:Person>
          <b:Person>
            <b:Last> Reiffsteck</b:Last>
            <b:First>Ph.</b:First>
          </b:Person>
          <b:Person>
            <b:Last>Benoit</b:Last>
            <b:First>J.</b:First>
          </b:Person>
        </b:NameList>
      </b:Author>
    </b:Author>
    <b:RefOrder>8</b:RefOrder>
  </b:Source>
  <b:Source>
    <b:Tag>Espace_réservé1</b:Tag>
    <b:SourceType>ConferenceProceedings</b:SourceType>
    <b:Guid>{C8C921E3-105D-4A06-9D6B-73EEC752F3D6}</b:Guid>
    <b:RefOrder>9</b:RefOrder>
  </b:Source>
</b:Sources>
</file>

<file path=customXml/itemProps1.xml><?xml version="1.0" encoding="utf-8"?>
<ds:datastoreItem xmlns:ds="http://schemas.openxmlformats.org/officeDocument/2006/customXml" ds:itemID="{83CFEA13-3D28-4AAE-8755-DB9B5792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3183</Words>
  <Characters>17508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INSA Lyon</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Briancon</dc:creator>
  <cp:lastModifiedBy>philippe reiffsteck</cp:lastModifiedBy>
  <cp:revision>5</cp:revision>
  <cp:lastPrinted>2022-01-19T15:43:00Z</cp:lastPrinted>
  <dcterms:created xsi:type="dcterms:W3CDTF">2022-04-13T15:35:00Z</dcterms:created>
  <dcterms:modified xsi:type="dcterms:W3CDTF">2022-04-21T17:22:00Z</dcterms:modified>
</cp:coreProperties>
</file>