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A45D" w14:textId="69325BB7" w:rsidR="00B84B6D" w:rsidRPr="002A1C42" w:rsidRDefault="00AF3CA9" w:rsidP="00B84B6D">
      <w:pPr>
        <w:pStyle w:val="Titre"/>
        <w:spacing w:after="240"/>
      </w:pPr>
      <w:r>
        <w:t>VINGT ANS DE SUIVI DES TASSEMENTS D’UN BÂTIMENT FOND</w:t>
      </w:r>
      <w:r w:rsidRPr="00AF3CA9">
        <w:t>É</w:t>
      </w:r>
      <w:r>
        <w:t xml:space="preserve"> SUR AM</w:t>
      </w:r>
      <w:r w:rsidRPr="00AF3CA9">
        <w:t>É</w:t>
      </w:r>
      <w:r>
        <w:t>LIORATION DE SOLS</w:t>
      </w:r>
    </w:p>
    <w:p w14:paraId="10B67E73" w14:textId="5C0BEF7F" w:rsidR="00B84B6D" w:rsidRPr="002A1C42" w:rsidRDefault="00B84B6D" w:rsidP="00B84B6D">
      <w:pPr>
        <w:pStyle w:val="Sous-titre"/>
        <w:spacing w:after="240"/>
        <w:jc w:val="left"/>
        <w:rPr>
          <w:rFonts w:ascii="Arial" w:hAnsi="Arial" w:cs="Arial"/>
          <w:b/>
          <w:i/>
          <w:sz w:val="26"/>
          <w:szCs w:val="26"/>
        </w:rPr>
      </w:pPr>
      <w:r w:rsidRPr="002A1C42">
        <w:rPr>
          <w:rFonts w:ascii="Arial" w:hAnsi="Arial" w:cs="Arial"/>
          <w:b/>
          <w:i/>
          <w:sz w:val="26"/>
          <w:szCs w:val="26"/>
        </w:rPr>
        <w:t>T</w:t>
      </w:r>
      <w:r w:rsidR="00AF3CA9" w:rsidRPr="008D14DE">
        <w:rPr>
          <w:rFonts w:ascii="Arial" w:hAnsi="Arial" w:cs="Arial"/>
          <w:b/>
          <w:i/>
          <w:sz w:val="26"/>
          <w:szCs w:val="26"/>
          <w:lang w:val="en-US"/>
        </w:rPr>
        <w:t>WENTY YEARS OF MONITORING THE SETTLEMENT OF A BUILDING BASED ON SOIL IMPROVEMENT</w:t>
      </w:r>
    </w:p>
    <w:p w14:paraId="16551420" w14:textId="3664387C" w:rsidR="00AF3CA9" w:rsidRDefault="00AF3CA9" w:rsidP="00B84B6D">
      <w:pPr>
        <w:pStyle w:val="auteurs"/>
      </w:pPr>
      <w:r>
        <w:t>Marc FAVRE</w:t>
      </w:r>
      <w:r w:rsidRPr="002A1C42">
        <w:rPr>
          <w:vertAlign w:val="superscript"/>
        </w:rPr>
        <w:t>1</w:t>
      </w:r>
      <w:r>
        <w:t>, Eric VERMOOTE</w:t>
      </w:r>
    </w:p>
    <w:p w14:paraId="412722A6" w14:textId="12F53D79" w:rsidR="00B84B6D" w:rsidRDefault="00B84B6D" w:rsidP="00B84B6D">
      <w:pPr>
        <w:pStyle w:val="affiliationdesauteurs"/>
      </w:pPr>
      <w:r w:rsidRPr="002A1C42">
        <w:rPr>
          <w:vertAlign w:val="superscript"/>
        </w:rPr>
        <w:t>1</w:t>
      </w:r>
      <w:r w:rsidRPr="002A1C42">
        <w:t xml:space="preserve"> </w:t>
      </w:r>
      <w:r w:rsidR="00A0126F">
        <w:t xml:space="preserve">Marc </w:t>
      </w:r>
      <w:r w:rsidR="00AF3CA9">
        <w:t>FAVRE EXPERT, Reignier</w:t>
      </w:r>
      <w:r w:rsidR="00A0126F">
        <w:t>-Esery</w:t>
      </w:r>
      <w:r w:rsidR="00AF3CA9">
        <w:t xml:space="preserve">, </w:t>
      </w:r>
      <w:r w:rsidR="00A0126F">
        <w:t>France</w:t>
      </w:r>
    </w:p>
    <w:p w14:paraId="26A976AF" w14:textId="77777777" w:rsidR="00A0126F" w:rsidRPr="00A0126F" w:rsidRDefault="00A0126F" w:rsidP="00A0126F">
      <w:pPr>
        <w:pStyle w:val="textedursum"/>
      </w:pPr>
    </w:p>
    <w:p w14:paraId="63EAF95D" w14:textId="2B10B794" w:rsidR="00B84B6D" w:rsidRDefault="00B84B6D" w:rsidP="00B84B6D">
      <w:pPr>
        <w:pStyle w:val="textedursum"/>
        <w:spacing w:before="240" w:after="240"/>
      </w:pPr>
      <w:r>
        <w:rPr>
          <w:b/>
        </w:rPr>
        <w:t>RÉSUMÉ –</w:t>
      </w:r>
      <w:r>
        <w:t xml:space="preserve"> </w:t>
      </w:r>
      <w:r w:rsidR="005B4306">
        <w:t xml:space="preserve">Le suivi des tassements d’un bâtiment commercial a permis de caler une loi de comportement adaptée et prenant en compte </w:t>
      </w:r>
      <w:r w:rsidR="005F1077">
        <w:t xml:space="preserve">la </w:t>
      </w:r>
      <w:r w:rsidR="005B4306">
        <w:t xml:space="preserve">problématique de </w:t>
      </w:r>
      <w:r w:rsidR="00A352AF">
        <w:t>fluage des</w:t>
      </w:r>
      <w:r w:rsidR="005B4306">
        <w:t xml:space="preserve"> sols</w:t>
      </w:r>
      <w:r w:rsidR="00AB1572">
        <w:t xml:space="preserve">. Cette loi </w:t>
      </w:r>
      <w:r w:rsidR="00F507E0">
        <w:t>a permis de prévoir les tassements totaux et différentiels et a conduit à décider de l’attitude à adopter pour l’avenir du bâtiment</w:t>
      </w:r>
      <w:r w:rsidR="005B4306">
        <w:t>. L’analyse montre que le fluage a démarré 10 ans environ après la réalisation de l’ouvrage, soit après 80 à 95% de consolidation primaire</w:t>
      </w:r>
      <w:r w:rsidR="005F1077">
        <w:t xml:space="preserve">. </w:t>
      </w:r>
    </w:p>
    <w:p w14:paraId="486D618A" w14:textId="653D44DF" w:rsidR="00B84B6D" w:rsidRPr="00621CAC" w:rsidRDefault="00B84B6D" w:rsidP="005C31DD">
      <w:pPr>
        <w:pStyle w:val="textofenglishabstract"/>
        <w:spacing w:after="480"/>
        <w:rPr>
          <w:sz w:val="24"/>
          <w:lang w:val="en-US"/>
        </w:rPr>
      </w:pPr>
      <w:r w:rsidRPr="00621CAC">
        <w:rPr>
          <w:b/>
          <w:sz w:val="24"/>
          <w:lang w:val="en-US"/>
        </w:rPr>
        <w:t>ABSTRACT</w:t>
      </w:r>
      <w:r w:rsidRPr="00621CAC">
        <w:rPr>
          <w:sz w:val="24"/>
          <w:lang w:val="en-US"/>
        </w:rPr>
        <w:t xml:space="preserve"> </w:t>
      </w:r>
      <w:r w:rsidRPr="00621CAC">
        <w:rPr>
          <w:b/>
          <w:sz w:val="24"/>
          <w:lang w:val="en-US"/>
        </w:rPr>
        <w:t>–</w:t>
      </w:r>
      <w:r w:rsidRPr="00621CAC">
        <w:rPr>
          <w:sz w:val="24"/>
          <w:lang w:val="en-US"/>
        </w:rPr>
        <w:t xml:space="preserve"> </w:t>
      </w:r>
      <w:r w:rsidR="00621CAC" w:rsidRPr="00621CAC">
        <w:rPr>
          <w:sz w:val="24"/>
          <w:lang w:val="en-US"/>
        </w:rPr>
        <w:t xml:space="preserve">The monitoring of the settlements of a commercial building made it possible to set an adapted behavior law and </w:t>
      </w:r>
      <w:r w:rsidR="00FA5943" w:rsidRPr="00621CAC">
        <w:rPr>
          <w:sz w:val="24"/>
          <w:lang w:val="en-US"/>
        </w:rPr>
        <w:t>considering</w:t>
      </w:r>
      <w:r w:rsidR="00621CAC" w:rsidRPr="00621CAC">
        <w:rPr>
          <w:sz w:val="24"/>
          <w:lang w:val="en-US"/>
        </w:rPr>
        <w:t xml:space="preserve"> the problem of soil creep</w:t>
      </w:r>
      <w:r w:rsidR="00FC3371">
        <w:rPr>
          <w:sz w:val="24"/>
          <w:lang w:val="en-US"/>
        </w:rPr>
        <w:t xml:space="preserve">. This law </w:t>
      </w:r>
      <w:r w:rsidR="00621CAC" w:rsidRPr="00621CAC">
        <w:rPr>
          <w:sz w:val="24"/>
          <w:lang w:val="en-US"/>
        </w:rPr>
        <w:t>made it possible to predict the total and differential settlements and led to a decision on the attitude to be adopted. for the future of the building. The analysis shows that the creep started about 10 years after the construction of the structure, after 80 to 95% of primary</w:t>
      </w:r>
      <w:r w:rsidR="00621CAC">
        <w:rPr>
          <w:sz w:val="24"/>
          <w:lang w:val="en-US"/>
        </w:rPr>
        <w:t xml:space="preserve"> consolidation</w:t>
      </w:r>
      <w:r w:rsidR="00621CAC" w:rsidRPr="00621CAC">
        <w:rPr>
          <w:sz w:val="24"/>
          <w:lang w:val="en-US"/>
        </w:rPr>
        <w:t>.</w:t>
      </w:r>
    </w:p>
    <w:p w14:paraId="2743D588" w14:textId="77777777" w:rsidR="00B84B6D" w:rsidRDefault="00B84B6D" w:rsidP="00B84B6D">
      <w:pPr>
        <w:pStyle w:val="Titre1"/>
      </w:pPr>
      <w:r w:rsidRPr="00CE5B93">
        <w:t>Introduction</w:t>
      </w:r>
    </w:p>
    <w:p w14:paraId="1D9A5059" w14:textId="77777777" w:rsidR="00DE6A8B" w:rsidRDefault="00222E87" w:rsidP="0040401F">
      <w:pPr>
        <w:pStyle w:val="Corpsdetexte12retrait5mm"/>
        <w:rPr>
          <w:rStyle w:val="Corpsdetexte12Car"/>
          <w:lang w:val="fr-FR"/>
        </w:rPr>
      </w:pPr>
      <w:r>
        <w:rPr>
          <w:rStyle w:val="Corpsdetexte12Car"/>
          <w:lang w:val="fr-FR"/>
        </w:rPr>
        <w:t>Un bâtiment commercial en charpente métallique et ses voiries associées ont été construits en zone compressible en 1999, avec des techniques d’améliorations de sols de type colonnes ballastées et inclusions rigides pour le trafic lourd. Les tassements estimés</w:t>
      </w:r>
      <w:r w:rsidR="00DE6A8B">
        <w:rPr>
          <w:rStyle w:val="Corpsdetexte12Car"/>
          <w:lang w:val="fr-FR"/>
        </w:rPr>
        <w:t xml:space="preserve"> du bâtiment</w:t>
      </w:r>
      <w:r>
        <w:rPr>
          <w:rStyle w:val="Corpsdetexte12Car"/>
          <w:lang w:val="fr-FR"/>
        </w:rPr>
        <w:t xml:space="preserve"> dans le cadre des études étaient alors centimétriques. </w:t>
      </w:r>
    </w:p>
    <w:p w14:paraId="25307AAE" w14:textId="7A8961D6" w:rsidR="00222E87" w:rsidRDefault="00DE6A8B" w:rsidP="00FA5943">
      <w:pPr>
        <w:pStyle w:val="Corpsdetexte12retrait5mm"/>
        <w:ind w:firstLine="284"/>
        <w:rPr>
          <w:rStyle w:val="Corpsdetexte12Car"/>
          <w:lang w:val="fr-FR"/>
        </w:rPr>
      </w:pPr>
      <w:r>
        <w:rPr>
          <w:rStyle w:val="Corpsdetexte12Car"/>
          <w:lang w:val="fr-FR"/>
        </w:rPr>
        <w:t>Pour la suite de cet article, seuls seront considérés les tassements du bâtiment proprement dit fondé sur une amélioration de sols par inclusions rigides. L’exposé des raisons pour lesquelles l’amélioration de sols par inclusions rigides n’a pas conduit aux résultats calculés sort du cadre du présent article.</w:t>
      </w:r>
    </w:p>
    <w:p w14:paraId="3E24863D" w14:textId="7F8F02B6" w:rsidR="002D0A99" w:rsidRDefault="00222E87" w:rsidP="00A04A7B">
      <w:pPr>
        <w:pStyle w:val="Corpsdetexte12retrait5mm"/>
        <w:ind w:firstLine="284"/>
        <w:rPr>
          <w:rStyle w:val="Corpsdetexte12Car"/>
          <w:lang w:val="fr-FR"/>
        </w:rPr>
      </w:pPr>
      <w:r>
        <w:rPr>
          <w:rStyle w:val="Corpsdetexte12Car"/>
          <w:lang w:val="fr-FR"/>
        </w:rPr>
        <w:t xml:space="preserve">Six mois après la fin de la construction, </w:t>
      </w:r>
      <w:r w:rsidR="00DE6A8B">
        <w:rPr>
          <w:rStyle w:val="Corpsdetexte12Car"/>
          <w:lang w:val="fr-FR"/>
        </w:rPr>
        <w:t xml:space="preserve">lors de l’apparition des premiers désordres, </w:t>
      </w:r>
      <w:r>
        <w:rPr>
          <w:rStyle w:val="Corpsdetexte12Car"/>
          <w:lang w:val="fr-FR"/>
        </w:rPr>
        <w:t>des tassements « anormaux » ont été constatés, amenant à me</w:t>
      </w:r>
      <w:r w:rsidR="00DE6A8B">
        <w:rPr>
          <w:rStyle w:val="Corpsdetexte12Car"/>
          <w:lang w:val="fr-FR"/>
        </w:rPr>
        <w:t>ttre en place un suivi d</w:t>
      </w:r>
      <w:r>
        <w:rPr>
          <w:rStyle w:val="Corpsdetexte12Car"/>
          <w:lang w:val="fr-FR"/>
        </w:rPr>
        <w:t>es tassements</w:t>
      </w:r>
      <w:r w:rsidR="00AA1A1E">
        <w:rPr>
          <w:rStyle w:val="Corpsdetexte12Car"/>
          <w:lang w:val="fr-FR"/>
        </w:rPr>
        <w:t xml:space="preserve"> </w:t>
      </w:r>
      <w:r w:rsidR="005F1077">
        <w:rPr>
          <w:rStyle w:val="Corpsdetexte12Car"/>
          <w:lang w:val="fr-FR"/>
        </w:rPr>
        <w:t>par un suivi</w:t>
      </w:r>
      <w:r w:rsidR="00AA1A1E">
        <w:rPr>
          <w:rStyle w:val="Corpsdetexte12Car"/>
          <w:lang w:val="fr-FR"/>
        </w:rPr>
        <w:t xml:space="preserve"> topographique</w:t>
      </w:r>
      <w:r>
        <w:rPr>
          <w:rStyle w:val="Corpsdetexte12Car"/>
          <w:lang w:val="fr-FR"/>
        </w:rPr>
        <w:t xml:space="preserve"> selon une fréquence semestrielle, dans le cadre d’expertises assurantielle, puis judiciaire, entre 2000 et </w:t>
      </w:r>
      <w:r w:rsidR="005F1077">
        <w:rPr>
          <w:rStyle w:val="Corpsdetexte12Car"/>
          <w:lang w:val="fr-FR"/>
        </w:rPr>
        <w:t>2018</w:t>
      </w:r>
      <w:r>
        <w:rPr>
          <w:rStyle w:val="Corpsdetexte12Car"/>
          <w:lang w:val="fr-FR"/>
        </w:rPr>
        <w:t>.</w:t>
      </w:r>
    </w:p>
    <w:p w14:paraId="184AEAD1" w14:textId="2D410D32" w:rsidR="001C230A" w:rsidRDefault="00F322D7" w:rsidP="00A04A7B">
      <w:pPr>
        <w:pStyle w:val="Corpsdetexte12retrait5mm"/>
        <w:ind w:firstLine="284"/>
        <w:rPr>
          <w:rStyle w:val="Corpsdetexte12Car"/>
          <w:lang w:val="fr-FR"/>
        </w:rPr>
      </w:pPr>
      <w:r>
        <w:rPr>
          <w:rStyle w:val="Corpsdetexte12Car"/>
          <w:lang w:val="fr-FR"/>
        </w:rPr>
        <w:t>Finalement</w:t>
      </w:r>
      <w:r w:rsidR="00222E87">
        <w:rPr>
          <w:rStyle w:val="Corpsdetexte12Car"/>
          <w:lang w:val="fr-FR"/>
        </w:rPr>
        <w:t xml:space="preserve">, </w:t>
      </w:r>
      <w:r w:rsidR="00DE6A8B">
        <w:rPr>
          <w:rStyle w:val="Corpsdetexte12Car"/>
          <w:lang w:val="fr-FR"/>
        </w:rPr>
        <w:t xml:space="preserve">au bout de presque 20 ans de suivi, </w:t>
      </w:r>
      <w:r w:rsidR="00222E87">
        <w:rPr>
          <w:rStyle w:val="Corpsdetexte12Car"/>
          <w:lang w:val="fr-FR"/>
        </w:rPr>
        <w:t>l’amplitude des tassements totaux a atteint plusieurs dizaines de centimètres, et convergeant non pas vers une asymptote d</w:t>
      </w:r>
      <w:r>
        <w:rPr>
          <w:rStyle w:val="Corpsdetexte12Car"/>
          <w:lang w:val="fr-FR"/>
        </w:rPr>
        <w:t>es déplacements</w:t>
      </w:r>
      <w:r w:rsidR="00222E87">
        <w:rPr>
          <w:rStyle w:val="Corpsdetexte12Car"/>
          <w:lang w:val="fr-FR"/>
        </w:rPr>
        <w:t>, mais vers une asymptote de</w:t>
      </w:r>
      <w:r>
        <w:rPr>
          <w:rStyle w:val="Corpsdetexte12Car"/>
          <w:lang w:val="fr-FR"/>
        </w:rPr>
        <w:t>s</w:t>
      </w:r>
      <w:r w:rsidR="00222E87">
        <w:rPr>
          <w:rStyle w:val="Corpsdetexte12Car"/>
          <w:lang w:val="fr-FR"/>
        </w:rPr>
        <w:t xml:space="preserve"> vitesses</w:t>
      </w:r>
      <w:r w:rsidR="00A04A7B">
        <w:rPr>
          <w:rStyle w:val="Corpsdetexte12Car"/>
          <w:lang w:val="fr-FR"/>
        </w:rPr>
        <w:t>, de l’ordre de 4 à 8mm/an</w:t>
      </w:r>
      <w:r w:rsidR="0033480F">
        <w:rPr>
          <w:rStyle w:val="Corpsdetexte12Car"/>
          <w:lang w:val="fr-FR"/>
        </w:rPr>
        <w:t>, dont la Figure 1 présente l’évolution dans le temps</w:t>
      </w:r>
      <w:r w:rsidR="001C230A">
        <w:rPr>
          <w:rStyle w:val="Corpsdetexte12Car"/>
          <w:lang w:val="fr-FR"/>
        </w:rPr>
        <w:t>.</w:t>
      </w:r>
    </w:p>
    <w:p w14:paraId="46E9AEBE" w14:textId="188B66B2" w:rsidR="008575F6" w:rsidRDefault="001C230A" w:rsidP="008575F6">
      <w:pPr>
        <w:pStyle w:val="Corpsdetexte12retrait5mm"/>
        <w:ind w:firstLine="284"/>
        <w:rPr>
          <w:rStyle w:val="Corpsdetexte12Car"/>
          <w:lang w:val="fr-FR"/>
        </w:rPr>
      </w:pPr>
      <w:r>
        <w:rPr>
          <w:rStyle w:val="Corpsdetexte12Car"/>
          <w:lang w:val="fr-FR"/>
        </w:rPr>
        <w:t>Ces tassements induis</w:t>
      </w:r>
      <w:r w:rsidR="005F1077">
        <w:rPr>
          <w:rStyle w:val="Corpsdetexte12Car"/>
          <w:lang w:val="fr-FR"/>
        </w:rPr>
        <w:t>ai</w:t>
      </w:r>
      <w:r>
        <w:rPr>
          <w:rStyle w:val="Corpsdetexte12Car"/>
          <w:lang w:val="fr-FR"/>
        </w:rPr>
        <w:t xml:space="preserve">ent des problématiques d’exploitation </w:t>
      </w:r>
      <w:r w:rsidR="005F1077">
        <w:rPr>
          <w:rStyle w:val="Corpsdetexte12Car"/>
          <w:lang w:val="fr-FR"/>
        </w:rPr>
        <w:t>et des risques pour le</w:t>
      </w:r>
      <w:r>
        <w:rPr>
          <w:rStyle w:val="Corpsdetexte12Car"/>
          <w:lang w:val="fr-FR"/>
        </w:rPr>
        <w:t xml:space="preserve"> bâtiment, </w:t>
      </w:r>
      <w:r w:rsidR="005F1077">
        <w:rPr>
          <w:rStyle w:val="Corpsdetexte12Car"/>
          <w:lang w:val="fr-FR"/>
        </w:rPr>
        <w:t xml:space="preserve">à cause de </w:t>
      </w:r>
      <w:r>
        <w:rPr>
          <w:rStyle w:val="Corpsdetexte12Car"/>
          <w:lang w:val="fr-FR"/>
        </w:rPr>
        <w:t>la non</w:t>
      </w:r>
      <w:r w:rsidR="008575F6">
        <w:rPr>
          <w:rStyle w:val="Corpsdetexte12Car"/>
          <w:lang w:val="fr-FR"/>
        </w:rPr>
        <w:t>-</w:t>
      </w:r>
      <w:r>
        <w:rPr>
          <w:rStyle w:val="Corpsdetexte12Car"/>
          <w:lang w:val="fr-FR"/>
        </w:rPr>
        <w:t xml:space="preserve">verticalité des racks, </w:t>
      </w:r>
      <w:r w:rsidR="005F1077">
        <w:rPr>
          <w:rStyle w:val="Corpsdetexte12Car"/>
          <w:lang w:val="fr-FR"/>
        </w:rPr>
        <w:t xml:space="preserve">de </w:t>
      </w:r>
      <w:r>
        <w:rPr>
          <w:rStyle w:val="Corpsdetexte12Car"/>
          <w:lang w:val="fr-FR"/>
        </w:rPr>
        <w:t xml:space="preserve">la fissuration du dallage </w:t>
      </w:r>
      <w:r w:rsidR="005F1077">
        <w:rPr>
          <w:rStyle w:val="Corpsdetexte12Car"/>
          <w:lang w:val="fr-FR"/>
        </w:rPr>
        <w:t>et des déformations de la structure du bâtiment compte tenu des tassements différentiels</w:t>
      </w:r>
      <w:r w:rsidR="008575F6">
        <w:rPr>
          <w:rStyle w:val="Corpsdetexte12Car"/>
          <w:lang w:val="fr-FR"/>
        </w:rPr>
        <w:t>.</w:t>
      </w:r>
    </w:p>
    <w:p w14:paraId="7972F179" w14:textId="2A03A2FA" w:rsidR="00A04A7B" w:rsidRDefault="00A04A7B" w:rsidP="00A04A7B">
      <w:pPr>
        <w:pStyle w:val="Corpsdetexte12retrait5mm"/>
        <w:jc w:val="center"/>
        <w:rPr>
          <w:rStyle w:val="Corpsdetexte12Car"/>
          <w:lang w:val="fr-FR"/>
        </w:rPr>
      </w:pPr>
      <w:r w:rsidRPr="00A04A7B">
        <w:rPr>
          <w:noProof/>
        </w:rPr>
        <w:lastRenderedPageBreak/>
        <w:drawing>
          <wp:inline distT="0" distB="0" distL="0" distR="0" wp14:anchorId="689010F5" wp14:editId="40BC47B7">
            <wp:extent cx="6005194" cy="39251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1241" cy="3935645"/>
                    </a:xfrm>
                    <a:prstGeom prst="rect">
                      <a:avLst/>
                    </a:prstGeom>
                  </pic:spPr>
                </pic:pic>
              </a:graphicData>
            </a:graphic>
          </wp:inline>
        </w:drawing>
      </w:r>
    </w:p>
    <w:p w14:paraId="3A34B7C9" w14:textId="5665D140" w:rsidR="00A04A7B" w:rsidRPr="00C02800" w:rsidRDefault="00A04A7B" w:rsidP="00A04A7B">
      <w:pPr>
        <w:pStyle w:val="titredefigure"/>
        <w:spacing w:before="0"/>
      </w:pPr>
      <w:r w:rsidRPr="002A1C42">
        <w:t xml:space="preserve">Figure </w:t>
      </w:r>
      <w:r w:rsidR="008360B7">
        <w:t>1</w:t>
      </w:r>
      <w:r w:rsidRPr="002A1C42">
        <w:t xml:space="preserve">. </w:t>
      </w:r>
      <w:r>
        <w:t>Evolution des vitesses de tassements dans le temps à l’intérieur du bâtiment</w:t>
      </w:r>
      <w:r w:rsidR="0071730F">
        <w:t xml:space="preserve"> (en </w:t>
      </w:r>
      <w:r w:rsidR="00DE6A8B">
        <w:t xml:space="preserve">rouge </w:t>
      </w:r>
      <w:r w:rsidR="0071730F">
        <w:t>gras, la vitesse moyenne)</w:t>
      </w:r>
    </w:p>
    <w:p w14:paraId="18E59D4D" w14:textId="2F8EF09B" w:rsidR="00A04A7B" w:rsidRDefault="00514416" w:rsidP="00514416">
      <w:pPr>
        <w:pStyle w:val="Corpsdetexte12retrait5mm"/>
        <w:ind w:firstLine="284"/>
        <w:rPr>
          <w:rStyle w:val="Corpsdetexte12Car"/>
          <w:lang w:val="fr-FR"/>
        </w:rPr>
      </w:pPr>
      <w:r>
        <w:rPr>
          <w:rStyle w:val="Corpsdetexte12Car"/>
          <w:lang w:val="fr-FR"/>
        </w:rPr>
        <w:t xml:space="preserve">Le fait que les tassements n’aient pas atteint une stabilisation a </w:t>
      </w:r>
      <w:r w:rsidR="009447D0">
        <w:rPr>
          <w:rStyle w:val="Corpsdetexte12Car"/>
          <w:lang w:val="fr-FR"/>
        </w:rPr>
        <w:t>conduit</w:t>
      </w:r>
      <w:r>
        <w:rPr>
          <w:rStyle w:val="Corpsdetexte12Car"/>
          <w:lang w:val="fr-FR"/>
        </w:rPr>
        <w:t xml:space="preserve"> à considérer que le phénomène de consolidation secondaire avait démarré et était devenu prépondérant. Il a alors été recherché des courbes théoriques de consolidation, intégrant à la fois le</w:t>
      </w:r>
      <w:r w:rsidR="009447D0">
        <w:rPr>
          <w:rStyle w:val="Corpsdetexte12Car"/>
          <w:lang w:val="fr-FR"/>
        </w:rPr>
        <w:t>s tassements de consolidation</w:t>
      </w:r>
      <w:r>
        <w:rPr>
          <w:rStyle w:val="Corpsdetexte12Car"/>
          <w:lang w:val="fr-FR"/>
        </w:rPr>
        <w:t xml:space="preserve"> primaire et le fluage, se calant au mieux avec les mesures régulières effectuées.</w:t>
      </w:r>
    </w:p>
    <w:p w14:paraId="62ACEB5C" w14:textId="02560BB9" w:rsidR="00514416" w:rsidRDefault="002D0A99" w:rsidP="00514416">
      <w:pPr>
        <w:pStyle w:val="Titre1"/>
        <w:ind w:left="357" w:hanging="357"/>
        <w:rPr>
          <w:lang w:val="fr-FR"/>
        </w:rPr>
      </w:pPr>
      <w:r>
        <w:rPr>
          <w:lang w:val="fr-FR"/>
        </w:rPr>
        <w:t>P</w:t>
      </w:r>
      <w:r w:rsidR="00514416">
        <w:rPr>
          <w:lang w:val="fr-FR"/>
        </w:rPr>
        <w:t xml:space="preserve">révisions de l’amplitude </w:t>
      </w:r>
      <w:r>
        <w:rPr>
          <w:lang w:val="fr-FR"/>
        </w:rPr>
        <w:t xml:space="preserve">des tassements </w:t>
      </w:r>
      <w:r w:rsidR="00514416">
        <w:rPr>
          <w:lang w:val="fr-FR"/>
        </w:rPr>
        <w:t>avec les méthodes usuelles</w:t>
      </w:r>
    </w:p>
    <w:p w14:paraId="3E32836D" w14:textId="77777777" w:rsidR="00EE5CFE" w:rsidRDefault="00514416" w:rsidP="00514416">
      <w:pPr>
        <w:pStyle w:val="Corpsdetexte12retrait5mm"/>
        <w:rPr>
          <w:lang w:val="fr-FR"/>
        </w:rPr>
      </w:pPr>
      <w:r>
        <w:rPr>
          <w:lang w:val="fr-FR"/>
        </w:rPr>
        <w:t>L’analyse menée reprend les différentes méthodes de prévision de l’amplitude de</w:t>
      </w:r>
      <w:r w:rsidR="00EE5CFE">
        <w:rPr>
          <w:lang w:val="fr-FR"/>
        </w:rPr>
        <w:t>s</w:t>
      </w:r>
      <w:r>
        <w:rPr>
          <w:lang w:val="fr-FR"/>
        </w:rPr>
        <w:t xml:space="preserve"> tassements finaux, et la durée nécessaire pour les atteindre le cas échéant, présenté</w:t>
      </w:r>
      <w:r w:rsidR="002D0A99">
        <w:rPr>
          <w:lang w:val="fr-FR"/>
        </w:rPr>
        <w:t>es</w:t>
      </w:r>
      <w:r>
        <w:rPr>
          <w:lang w:val="fr-FR"/>
        </w:rPr>
        <w:t xml:space="preserve"> par Favre et al. (2014)</w:t>
      </w:r>
      <w:r w:rsidR="00EE5CFE">
        <w:rPr>
          <w:lang w:val="fr-FR"/>
        </w:rPr>
        <w:t>, à savoir les méthodes d’</w:t>
      </w:r>
      <w:proofErr w:type="spellStart"/>
      <w:r w:rsidR="00EE5CFE">
        <w:rPr>
          <w:lang w:val="fr-FR"/>
        </w:rPr>
        <w:t>Asaoka</w:t>
      </w:r>
      <w:proofErr w:type="spellEnd"/>
      <w:r w:rsidR="00EE5CFE">
        <w:rPr>
          <w:lang w:val="fr-FR"/>
        </w:rPr>
        <w:t>, d’Al-</w:t>
      </w:r>
      <w:proofErr w:type="spellStart"/>
      <w:r w:rsidR="00EE5CFE">
        <w:rPr>
          <w:lang w:val="fr-FR"/>
        </w:rPr>
        <w:t>Shamrani</w:t>
      </w:r>
      <w:proofErr w:type="spellEnd"/>
      <w:r w:rsidR="00EE5CFE">
        <w:rPr>
          <w:lang w:val="fr-FR"/>
        </w:rPr>
        <w:t xml:space="preserve"> et de </w:t>
      </w:r>
      <w:proofErr w:type="spellStart"/>
      <w:r w:rsidR="00EE5CFE">
        <w:rPr>
          <w:lang w:val="fr-FR"/>
        </w:rPr>
        <w:t>Recordon</w:t>
      </w:r>
      <w:proofErr w:type="spellEnd"/>
      <w:r>
        <w:rPr>
          <w:lang w:val="fr-FR"/>
        </w:rPr>
        <w:t>.</w:t>
      </w:r>
      <w:r w:rsidR="003A40B8">
        <w:rPr>
          <w:lang w:val="fr-FR"/>
        </w:rPr>
        <w:t xml:space="preserve"> </w:t>
      </w:r>
    </w:p>
    <w:p w14:paraId="096F8F0E" w14:textId="0799A4F1" w:rsidR="00514416" w:rsidRDefault="003A40B8" w:rsidP="00EE5CFE">
      <w:pPr>
        <w:pStyle w:val="Corpsdetexte12retrait5mm"/>
        <w:ind w:firstLine="284"/>
        <w:rPr>
          <w:lang w:val="fr-FR"/>
        </w:rPr>
      </w:pPr>
      <w:r>
        <w:rPr>
          <w:lang w:val="fr-FR"/>
        </w:rPr>
        <w:t xml:space="preserve">Elle intègre également, pour la méthode de </w:t>
      </w:r>
      <w:proofErr w:type="spellStart"/>
      <w:r>
        <w:rPr>
          <w:lang w:val="fr-FR"/>
        </w:rPr>
        <w:t>Recordon</w:t>
      </w:r>
      <w:proofErr w:type="spellEnd"/>
      <w:r>
        <w:rPr>
          <w:lang w:val="fr-FR"/>
        </w:rPr>
        <w:t>, la prise en compte d’un phénomène de consolidation secondaire, tel qu’exposé par Favre et Vermoote (2016).</w:t>
      </w:r>
    </w:p>
    <w:p w14:paraId="2C595C56" w14:textId="3BDBCDAA" w:rsidR="00EE5CFE" w:rsidRDefault="00EE5CFE" w:rsidP="00EE5CFE">
      <w:pPr>
        <w:pStyle w:val="Corpsdetexte12retrait5mm"/>
        <w:ind w:firstLine="284"/>
        <w:rPr>
          <w:lang w:val="fr-FR"/>
        </w:rPr>
      </w:pPr>
      <w:r>
        <w:rPr>
          <w:lang w:val="fr-FR"/>
        </w:rPr>
        <w:t xml:space="preserve">La </w:t>
      </w:r>
      <w:r w:rsidR="00145936">
        <w:rPr>
          <w:lang w:val="fr-FR"/>
        </w:rPr>
        <w:t xml:space="preserve">Figure </w:t>
      </w:r>
      <w:r w:rsidR="00EA39D6">
        <w:rPr>
          <w:lang w:val="fr-FR"/>
        </w:rPr>
        <w:t xml:space="preserve">2 </w:t>
      </w:r>
      <w:r>
        <w:rPr>
          <w:lang w:val="fr-FR"/>
        </w:rPr>
        <w:t>présente, pour deux repères situés à l’intérieur du bâtiment et n</w:t>
      </w:r>
      <w:r w:rsidR="00E2146F">
        <w:rPr>
          <w:lang w:val="fr-FR"/>
        </w:rPr>
        <w:t xml:space="preserve">’indiquant </w:t>
      </w:r>
      <w:r>
        <w:rPr>
          <w:lang w:val="fr-FR"/>
        </w:rPr>
        <w:t>pas les mêmes amplitudes de tassement, l’évolution dans le temps des observations et des méthodes de prévision.</w:t>
      </w:r>
      <w:r w:rsidR="00E2146F">
        <w:rPr>
          <w:lang w:val="fr-FR"/>
        </w:rPr>
        <w:t xml:space="preserve"> Elle donne également les coefficients de détermination r² entre les tassements mesurés et estimés en fonction de chaque méthode.</w:t>
      </w:r>
    </w:p>
    <w:p w14:paraId="2CADC1E6" w14:textId="7CDD6B63" w:rsidR="00EE5CFE" w:rsidRDefault="00445899" w:rsidP="00D77C37">
      <w:pPr>
        <w:pStyle w:val="Corpsdetexte12retrait5mm"/>
        <w:rPr>
          <w:lang w:val="fr-FR"/>
        </w:rPr>
      </w:pPr>
      <w:r w:rsidRPr="00445899">
        <w:rPr>
          <w:noProof/>
        </w:rPr>
        <w:lastRenderedPageBreak/>
        <w:drawing>
          <wp:inline distT="0" distB="0" distL="0" distR="0" wp14:anchorId="556DBF48" wp14:editId="096A2485">
            <wp:extent cx="6102985" cy="437959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2985" cy="4379595"/>
                    </a:xfrm>
                    <a:prstGeom prst="rect">
                      <a:avLst/>
                    </a:prstGeom>
                  </pic:spPr>
                </pic:pic>
              </a:graphicData>
            </a:graphic>
          </wp:inline>
        </w:drawing>
      </w:r>
    </w:p>
    <w:p w14:paraId="3848BFDA" w14:textId="4807AE99" w:rsidR="00216E39" w:rsidRPr="00C02800" w:rsidRDefault="00216E39" w:rsidP="00216E39">
      <w:pPr>
        <w:pStyle w:val="titredefigure"/>
        <w:spacing w:before="0"/>
      </w:pPr>
      <w:r w:rsidRPr="002A1C42">
        <w:t xml:space="preserve">Figure </w:t>
      </w:r>
      <w:r w:rsidR="009447D0">
        <w:t>2</w:t>
      </w:r>
      <w:r w:rsidRPr="002A1C42">
        <w:t xml:space="preserve">. </w:t>
      </w:r>
      <w:r>
        <w:t>Evolution de l’amplitude des tassements observés et estimés dans le temps pour les repères 1 et 11</w:t>
      </w:r>
    </w:p>
    <w:p w14:paraId="39151891" w14:textId="6AE92D3C" w:rsidR="009C05DF" w:rsidRDefault="00E2146F" w:rsidP="00400CD1">
      <w:pPr>
        <w:pStyle w:val="Corpsdetexte12retrait5mm"/>
        <w:ind w:firstLine="284"/>
        <w:rPr>
          <w:lang w:val="fr-FR"/>
        </w:rPr>
      </w:pPr>
      <w:r>
        <w:rPr>
          <w:lang w:val="fr-FR"/>
        </w:rPr>
        <w:t>Ces résultats montrent une excellente corrélation entre les mesures et l</w:t>
      </w:r>
      <w:r w:rsidR="00400CD1">
        <w:rPr>
          <w:lang w:val="fr-FR"/>
        </w:rPr>
        <w:t xml:space="preserve">’interprétation selon la méthode de </w:t>
      </w:r>
      <w:proofErr w:type="spellStart"/>
      <w:r w:rsidR="00400CD1">
        <w:rPr>
          <w:lang w:val="fr-FR"/>
        </w:rPr>
        <w:t>Recordon</w:t>
      </w:r>
      <w:proofErr w:type="spellEnd"/>
      <w:r w:rsidR="00400CD1">
        <w:rPr>
          <w:lang w:val="fr-FR"/>
        </w:rPr>
        <w:t>, en considérant le</w:t>
      </w:r>
      <w:r w:rsidR="009447D0">
        <w:rPr>
          <w:lang w:val="fr-FR"/>
        </w:rPr>
        <w:t>s</w:t>
      </w:r>
      <w:r w:rsidR="00400CD1">
        <w:rPr>
          <w:lang w:val="fr-FR"/>
        </w:rPr>
        <w:t xml:space="preserve"> tassement</w:t>
      </w:r>
      <w:r w:rsidR="009447D0">
        <w:rPr>
          <w:lang w:val="fr-FR"/>
        </w:rPr>
        <w:t>s</w:t>
      </w:r>
      <w:r w:rsidR="00400CD1">
        <w:rPr>
          <w:lang w:val="fr-FR"/>
        </w:rPr>
        <w:t xml:space="preserve"> primaire et secondaire. Elle </w:t>
      </w:r>
      <w:r w:rsidR="009447D0">
        <w:rPr>
          <w:lang w:val="fr-FR"/>
        </w:rPr>
        <w:t xml:space="preserve">est la mieux corrélée </w:t>
      </w:r>
      <w:r w:rsidR="00073A0E">
        <w:rPr>
          <w:lang w:val="fr-FR"/>
        </w:rPr>
        <w:t>aux mesures</w:t>
      </w:r>
      <w:r w:rsidR="00400CD1">
        <w:rPr>
          <w:lang w:val="fr-FR"/>
        </w:rPr>
        <w:t>, ce qui peut s’expliquer par le fait que cette méthode utilise cinq paramètres pour coller au mieux aux mesures</w:t>
      </w:r>
      <w:r w:rsidR="000C2DEE">
        <w:rPr>
          <w:lang w:val="fr-FR"/>
        </w:rPr>
        <w:t xml:space="preserve"> selon l’équation (1)</w:t>
      </w:r>
      <w:r w:rsidR="00EC4031">
        <w:rPr>
          <w:lang w:val="fr-FR"/>
        </w:rPr>
        <w:t>, au lieu de deux à trois paramètres pour les autres méthodes</w:t>
      </w:r>
      <w:r w:rsidR="00400CD1">
        <w:rPr>
          <w:lang w:val="fr-FR"/>
        </w:rPr>
        <w:t> :</w:t>
      </w:r>
    </w:p>
    <w:p w14:paraId="0522DBFC" w14:textId="77777777" w:rsidR="00EC4031" w:rsidRPr="00A56417" w:rsidRDefault="00EC4031" w:rsidP="00EC4031">
      <w:pPr>
        <w:pStyle w:val="Formule"/>
        <w:tabs>
          <w:tab w:val="clear" w:pos="284"/>
          <w:tab w:val="left" w:pos="1134"/>
          <w:tab w:val="center" w:pos="4820"/>
          <w:tab w:val="left" w:pos="9072"/>
        </w:tabs>
        <w:jc w:val="left"/>
      </w:pPr>
      <w:r>
        <w:tab/>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t>
            </m:r>
          </m:sub>
        </m:sSub>
        <m:r>
          <w:rPr>
            <w:rFonts w:ascii="Cambria Math" w:hAnsi="Cambria Math"/>
          </w:rPr>
          <m:t>∙</m:t>
        </m:r>
        <m:d>
          <m:dPr>
            <m:ctrlPr>
              <w:rPr>
                <w:rFonts w:ascii="Cambria Math" w:hAnsi="Cambria Math"/>
                <w:i/>
              </w:rPr>
            </m:ctrlPr>
          </m:dPr>
          <m:e>
            <m:r>
              <w:rPr>
                <w:rFonts w:ascii="Cambria Math" w:hAnsi="Cambria Math"/>
              </w:rPr>
              <m:t>1-B∙</m:t>
            </m:r>
            <m:sSup>
              <m:sSupPr>
                <m:ctrlPr>
                  <w:rPr>
                    <w:rFonts w:ascii="Cambria Math" w:hAnsi="Cambria Math"/>
                    <w:i/>
                  </w:rPr>
                </m:ctrlPr>
              </m:sSupPr>
              <m:e>
                <m:r>
                  <w:rPr>
                    <w:rFonts w:ascii="Cambria Math" w:hAnsi="Cambria Math"/>
                  </w:rPr>
                  <m:t>e</m:t>
                </m:r>
              </m:e>
              <m:sup>
                <m:r>
                  <w:rPr>
                    <w:rFonts w:ascii="Cambria Math" w:hAnsi="Cambria Math"/>
                  </w:rPr>
                  <m:t>-C∙t</m:t>
                </m:r>
              </m:sup>
            </m:sSup>
          </m:e>
        </m:d>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α</m:t>
                    </m:r>
                  </m:sub>
                </m:sSub>
                <m:r>
                  <w:rPr>
                    <w:rFonts w:ascii="Cambria Math" w:hAnsi="Cambria Math"/>
                  </w:rPr>
                  <m:t>∙H∙</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d>
                  </m:e>
                </m:func>
              </m:e>
            </m:d>
          </m:e>
          <m:sub>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Pr="00A56417">
        <w:tab/>
      </w:r>
      <w:r w:rsidRPr="00A56417">
        <w:tab/>
        <w:t>(1)</w:t>
      </w:r>
    </w:p>
    <w:p w14:paraId="1235B5B6" w14:textId="26D723CB" w:rsidR="00400CD1" w:rsidRDefault="00EC4031" w:rsidP="00400CD1">
      <w:pPr>
        <w:pStyle w:val="Corpsdetexte12retrait5mm"/>
        <w:ind w:firstLine="284"/>
        <w:rPr>
          <w:rFonts w:cs="Arial"/>
          <w:lang w:val="fr-FR"/>
        </w:rPr>
      </w:pPr>
      <w:r>
        <w:rPr>
          <w:lang w:val="fr-FR"/>
        </w:rPr>
        <w:t xml:space="preserve">Les cinq paramètres étant l’amplitude finale de tassements primaires </w:t>
      </w:r>
      <w:r>
        <w:rPr>
          <w:rFonts w:cs="Arial"/>
          <w:lang w:val="fr-FR"/>
        </w:rPr>
        <w:t>∆</w:t>
      </w:r>
      <w:r>
        <w:rPr>
          <w:lang w:val="fr-FR"/>
        </w:rPr>
        <w:t>H</w:t>
      </w:r>
      <w:r w:rsidRPr="00EC4031">
        <w:rPr>
          <w:rFonts w:cs="Arial"/>
          <w:vertAlign w:val="subscript"/>
          <w:lang w:val="fr-FR"/>
        </w:rPr>
        <w:t>∞</w:t>
      </w:r>
      <w:r>
        <w:rPr>
          <w:rFonts w:cs="Arial"/>
          <w:lang w:val="fr-FR"/>
        </w:rPr>
        <w:t>, le décalage entre le début de la consolidation et le</w:t>
      </w:r>
      <w:r w:rsidR="001F681E">
        <w:rPr>
          <w:rFonts w:cs="Arial"/>
          <w:lang w:val="fr-FR"/>
        </w:rPr>
        <w:t xml:space="preserve"> début des</w:t>
      </w:r>
      <w:r>
        <w:rPr>
          <w:rFonts w:cs="Arial"/>
          <w:lang w:val="fr-FR"/>
        </w:rPr>
        <w:t xml:space="preserve"> mesures B, la courbure de</w:t>
      </w:r>
      <w:r w:rsidR="00147C39">
        <w:rPr>
          <w:rFonts w:cs="Arial"/>
          <w:lang w:val="fr-FR"/>
        </w:rPr>
        <w:t xml:space="preserve"> la courbe de consolidation C</w:t>
      </w:r>
      <w:r w:rsidR="00C11B43">
        <w:rPr>
          <w:rFonts w:cs="Arial"/>
          <w:lang w:val="fr-FR"/>
        </w:rPr>
        <w:t xml:space="preserve"> reliée au coefficient de consolidation verticale C</w:t>
      </w:r>
      <w:r w:rsidR="00C11B43" w:rsidRPr="00C11B43">
        <w:rPr>
          <w:rFonts w:cs="Arial"/>
          <w:vertAlign w:val="subscript"/>
          <w:lang w:val="fr-FR"/>
        </w:rPr>
        <w:t>v</w:t>
      </w:r>
      <w:r w:rsidR="00147C39">
        <w:rPr>
          <w:rFonts w:cs="Arial"/>
          <w:lang w:val="fr-FR"/>
        </w:rPr>
        <w:t>, le produit d</w:t>
      </w:r>
      <w:r w:rsidR="000C2DEE">
        <w:rPr>
          <w:rFonts w:cs="Arial"/>
          <w:lang w:val="fr-FR"/>
        </w:rPr>
        <w:t xml:space="preserve">u taux de consolidation secondaire </w:t>
      </w:r>
      <w:r w:rsidR="00073A0E">
        <w:rPr>
          <w:rFonts w:cs="Arial"/>
          <w:lang w:val="fr-FR"/>
        </w:rPr>
        <w:t xml:space="preserve">par </w:t>
      </w:r>
      <w:r w:rsidR="000C2DEE">
        <w:rPr>
          <w:rFonts w:cs="Arial"/>
          <w:lang w:val="fr-FR"/>
        </w:rPr>
        <w:t>la longueur du chemin de drainage</w:t>
      </w:r>
      <w:r w:rsidR="00147C39">
        <w:rPr>
          <w:rFonts w:cs="Arial"/>
          <w:lang w:val="fr-FR"/>
        </w:rPr>
        <w:t xml:space="preserve"> C</w:t>
      </w:r>
      <w:r w:rsidR="00147C39" w:rsidRPr="00147C39">
        <w:rPr>
          <w:rFonts w:cs="Arial"/>
          <w:vertAlign w:val="subscript"/>
          <w:lang w:val="fr-FR"/>
        </w:rPr>
        <w:t>α</w:t>
      </w:r>
      <w:r w:rsidR="00147C39">
        <w:rPr>
          <w:rFonts w:cs="Arial"/>
          <w:lang w:val="fr-FR"/>
        </w:rPr>
        <w:t xml:space="preserve"> ∙ H et la date de démarrage de la consolidation secondaire t</w:t>
      </w:r>
      <w:r w:rsidR="00147C39" w:rsidRPr="00147C39">
        <w:rPr>
          <w:rFonts w:cs="Arial"/>
          <w:vertAlign w:val="subscript"/>
          <w:lang w:val="fr-FR"/>
        </w:rPr>
        <w:t>0</w:t>
      </w:r>
      <w:r w:rsidR="00147C39">
        <w:rPr>
          <w:rFonts w:cs="Arial"/>
          <w:lang w:val="fr-FR"/>
        </w:rPr>
        <w:t>.</w:t>
      </w:r>
    </w:p>
    <w:p w14:paraId="1ABA90E9" w14:textId="2F5C6155" w:rsidR="000C2DEE" w:rsidRDefault="000C2DEE" w:rsidP="000C2DEE">
      <w:pPr>
        <w:pStyle w:val="Titre1"/>
        <w:ind w:left="357" w:hanging="357"/>
        <w:rPr>
          <w:lang w:val="fr-FR"/>
        </w:rPr>
      </w:pPr>
      <w:r>
        <w:rPr>
          <w:lang w:val="fr-FR"/>
        </w:rPr>
        <w:t xml:space="preserve">Analyse des paramètres </w:t>
      </w:r>
      <w:r w:rsidR="00145936">
        <w:rPr>
          <w:lang w:val="fr-FR"/>
        </w:rPr>
        <w:t>pour</w:t>
      </w:r>
      <w:r>
        <w:rPr>
          <w:lang w:val="fr-FR"/>
        </w:rPr>
        <w:t xml:space="preserve"> l’ensemble des repères</w:t>
      </w:r>
    </w:p>
    <w:p w14:paraId="74EEABA0" w14:textId="54E6AEAA" w:rsidR="000C2DEE" w:rsidRDefault="000C2DEE" w:rsidP="000C2DEE">
      <w:pPr>
        <w:pStyle w:val="Corpsdetexte12retrait5mm"/>
        <w:rPr>
          <w:rStyle w:val="Corpsdetexte12Car"/>
          <w:lang w:val="fr-FR"/>
        </w:rPr>
      </w:pPr>
      <w:r>
        <w:rPr>
          <w:rStyle w:val="Corpsdetexte12Car"/>
          <w:lang w:val="fr-FR"/>
        </w:rPr>
        <w:t xml:space="preserve">L’analyse menée précédemment </w:t>
      </w:r>
      <w:r w:rsidR="009447D0">
        <w:rPr>
          <w:rStyle w:val="Corpsdetexte12Car"/>
          <w:lang w:val="fr-FR"/>
        </w:rPr>
        <w:t xml:space="preserve">a été </w:t>
      </w:r>
      <w:r>
        <w:rPr>
          <w:rStyle w:val="Corpsdetexte12Car"/>
          <w:lang w:val="fr-FR"/>
        </w:rPr>
        <w:t xml:space="preserve">réalisée sur l’ensemble des </w:t>
      </w:r>
      <w:r w:rsidR="00C11B43">
        <w:rPr>
          <w:rStyle w:val="Corpsdetexte12Car"/>
          <w:lang w:val="fr-FR"/>
        </w:rPr>
        <w:t>trente-neuf</w:t>
      </w:r>
      <w:r w:rsidR="00145936">
        <w:rPr>
          <w:rStyle w:val="Corpsdetexte12Car"/>
          <w:lang w:val="fr-FR"/>
        </w:rPr>
        <w:t xml:space="preserve"> </w:t>
      </w:r>
      <w:r>
        <w:rPr>
          <w:rStyle w:val="Corpsdetexte12Car"/>
          <w:lang w:val="fr-FR"/>
        </w:rPr>
        <w:t xml:space="preserve">points de mesure </w:t>
      </w:r>
      <w:r w:rsidR="00145936">
        <w:rPr>
          <w:rStyle w:val="Corpsdetexte12Car"/>
          <w:lang w:val="fr-FR"/>
        </w:rPr>
        <w:t xml:space="preserve">exploitables, </w:t>
      </w:r>
      <w:r>
        <w:rPr>
          <w:rStyle w:val="Corpsdetexte12Car"/>
          <w:lang w:val="fr-FR"/>
        </w:rPr>
        <w:t>situés à l’intérieur du bâtiment</w:t>
      </w:r>
      <w:r w:rsidRPr="00863CC9">
        <w:rPr>
          <w:rStyle w:val="Corpsdetexte12Car"/>
          <w:lang w:val="fr-FR"/>
        </w:rPr>
        <w:t xml:space="preserve">. Elle donne la plage de variation des </w:t>
      </w:r>
      <w:r w:rsidR="00863CC9" w:rsidRPr="00863CC9">
        <w:rPr>
          <w:rStyle w:val="Corpsdetexte12Car"/>
          <w:lang w:val="fr-FR"/>
        </w:rPr>
        <w:t>paramètres</w:t>
      </w:r>
      <w:r w:rsidR="00EF4327">
        <w:rPr>
          <w:rStyle w:val="Corpsdetexte12Car"/>
          <w:lang w:val="fr-FR"/>
        </w:rPr>
        <w:t xml:space="preserve"> r</w:t>
      </w:r>
      <w:r w:rsidR="00EF4327" w:rsidRPr="00EF4327">
        <w:rPr>
          <w:rStyle w:val="Corpsdetexte12Car"/>
          <w:vertAlign w:val="superscript"/>
          <w:lang w:val="fr-FR"/>
        </w:rPr>
        <w:t>2</w:t>
      </w:r>
      <w:r w:rsidR="00EF4327">
        <w:rPr>
          <w:rStyle w:val="Corpsdetexte12Car"/>
          <w:lang w:val="fr-FR"/>
        </w:rPr>
        <w:t>,</w:t>
      </w:r>
      <w:r w:rsidR="00863CC9">
        <w:rPr>
          <w:rStyle w:val="Corpsdetexte12Car"/>
          <w:lang w:val="fr-FR"/>
        </w:rPr>
        <w:t xml:space="preserve"> t</w:t>
      </w:r>
      <w:r w:rsidR="00863CC9" w:rsidRPr="00863CC9">
        <w:rPr>
          <w:rStyle w:val="Corpsdetexte12Car"/>
          <w:vertAlign w:val="subscript"/>
          <w:lang w:val="fr-FR"/>
        </w:rPr>
        <w:t>0</w:t>
      </w:r>
      <w:r w:rsidR="00863CC9">
        <w:rPr>
          <w:rStyle w:val="Corpsdetexte12Car"/>
          <w:lang w:val="fr-FR"/>
        </w:rPr>
        <w:t>, C</w:t>
      </w:r>
      <w:r w:rsidR="00863CC9" w:rsidRPr="00863CC9">
        <w:rPr>
          <w:rStyle w:val="Corpsdetexte12Car"/>
          <w:vertAlign w:val="subscript"/>
          <w:lang w:val="fr-FR"/>
        </w:rPr>
        <w:t>v</w:t>
      </w:r>
      <w:r w:rsidR="00863CC9">
        <w:rPr>
          <w:rStyle w:val="Corpsdetexte12Car"/>
          <w:lang w:val="fr-FR"/>
        </w:rPr>
        <w:t xml:space="preserve"> et C</w:t>
      </w:r>
      <w:r w:rsidR="00863CC9" w:rsidRPr="00863CC9">
        <w:rPr>
          <w:rStyle w:val="Corpsdetexte12Car"/>
          <w:rFonts w:cs="Arial"/>
          <w:vertAlign w:val="subscript"/>
          <w:lang w:val="fr-FR"/>
        </w:rPr>
        <w:t>α</w:t>
      </w:r>
      <w:r w:rsidR="00863CC9">
        <w:rPr>
          <w:rStyle w:val="Corpsdetexte12Car"/>
          <w:lang w:val="fr-FR"/>
        </w:rPr>
        <w:t xml:space="preserve"> ainsi estimés selon la Figure </w:t>
      </w:r>
      <w:r w:rsidR="00EA39D6">
        <w:rPr>
          <w:rStyle w:val="Corpsdetexte12Car"/>
          <w:lang w:val="fr-FR"/>
        </w:rPr>
        <w:t>3</w:t>
      </w:r>
      <w:r w:rsidR="00863CC9">
        <w:rPr>
          <w:rStyle w:val="Corpsdetexte12Car"/>
          <w:lang w:val="fr-FR"/>
        </w:rPr>
        <w:t>.</w:t>
      </w:r>
    </w:p>
    <w:p w14:paraId="60097DAF" w14:textId="4F23D59B" w:rsidR="00C11B43" w:rsidRDefault="00C11B43">
      <w:pPr>
        <w:spacing w:after="160" w:line="259" w:lineRule="auto"/>
        <w:rPr>
          <w:rStyle w:val="Corpsdetexte12Car"/>
          <w:iCs/>
          <w:lang w:val="fr-FR"/>
        </w:rPr>
      </w:pPr>
      <w:r>
        <w:rPr>
          <w:rStyle w:val="Corpsdetexte12Car"/>
          <w:lang w:val="fr-FR"/>
        </w:rPr>
        <w:br w:type="page"/>
      </w:r>
    </w:p>
    <w:p w14:paraId="2CC68841" w14:textId="042E40C1" w:rsidR="003A40B8" w:rsidRDefault="00863CC9" w:rsidP="00863CC9">
      <w:pPr>
        <w:pStyle w:val="Corpsdetexte12retrait5mm"/>
        <w:ind w:firstLine="284"/>
        <w:jc w:val="center"/>
        <w:rPr>
          <w:rStyle w:val="Corpsdetexte12Car"/>
          <w:lang w:val="fr-FR"/>
        </w:rPr>
      </w:pPr>
      <w:r w:rsidRPr="00863CC9">
        <w:rPr>
          <w:noProof/>
        </w:rPr>
        <w:lastRenderedPageBreak/>
        <w:drawing>
          <wp:inline distT="0" distB="0" distL="0" distR="0" wp14:anchorId="7D76EBA6" wp14:editId="0F5FD0A7">
            <wp:extent cx="2876051" cy="1738868"/>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76051" cy="1738868"/>
                    </a:xfrm>
                    <a:prstGeom prst="rect">
                      <a:avLst/>
                    </a:prstGeom>
                  </pic:spPr>
                </pic:pic>
              </a:graphicData>
            </a:graphic>
          </wp:inline>
        </w:drawing>
      </w:r>
      <w:r w:rsidRPr="00863CC9">
        <w:rPr>
          <w:noProof/>
        </w:rPr>
        <w:drawing>
          <wp:inline distT="0" distB="0" distL="0" distR="0" wp14:anchorId="5CDCE06C" wp14:editId="15C83BBC">
            <wp:extent cx="2869924" cy="1735163"/>
            <wp:effectExtent l="0" t="0" r="698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69924" cy="1735163"/>
                    </a:xfrm>
                    <a:prstGeom prst="rect">
                      <a:avLst/>
                    </a:prstGeom>
                  </pic:spPr>
                </pic:pic>
              </a:graphicData>
            </a:graphic>
          </wp:inline>
        </w:drawing>
      </w:r>
    </w:p>
    <w:p w14:paraId="73F05CBE" w14:textId="72AF1159" w:rsidR="003A40B8" w:rsidRDefault="00EF4327" w:rsidP="00AA1A1E">
      <w:pPr>
        <w:pStyle w:val="Corpsdetexte12retrait5mm"/>
        <w:ind w:firstLine="284"/>
        <w:rPr>
          <w:rStyle w:val="Corpsdetexte12Car"/>
          <w:lang w:val="fr-FR"/>
        </w:rPr>
      </w:pPr>
      <w:r>
        <w:rPr>
          <w:noProof/>
          <w:lang w:val="fr-FR"/>
        </w:rPr>
        <w:t xml:space="preserve">  </w:t>
      </w:r>
      <w:r w:rsidR="00863CC9" w:rsidRPr="00863CC9">
        <w:rPr>
          <w:noProof/>
        </w:rPr>
        <w:drawing>
          <wp:inline distT="0" distB="0" distL="0" distR="0" wp14:anchorId="2B7E0A58" wp14:editId="22D6932B">
            <wp:extent cx="2876051" cy="1738868"/>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76051" cy="1738868"/>
                    </a:xfrm>
                    <a:prstGeom prst="rect">
                      <a:avLst/>
                    </a:prstGeom>
                  </pic:spPr>
                </pic:pic>
              </a:graphicData>
            </a:graphic>
          </wp:inline>
        </w:drawing>
      </w:r>
      <w:r w:rsidR="00863CC9" w:rsidRPr="00863CC9">
        <w:rPr>
          <w:noProof/>
        </w:rPr>
        <w:drawing>
          <wp:inline distT="0" distB="0" distL="0" distR="0" wp14:anchorId="13A5B4EB" wp14:editId="4A0501E9">
            <wp:extent cx="2876051" cy="1738868"/>
            <wp:effectExtent l="0" t="0" r="63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76051" cy="1738868"/>
                    </a:xfrm>
                    <a:prstGeom prst="rect">
                      <a:avLst/>
                    </a:prstGeom>
                  </pic:spPr>
                </pic:pic>
              </a:graphicData>
            </a:graphic>
          </wp:inline>
        </w:drawing>
      </w:r>
    </w:p>
    <w:p w14:paraId="1EEF5670" w14:textId="1DDF166E" w:rsidR="00863CC9" w:rsidRPr="00C02800" w:rsidRDefault="00863CC9" w:rsidP="00863CC9">
      <w:pPr>
        <w:pStyle w:val="titredefigure"/>
        <w:spacing w:before="0"/>
      </w:pPr>
      <w:r w:rsidRPr="002A1C42">
        <w:t xml:space="preserve">Figure </w:t>
      </w:r>
      <w:r w:rsidR="009447D0">
        <w:t>3</w:t>
      </w:r>
      <w:r w:rsidRPr="002A1C42">
        <w:t xml:space="preserve">. </w:t>
      </w:r>
      <w:r>
        <w:t>Plages de variations des paramètres t</w:t>
      </w:r>
      <w:r w:rsidRPr="00863CC9">
        <w:rPr>
          <w:vertAlign w:val="subscript"/>
        </w:rPr>
        <w:t>0</w:t>
      </w:r>
      <w:r>
        <w:t>, C</w:t>
      </w:r>
      <w:r w:rsidRPr="00863CC9">
        <w:rPr>
          <w:vertAlign w:val="subscript"/>
        </w:rPr>
        <w:t>v</w:t>
      </w:r>
      <w:r>
        <w:t xml:space="preserve"> et C</w:t>
      </w:r>
      <w:r w:rsidRPr="00863CC9">
        <w:rPr>
          <w:rFonts w:cs="Arial"/>
          <w:vertAlign w:val="subscript"/>
        </w:rPr>
        <w:t>α</w:t>
      </w:r>
    </w:p>
    <w:p w14:paraId="0A593F18" w14:textId="126C2F3D" w:rsidR="00514416" w:rsidRDefault="000A0BE0" w:rsidP="000A0BE0">
      <w:pPr>
        <w:pStyle w:val="Corpsdetexte12retrait5mm"/>
        <w:ind w:firstLine="284"/>
        <w:rPr>
          <w:rStyle w:val="Corpsdetexte12Car"/>
          <w:lang w:val="fr-FR"/>
        </w:rPr>
      </w:pPr>
      <w:r>
        <w:rPr>
          <w:rStyle w:val="Corpsdetexte12Car"/>
          <w:lang w:val="fr-FR"/>
        </w:rPr>
        <w:t xml:space="preserve">Cette analyse montre </w:t>
      </w:r>
      <w:r w:rsidR="009447D0">
        <w:rPr>
          <w:rStyle w:val="Corpsdetexte12Car"/>
          <w:lang w:val="fr-FR"/>
        </w:rPr>
        <w:t xml:space="preserve">la </w:t>
      </w:r>
      <w:r w:rsidR="00EA39D6">
        <w:rPr>
          <w:rStyle w:val="Corpsdetexte12Car"/>
          <w:lang w:val="fr-FR"/>
        </w:rPr>
        <w:t>relative</w:t>
      </w:r>
      <w:r w:rsidR="009447D0">
        <w:rPr>
          <w:rStyle w:val="Corpsdetexte12Car"/>
          <w:lang w:val="fr-FR"/>
        </w:rPr>
        <w:t xml:space="preserve"> homogénéité </w:t>
      </w:r>
      <w:r w:rsidR="00863CC9">
        <w:rPr>
          <w:rStyle w:val="Corpsdetexte12Car"/>
          <w:lang w:val="fr-FR"/>
        </w:rPr>
        <w:t>des résultats : la consolidation secondaire semble avoir démarré entre 2009 et 2012, les coefficients de consolidation verticale estimés étant globalement compris entre 1</w:t>
      </w:r>
      <w:r w:rsidR="00863CC9">
        <w:rPr>
          <w:rStyle w:val="Corpsdetexte12Car"/>
          <w:rFonts w:cs="Arial"/>
          <w:lang w:val="fr-FR"/>
        </w:rPr>
        <w:t>∙</w:t>
      </w:r>
      <w:r w:rsidR="00863CC9">
        <w:rPr>
          <w:rStyle w:val="Corpsdetexte12Car"/>
          <w:lang w:val="fr-FR"/>
        </w:rPr>
        <w:t>10</w:t>
      </w:r>
      <w:r w:rsidR="00863CC9" w:rsidRPr="00863CC9">
        <w:rPr>
          <w:rStyle w:val="Corpsdetexte12Car"/>
          <w:vertAlign w:val="superscript"/>
          <w:lang w:val="fr-FR"/>
        </w:rPr>
        <w:t>-7</w:t>
      </w:r>
      <w:r w:rsidR="00863CC9">
        <w:rPr>
          <w:rStyle w:val="Corpsdetexte12Car"/>
          <w:lang w:val="fr-FR"/>
        </w:rPr>
        <w:t xml:space="preserve"> et 4</w:t>
      </w:r>
      <w:r w:rsidR="00863CC9">
        <w:rPr>
          <w:rStyle w:val="Corpsdetexte12Car"/>
          <w:rFonts w:cs="Arial"/>
          <w:lang w:val="fr-FR"/>
        </w:rPr>
        <w:t>∙</w:t>
      </w:r>
      <w:r w:rsidR="00863CC9">
        <w:rPr>
          <w:rStyle w:val="Corpsdetexte12Car"/>
          <w:lang w:val="fr-FR"/>
        </w:rPr>
        <w:t>10</w:t>
      </w:r>
      <w:r w:rsidR="00863CC9" w:rsidRPr="00863CC9">
        <w:rPr>
          <w:rStyle w:val="Corpsdetexte12Car"/>
          <w:vertAlign w:val="superscript"/>
          <w:lang w:val="fr-FR"/>
        </w:rPr>
        <w:t>-7</w:t>
      </w:r>
      <w:r w:rsidR="00863CC9">
        <w:rPr>
          <w:rStyle w:val="Corpsdetexte12Car"/>
          <w:lang w:val="fr-FR"/>
        </w:rPr>
        <w:t xml:space="preserve"> m</w:t>
      </w:r>
      <w:r w:rsidR="00863CC9" w:rsidRPr="00863CC9">
        <w:rPr>
          <w:rStyle w:val="Corpsdetexte12Car"/>
          <w:vertAlign w:val="superscript"/>
          <w:lang w:val="fr-FR"/>
        </w:rPr>
        <w:t>2</w:t>
      </w:r>
      <w:r w:rsidR="00863CC9">
        <w:rPr>
          <w:rStyle w:val="Corpsdetexte12Car"/>
          <w:lang w:val="fr-FR"/>
        </w:rPr>
        <w:t>/s et le taux de consolidation secondaire entre 0,01 et 0,02.</w:t>
      </w:r>
    </w:p>
    <w:p w14:paraId="576E5DE5" w14:textId="174DDA11" w:rsidR="00EF4327" w:rsidRDefault="00EF4327" w:rsidP="00EF4327">
      <w:pPr>
        <w:pStyle w:val="Titre1"/>
        <w:ind w:left="357" w:hanging="357"/>
        <w:rPr>
          <w:lang w:val="fr-FR"/>
        </w:rPr>
      </w:pPr>
      <w:r>
        <w:rPr>
          <w:lang w:val="fr-FR"/>
        </w:rPr>
        <w:t>Impact sur les pourcentages de consolidation</w:t>
      </w:r>
    </w:p>
    <w:p w14:paraId="6994A251" w14:textId="0275BD0D" w:rsidR="00D46F2D" w:rsidRDefault="00EF4327" w:rsidP="00D46F2D">
      <w:pPr>
        <w:pStyle w:val="Titre2"/>
        <w:ind w:left="357" w:hanging="357"/>
        <w:rPr>
          <w:rStyle w:val="Corpsdetexte12Car"/>
          <w:lang w:val="fr-FR"/>
        </w:rPr>
      </w:pPr>
      <w:r>
        <w:t>4</w:t>
      </w:r>
      <w:r w:rsidR="00D46F2D" w:rsidRPr="004422CB">
        <w:t>.</w:t>
      </w:r>
      <w:r>
        <w:t>1</w:t>
      </w:r>
      <w:r w:rsidR="00D46F2D" w:rsidRPr="004422CB">
        <w:t xml:space="preserve">. </w:t>
      </w:r>
      <w:r>
        <w:t>Au démarrage de la consolidation secondaire t</w:t>
      </w:r>
      <w:r w:rsidRPr="00EF4327">
        <w:rPr>
          <w:vertAlign w:val="subscript"/>
        </w:rPr>
        <w:t>0</w:t>
      </w:r>
    </w:p>
    <w:p w14:paraId="1F0CD565" w14:textId="0633C0CD" w:rsidR="00AA1A1E" w:rsidRDefault="00CA73B9" w:rsidP="00390EC3">
      <w:pPr>
        <w:pStyle w:val="Corpsdetexte12retrait5mm"/>
        <w:rPr>
          <w:rStyle w:val="Corpsdetexte12Car"/>
          <w:lang w:val="fr-FR"/>
        </w:rPr>
      </w:pPr>
      <w:r>
        <w:rPr>
          <w:rStyle w:val="Corpsdetexte12Car"/>
          <w:lang w:val="fr-FR"/>
        </w:rPr>
        <w:t xml:space="preserve">A partir de l’amplitude de tassements primaires estimés </w:t>
      </w:r>
      <w:r>
        <w:rPr>
          <w:rStyle w:val="Corpsdetexte12Car"/>
          <w:rFonts w:cs="Arial"/>
          <w:lang w:val="fr-FR"/>
        </w:rPr>
        <w:t>∆H</w:t>
      </w:r>
      <w:r w:rsidRPr="00CA73B9">
        <w:rPr>
          <w:rStyle w:val="Corpsdetexte12Car"/>
          <w:rFonts w:cs="Arial"/>
          <w:vertAlign w:val="subscript"/>
          <w:lang w:val="fr-FR"/>
        </w:rPr>
        <w:t>∞</w:t>
      </w:r>
      <w:r>
        <w:rPr>
          <w:rStyle w:val="Corpsdetexte12Car"/>
          <w:rFonts w:cs="Arial"/>
          <w:lang w:val="fr-FR"/>
        </w:rPr>
        <w:t>, de la date t</w:t>
      </w:r>
      <w:r w:rsidRPr="00CA73B9">
        <w:rPr>
          <w:rStyle w:val="Corpsdetexte12Car"/>
          <w:rFonts w:cs="Arial"/>
          <w:vertAlign w:val="subscript"/>
          <w:lang w:val="fr-FR"/>
        </w:rPr>
        <w:t>0</w:t>
      </w:r>
      <w:r>
        <w:rPr>
          <w:rStyle w:val="Corpsdetexte12Car"/>
          <w:rFonts w:cs="Arial"/>
          <w:lang w:val="fr-FR"/>
        </w:rPr>
        <w:t xml:space="preserve"> à partir de laquelle la consolidation secondaire est présumée démarrer et de l’amplitude des tassements observés à cette date, il est possible d’en déduire le degré de consolidation au démarrage de la consolidation secondaire. Le résultat est présenté sous forme d’histogramme sur la Figure </w:t>
      </w:r>
      <w:r w:rsidR="001A369E">
        <w:rPr>
          <w:rStyle w:val="Corpsdetexte12Car"/>
          <w:rFonts w:cs="Arial"/>
          <w:lang w:val="fr-FR"/>
        </w:rPr>
        <w:t>4</w:t>
      </w:r>
      <w:r>
        <w:rPr>
          <w:rStyle w:val="Corpsdetexte12Car"/>
          <w:rFonts w:cs="Arial"/>
          <w:lang w:val="fr-FR"/>
        </w:rPr>
        <w:t>.</w:t>
      </w:r>
    </w:p>
    <w:p w14:paraId="2F76C698" w14:textId="52DEBBE3" w:rsidR="00CA73B9" w:rsidRDefault="005553D4" w:rsidP="00CA73B9">
      <w:pPr>
        <w:pStyle w:val="Corpsdetexte12retrait5mm"/>
        <w:jc w:val="center"/>
        <w:rPr>
          <w:rStyle w:val="Corpsdetexte12Car"/>
          <w:lang w:val="fr-FR"/>
        </w:rPr>
      </w:pPr>
      <w:r w:rsidRPr="005553D4">
        <w:rPr>
          <w:noProof/>
        </w:rPr>
        <w:drawing>
          <wp:inline distT="0" distB="0" distL="0" distR="0" wp14:anchorId="45DAD565" wp14:editId="6AE7FC11">
            <wp:extent cx="2876051" cy="1738868"/>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051" cy="1738868"/>
                    </a:xfrm>
                    <a:prstGeom prst="rect">
                      <a:avLst/>
                    </a:prstGeom>
                  </pic:spPr>
                </pic:pic>
              </a:graphicData>
            </a:graphic>
          </wp:inline>
        </w:drawing>
      </w:r>
    </w:p>
    <w:p w14:paraId="40C28338" w14:textId="7D71407D" w:rsidR="00CA73B9" w:rsidRPr="00C02800" w:rsidRDefault="00CA73B9" w:rsidP="00CA73B9">
      <w:pPr>
        <w:pStyle w:val="titredefigure"/>
        <w:spacing w:before="0"/>
      </w:pPr>
      <w:r w:rsidRPr="002A1C42">
        <w:t xml:space="preserve">Figure </w:t>
      </w:r>
      <w:r w:rsidR="009447D0">
        <w:t>4</w:t>
      </w:r>
      <w:r w:rsidRPr="002A1C42">
        <w:t xml:space="preserve">. </w:t>
      </w:r>
      <w:r>
        <w:t>Plage de variation du pourcentage de consolidation primaire au démarrage de la consolidation secondaire</w:t>
      </w:r>
    </w:p>
    <w:p w14:paraId="083CE547" w14:textId="754C09DD" w:rsidR="00CA73B9" w:rsidRDefault="00CA73B9" w:rsidP="00CA73B9">
      <w:pPr>
        <w:pStyle w:val="Corpsdetexte12retrait5mm"/>
        <w:ind w:firstLine="284"/>
        <w:rPr>
          <w:rStyle w:val="Corpsdetexte12Car"/>
          <w:lang w:val="fr-FR"/>
        </w:rPr>
      </w:pPr>
      <w:r>
        <w:rPr>
          <w:rStyle w:val="Corpsdetexte12Car"/>
          <w:lang w:val="fr-FR"/>
        </w:rPr>
        <w:t xml:space="preserve">Les pourcentages obtenus </w:t>
      </w:r>
      <w:r w:rsidR="009447D0">
        <w:rPr>
          <w:rStyle w:val="Corpsdetexte12Car"/>
          <w:lang w:val="fr-FR"/>
        </w:rPr>
        <w:t>varient</w:t>
      </w:r>
      <w:r w:rsidR="005553D4">
        <w:rPr>
          <w:rStyle w:val="Corpsdetexte12Car"/>
          <w:lang w:val="fr-FR"/>
        </w:rPr>
        <w:t xml:space="preserve">, pour la plupart, </w:t>
      </w:r>
      <w:r>
        <w:rPr>
          <w:rStyle w:val="Corpsdetexte12Car"/>
          <w:lang w:val="fr-FR"/>
        </w:rPr>
        <w:t xml:space="preserve">entre </w:t>
      </w:r>
      <w:r w:rsidR="001D6281">
        <w:rPr>
          <w:rStyle w:val="Corpsdetexte12Car"/>
          <w:lang w:val="fr-FR"/>
        </w:rPr>
        <w:t>8</w:t>
      </w:r>
      <w:r>
        <w:rPr>
          <w:rStyle w:val="Corpsdetexte12Car"/>
          <w:lang w:val="fr-FR"/>
        </w:rPr>
        <w:t>0 et 95%, correspondant à ce qui est retenu classiquement dans les études comme temps de démarrage de la consolidation secondaire</w:t>
      </w:r>
      <w:r w:rsidR="001D6281">
        <w:rPr>
          <w:rStyle w:val="Corpsdetexte12Car"/>
          <w:lang w:val="fr-FR"/>
        </w:rPr>
        <w:t>.</w:t>
      </w:r>
    </w:p>
    <w:p w14:paraId="11E1AAB0" w14:textId="67C86794" w:rsidR="00D46F2D" w:rsidRDefault="00CA73B9" w:rsidP="00D46F2D">
      <w:pPr>
        <w:pStyle w:val="Titre2"/>
        <w:ind w:left="357" w:hanging="357"/>
        <w:rPr>
          <w:rStyle w:val="Corpsdetexte12Car"/>
          <w:lang w:val="fr-FR"/>
        </w:rPr>
      </w:pPr>
      <w:r>
        <w:lastRenderedPageBreak/>
        <w:t>4.2</w:t>
      </w:r>
      <w:r w:rsidR="00D46F2D" w:rsidRPr="004422CB">
        <w:t xml:space="preserve">. </w:t>
      </w:r>
      <w:r>
        <w:t>Sur les tassements actuels</w:t>
      </w:r>
    </w:p>
    <w:p w14:paraId="601C46AE" w14:textId="4742D771" w:rsidR="00AA1A1E" w:rsidRDefault="005553D4" w:rsidP="00390EC3">
      <w:pPr>
        <w:pStyle w:val="Corpsdetexte12retrait5mm"/>
        <w:rPr>
          <w:rStyle w:val="Corpsdetexte12Car"/>
          <w:lang w:val="fr-FR"/>
        </w:rPr>
      </w:pPr>
      <w:r>
        <w:rPr>
          <w:rStyle w:val="Corpsdetexte12Car"/>
          <w:lang w:val="fr-FR"/>
        </w:rPr>
        <w:t xml:space="preserve">L’analyse sur les pourcentages de consolidation peut également être menée sur les </w:t>
      </w:r>
      <w:r w:rsidR="009447D0">
        <w:rPr>
          <w:rStyle w:val="Corpsdetexte12Car"/>
          <w:lang w:val="fr-FR"/>
        </w:rPr>
        <w:t xml:space="preserve">dernières </w:t>
      </w:r>
      <w:r>
        <w:rPr>
          <w:rStyle w:val="Corpsdetexte12Car"/>
          <w:lang w:val="fr-FR"/>
        </w:rPr>
        <w:t xml:space="preserve">mesures de tassements. Cette analyse est </w:t>
      </w:r>
      <w:r w:rsidR="009447D0">
        <w:rPr>
          <w:rStyle w:val="Corpsdetexte12Car"/>
          <w:lang w:val="fr-FR"/>
        </w:rPr>
        <w:t xml:space="preserve">montrée </w:t>
      </w:r>
      <w:r>
        <w:rPr>
          <w:rStyle w:val="Corpsdetexte12Car"/>
          <w:lang w:val="fr-FR"/>
        </w:rPr>
        <w:t xml:space="preserve">sous forme d’histogramme sur la Figure </w:t>
      </w:r>
      <w:r w:rsidR="009447D0">
        <w:rPr>
          <w:rStyle w:val="Corpsdetexte12Car"/>
          <w:lang w:val="fr-FR"/>
        </w:rPr>
        <w:t>5</w:t>
      </w:r>
      <w:r>
        <w:rPr>
          <w:rStyle w:val="Corpsdetexte12Car"/>
          <w:lang w:val="fr-FR"/>
        </w:rPr>
        <w:t>.</w:t>
      </w:r>
    </w:p>
    <w:p w14:paraId="78E015B4" w14:textId="690B39A5" w:rsidR="00CA73B9" w:rsidRDefault="005553D4" w:rsidP="005553D4">
      <w:pPr>
        <w:pStyle w:val="Corpsdetexte12retrait5mm"/>
        <w:jc w:val="center"/>
        <w:rPr>
          <w:rStyle w:val="Corpsdetexte12Car"/>
          <w:lang w:val="fr-FR"/>
        </w:rPr>
      </w:pPr>
      <w:r w:rsidRPr="005553D4">
        <w:rPr>
          <w:noProof/>
        </w:rPr>
        <w:drawing>
          <wp:inline distT="0" distB="0" distL="0" distR="0" wp14:anchorId="6EAF6FD1" wp14:editId="7F2F0761">
            <wp:extent cx="2876051" cy="1738868"/>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76051" cy="1738868"/>
                    </a:xfrm>
                    <a:prstGeom prst="rect">
                      <a:avLst/>
                    </a:prstGeom>
                  </pic:spPr>
                </pic:pic>
              </a:graphicData>
            </a:graphic>
          </wp:inline>
        </w:drawing>
      </w:r>
    </w:p>
    <w:p w14:paraId="055CB708" w14:textId="4A3B1E2E" w:rsidR="005553D4" w:rsidRPr="00C02800" w:rsidRDefault="005553D4" w:rsidP="005553D4">
      <w:pPr>
        <w:pStyle w:val="titredefigure"/>
        <w:spacing w:before="0"/>
      </w:pPr>
      <w:r w:rsidRPr="002A1C42">
        <w:t xml:space="preserve">Figure </w:t>
      </w:r>
      <w:r w:rsidR="009447D0">
        <w:t>5</w:t>
      </w:r>
      <w:r w:rsidRPr="002A1C42">
        <w:t xml:space="preserve">. </w:t>
      </w:r>
      <w:r>
        <w:t>Plage de variation du pourcentage de consolidation primaire sur les mesures actuelles</w:t>
      </w:r>
    </w:p>
    <w:p w14:paraId="67C3458D" w14:textId="31770E0F" w:rsidR="00CA73B9" w:rsidRDefault="005553D4" w:rsidP="005553D4">
      <w:pPr>
        <w:pStyle w:val="Corpsdetexte12retrait5mm"/>
        <w:ind w:firstLine="284"/>
        <w:rPr>
          <w:rStyle w:val="Corpsdetexte12Car"/>
          <w:lang w:val="fr-FR"/>
        </w:rPr>
      </w:pPr>
      <w:r>
        <w:rPr>
          <w:rStyle w:val="Corpsdetexte12Car"/>
          <w:lang w:val="fr-FR"/>
        </w:rPr>
        <w:t>Cette figure montre qu</w:t>
      </w:r>
      <w:r w:rsidR="009447D0">
        <w:rPr>
          <w:rStyle w:val="Corpsdetexte12Car"/>
          <w:lang w:val="fr-FR"/>
        </w:rPr>
        <w:t xml:space="preserve">e lors </w:t>
      </w:r>
      <w:r w:rsidR="00B27BB5">
        <w:rPr>
          <w:rStyle w:val="Corpsdetexte12Car"/>
          <w:lang w:val="fr-FR"/>
        </w:rPr>
        <w:t>des dernières</w:t>
      </w:r>
      <w:r>
        <w:rPr>
          <w:rStyle w:val="Corpsdetexte12Car"/>
          <w:lang w:val="fr-FR"/>
        </w:rPr>
        <w:t xml:space="preserve"> mesures, les pourcentages de consolidation ont largement dépassé la consolidation primaire, avec une valeur médiane à 120%, et une valeur maximale pouvant dépasser plus de 1</w:t>
      </w:r>
      <w:r w:rsidR="00DF59F2">
        <w:rPr>
          <w:rStyle w:val="Corpsdetexte12Car"/>
          <w:lang w:val="fr-FR"/>
        </w:rPr>
        <w:t>4</w:t>
      </w:r>
      <w:r>
        <w:rPr>
          <w:rStyle w:val="Corpsdetexte12Car"/>
          <w:lang w:val="fr-FR"/>
        </w:rPr>
        <w:t>0%.</w:t>
      </w:r>
    </w:p>
    <w:p w14:paraId="218DA21A" w14:textId="4F3D7BBC" w:rsidR="005553D4" w:rsidRDefault="001C230A" w:rsidP="005553D4">
      <w:pPr>
        <w:pStyle w:val="Titre1"/>
        <w:ind w:left="357" w:hanging="357"/>
        <w:rPr>
          <w:lang w:val="fr-FR"/>
        </w:rPr>
      </w:pPr>
      <w:r>
        <w:rPr>
          <w:lang w:val="fr-FR"/>
        </w:rPr>
        <w:t>Estimation des tassements à venir</w:t>
      </w:r>
    </w:p>
    <w:p w14:paraId="5F5C4C5D" w14:textId="11E58D9C" w:rsidR="001F356B" w:rsidRDefault="001F356B" w:rsidP="001F356B">
      <w:pPr>
        <w:pStyle w:val="Titre2"/>
        <w:ind w:left="357" w:hanging="357"/>
        <w:rPr>
          <w:rStyle w:val="Corpsdetexte12Car"/>
          <w:lang w:val="fr-FR"/>
        </w:rPr>
      </w:pPr>
      <w:r>
        <w:t>5.1</w:t>
      </w:r>
      <w:r w:rsidRPr="004422CB">
        <w:t xml:space="preserve">. </w:t>
      </w:r>
      <w:r>
        <w:t>Amplitude des tassements totaux</w:t>
      </w:r>
    </w:p>
    <w:p w14:paraId="53D69EA1" w14:textId="596DAED3" w:rsidR="00AA1A1E" w:rsidRDefault="000E2E21" w:rsidP="00390EC3">
      <w:pPr>
        <w:pStyle w:val="Corpsdetexte12retrait5mm"/>
        <w:rPr>
          <w:rStyle w:val="Corpsdetexte12Car"/>
          <w:lang w:val="fr-FR"/>
        </w:rPr>
      </w:pPr>
      <w:r>
        <w:rPr>
          <w:rStyle w:val="Corpsdetexte12Car"/>
          <w:lang w:val="fr-FR"/>
        </w:rPr>
        <w:t>La modélisation définie précédemment, intégrant l</w:t>
      </w:r>
      <w:r w:rsidR="009447D0">
        <w:rPr>
          <w:rStyle w:val="Corpsdetexte12Car"/>
          <w:lang w:val="fr-FR"/>
        </w:rPr>
        <w:t>es</w:t>
      </w:r>
      <w:r>
        <w:rPr>
          <w:rStyle w:val="Corpsdetexte12Car"/>
          <w:lang w:val="fr-FR"/>
        </w:rPr>
        <w:t xml:space="preserve"> consolidation</w:t>
      </w:r>
      <w:r w:rsidR="009447D0">
        <w:rPr>
          <w:rStyle w:val="Corpsdetexte12Car"/>
          <w:lang w:val="fr-FR"/>
        </w:rPr>
        <w:t>s</w:t>
      </w:r>
      <w:r>
        <w:rPr>
          <w:rStyle w:val="Corpsdetexte12Car"/>
          <w:lang w:val="fr-FR"/>
        </w:rPr>
        <w:t xml:space="preserve"> primaire et secondaire, permet d’estimer les tassements non pas finaux, mais à une échéance donnée. Ainsi, il est loisible de calculer par repère</w:t>
      </w:r>
      <w:r w:rsidR="00EA39D6">
        <w:rPr>
          <w:rStyle w:val="Corpsdetexte12Car"/>
          <w:lang w:val="fr-FR"/>
        </w:rPr>
        <w:t>,</w:t>
      </w:r>
      <w:r>
        <w:rPr>
          <w:rStyle w:val="Corpsdetexte12Car"/>
          <w:lang w:val="fr-FR"/>
        </w:rPr>
        <w:t xml:space="preserve"> les déformations prévisibles </w:t>
      </w:r>
      <w:r w:rsidR="002600BA">
        <w:rPr>
          <w:rStyle w:val="Corpsdetexte12Car"/>
          <w:lang w:val="fr-FR"/>
        </w:rPr>
        <w:t xml:space="preserve">à différentes échéances : </w:t>
      </w:r>
      <w:r>
        <w:rPr>
          <w:rStyle w:val="Corpsdetexte12Car"/>
          <w:lang w:val="fr-FR"/>
        </w:rPr>
        <w:t>10 ans, 25 ans et 50 ans.</w:t>
      </w:r>
    </w:p>
    <w:p w14:paraId="712E6017" w14:textId="4109B860" w:rsidR="000E2E21" w:rsidRPr="009D463F" w:rsidRDefault="000E2E21" w:rsidP="005975F2">
      <w:pPr>
        <w:pStyle w:val="Corpsdetexte12retrait5mm"/>
        <w:ind w:firstLine="284"/>
        <w:rPr>
          <w:rStyle w:val="Corpsdetexte12Car"/>
          <w:lang w:val="fr-FR"/>
        </w:rPr>
      </w:pPr>
      <w:r>
        <w:rPr>
          <w:rStyle w:val="Corpsdetexte12Car"/>
          <w:lang w:val="fr-FR"/>
        </w:rPr>
        <w:t>Le Tableau 1 présente les résultats obtenus pour les tassements minimaux, moyens et maximaux, pour ces échéances.</w:t>
      </w:r>
      <w:r w:rsidR="009D463F">
        <w:rPr>
          <w:rStyle w:val="Corpsdetexte12Car"/>
          <w:lang w:val="fr-FR"/>
        </w:rPr>
        <w:t xml:space="preserve"> </w:t>
      </w:r>
    </w:p>
    <w:p w14:paraId="55167402" w14:textId="5573E5E6" w:rsidR="005975F2" w:rsidRDefault="005975F2" w:rsidP="005975F2">
      <w:pPr>
        <w:pStyle w:val="titredefigure"/>
        <w:spacing w:after="0"/>
      </w:pPr>
      <w:r>
        <w:t xml:space="preserve">Tableau 1. </w:t>
      </w:r>
      <w:r w:rsidR="00DF59F2">
        <w:t>Comparaison entre tassements estimés et tassements mesurés, et projection de l’amplitude des tassements à 10, 25 et 50 ans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1"/>
        <w:gridCol w:w="1086"/>
        <w:gridCol w:w="1087"/>
        <w:gridCol w:w="1087"/>
        <w:gridCol w:w="1086"/>
        <w:gridCol w:w="1087"/>
        <w:gridCol w:w="1087"/>
      </w:tblGrid>
      <w:tr w:rsidR="00DF59F2" w14:paraId="28EA4955" w14:textId="7658FDB3" w:rsidTr="00DF59F2">
        <w:tc>
          <w:tcPr>
            <w:tcW w:w="3111" w:type="dxa"/>
            <w:tcBorders>
              <w:top w:val="single" w:sz="6" w:space="0" w:color="auto"/>
              <w:left w:val="single" w:sz="6" w:space="0" w:color="auto"/>
              <w:bottom w:val="single" w:sz="6" w:space="0" w:color="auto"/>
              <w:right w:val="single" w:sz="6" w:space="0" w:color="auto"/>
            </w:tcBorders>
            <w:hideMark/>
          </w:tcPr>
          <w:p w14:paraId="596D4D09" w14:textId="41F38C52" w:rsidR="00DF59F2" w:rsidRDefault="00DF59F2">
            <w:pPr>
              <w:spacing w:line="256" w:lineRule="auto"/>
              <w:jc w:val="center"/>
              <w:rPr>
                <w:rFonts w:ascii="Arial" w:hAnsi="Arial" w:cs="Arial"/>
                <w:lang w:eastAsia="en-US"/>
              </w:rPr>
            </w:pPr>
          </w:p>
        </w:tc>
        <w:tc>
          <w:tcPr>
            <w:tcW w:w="2173" w:type="dxa"/>
            <w:gridSpan w:val="2"/>
            <w:tcBorders>
              <w:top w:val="single" w:sz="6" w:space="0" w:color="auto"/>
              <w:left w:val="single" w:sz="6" w:space="0" w:color="auto"/>
              <w:bottom w:val="single" w:sz="6" w:space="0" w:color="auto"/>
              <w:right w:val="single" w:sz="6" w:space="0" w:color="auto"/>
            </w:tcBorders>
            <w:hideMark/>
          </w:tcPr>
          <w:p w14:paraId="5BBF98C7" w14:textId="100F8814" w:rsidR="00DF59F2" w:rsidRDefault="00D529B6">
            <w:pPr>
              <w:spacing w:line="256" w:lineRule="auto"/>
              <w:jc w:val="center"/>
              <w:rPr>
                <w:rFonts w:ascii="Arial" w:hAnsi="Arial" w:cs="Arial"/>
                <w:lang w:eastAsia="en-US"/>
              </w:rPr>
            </w:pPr>
            <w:r>
              <w:rPr>
                <w:rFonts w:ascii="Arial" w:hAnsi="Arial" w:cs="Arial"/>
                <w:lang w:eastAsia="en-US"/>
              </w:rPr>
              <w:t>Tassement</w:t>
            </w:r>
            <w:r w:rsidR="00DF59F2">
              <w:rPr>
                <w:rFonts w:ascii="Arial" w:hAnsi="Arial" w:cs="Arial"/>
                <w:lang w:eastAsia="en-US"/>
              </w:rPr>
              <w:t xml:space="preserve"> minimal</w:t>
            </w:r>
          </w:p>
        </w:tc>
        <w:tc>
          <w:tcPr>
            <w:tcW w:w="2173" w:type="dxa"/>
            <w:gridSpan w:val="2"/>
            <w:tcBorders>
              <w:top w:val="single" w:sz="6" w:space="0" w:color="auto"/>
              <w:left w:val="single" w:sz="6" w:space="0" w:color="auto"/>
              <w:bottom w:val="single" w:sz="6" w:space="0" w:color="auto"/>
              <w:right w:val="single" w:sz="6" w:space="0" w:color="auto"/>
            </w:tcBorders>
            <w:hideMark/>
          </w:tcPr>
          <w:p w14:paraId="61B99BCB" w14:textId="2D02F8A8" w:rsidR="00DF59F2" w:rsidRDefault="00D529B6">
            <w:pPr>
              <w:spacing w:line="256" w:lineRule="auto"/>
              <w:jc w:val="center"/>
              <w:rPr>
                <w:rFonts w:ascii="Arial" w:hAnsi="Arial" w:cs="Arial"/>
                <w:lang w:eastAsia="en-US"/>
              </w:rPr>
            </w:pPr>
            <w:r>
              <w:rPr>
                <w:rFonts w:ascii="Arial" w:hAnsi="Arial" w:cs="Arial"/>
                <w:lang w:eastAsia="en-US"/>
              </w:rPr>
              <w:t>Tassement</w:t>
            </w:r>
            <w:r w:rsidR="00DF59F2">
              <w:rPr>
                <w:rFonts w:ascii="Arial" w:hAnsi="Arial" w:cs="Arial"/>
                <w:lang w:eastAsia="en-US"/>
              </w:rPr>
              <w:t xml:space="preserve"> moyen</w:t>
            </w:r>
          </w:p>
        </w:tc>
        <w:tc>
          <w:tcPr>
            <w:tcW w:w="2174" w:type="dxa"/>
            <w:gridSpan w:val="2"/>
            <w:tcBorders>
              <w:top w:val="single" w:sz="6" w:space="0" w:color="auto"/>
              <w:left w:val="single" w:sz="6" w:space="0" w:color="auto"/>
              <w:bottom w:val="single" w:sz="6" w:space="0" w:color="auto"/>
              <w:right w:val="single" w:sz="6" w:space="0" w:color="auto"/>
            </w:tcBorders>
            <w:hideMark/>
          </w:tcPr>
          <w:p w14:paraId="4F09BF7D" w14:textId="004D3550" w:rsidR="00DF59F2" w:rsidRDefault="00D529B6">
            <w:pPr>
              <w:spacing w:line="256" w:lineRule="auto"/>
              <w:jc w:val="center"/>
              <w:rPr>
                <w:rFonts w:ascii="Arial" w:hAnsi="Arial" w:cs="Arial"/>
                <w:lang w:eastAsia="en-US"/>
              </w:rPr>
            </w:pPr>
            <w:r>
              <w:rPr>
                <w:rFonts w:ascii="Arial" w:hAnsi="Arial" w:cs="Arial"/>
                <w:lang w:eastAsia="en-US"/>
              </w:rPr>
              <w:t>Tassement</w:t>
            </w:r>
            <w:r w:rsidR="00DF59F2">
              <w:rPr>
                <w:rFonts w:ascii="Arial" w:hAnsi="Arial" w:cs="Arial"/>
                <w:lang w:eastAsia="en-US"/>
              </w:rPr>
              <w:t xml:space="preserve"> maximal</w:t>
            </w:r>
          </w:p>
        </w:tc>
      </w:tr>
      <w:tr w:rsidR="00DF59F2" w14:paraId="0E787413" w14:textId="4403FF98" w:rsidTr="00D529B6">
        <w:tc>
          <w:tcPr>
            <w:tcW w:w="3111" w:type="dxa"/>
            <w:tcBorders>
              <w:top w:val="single" w:sz="6" w:space="0" w:color="auto"/>
              <w:left w:val="single" w:sz="6" w:space="0" w:color="auto"/>
              <w:bottom w:val="single" w:sz="6" w:space="0" w:color="auto"/>
              <w:right w:val="single" w:sz="6" w:space="0" w:color="auto"/>
            </w:tcBorders>
          </w:tcPr>
          <w:p w14:paraId="3F0BF907" w14:textId="3158AE37" w:rsidR="00DF59F2" w:rsidRDefault="00DF59F2" w:rsidP="009D463F">
            <w:pPr>
              <w:spacing w:line="256" w:lineRule="auto"/>
              <w:rPr>
                <w:rFonts w:ascii="Arial" w:hAnsi="Arial"/>
                <w:sz w:val="24"/>
                <w:lang w:eastAsia="en-US"/>
              </w:rPr>
            </w:pPr>
          </w:p>
        </w:tc>
        <w:tc>
          <w:tcPr>
            <w:tcW w:w="1086" w:type="dxa"/>
            <w:tcBorders>
              <w:top w:val="single" w:sz="6" w:space="0" w:color="auto"/>
              <w:left w:val="single" w:sz="6" w:space="0" w:color="auto"/>
              <w:bottom w:val="single" w:sz="6" w:space="0" w:color="auto"/>
              <w:right w:val="single" w:sz="6" w:space="0" w:color="auto"/>
            </w:tcBorders>
            <w:vAlign w:val="center"/>
          </w:tcPr>
          <w:p w14:paraId="495D4F65" w14:textId="660A2085" w:rsidR="00DF59F2" w:rsidRPr="009D463F" w:rsidRDefault="00DF59F2" w:rsidP="00D529B6">
            <w:pPr>
              <w:spacing w:line="256" w:lineRule="auto"/>
              <w:jc w:val="center"/>
              <w:rPr>
                <w:rFonts w:ascii="Arial" w:hAnsi="Arial"/>
                <w:lang w:eastAsia="en-US"/>
              </w:rPr>
            </w:pPr>
            <w:r w:rsidRPr="009D463F">
              <w:rPr>
                <w:rFonts w:ascii="Arial" w:hAnsi="Arial"/>
                <w:lang w:eastAsia="en-US"/>
              </w:rPr>
              <w:t>estimé</w:t>
            </w:r>
          </w:p>
        </w:tc>
        <w:tc>
          <w:tcPr>
            <w:tcW w:w="1087" w:type="dxa"/>
            <w:tcBorders>
              <w:top w:val="single" w:sz="6" w:space="0" w:color="auto"/>
              <w:left w:val="single" w:sz="6" w:space="0" w:color="auto"/>
              <w:bottom w:val="single" w:sz="6" w:space="0" w:color="auto"/>
              <w:right w:val="single" w:sz="6" w:space="0" w:color="auto"/>
            </w:tcBorders>
            <w:vAlign w:val="center"/>
          </w:tcPr>
          <w:p w14:paraId="37783338" w14:textId="2D8E6E3A" w:rsidR="00DF59F2" w:rsidRPr="00390CDC" w:rsidRDefault="00DF59F2" w:rsidP="00D529B6">
            <w:pPr>
              <w:spacing w:line="256" w:lineRule="auto"/>
              <w:jc w:val="center"/>
              <w:rPr>
                <w:rFonts w:ascii="Arial" w:hAnsi="Arial"/>
                <w:i/>
                <w:iCs/>
                <w:lang w:eastAsia="en-US"/>
              </w:rPr>
            </w:pPr>
            <w:r w:rsidRPr="00390CDC">
              <w:rPr>
                <w:rFonts w:ascii="Arial" w:hAnsi="Arial"/>
                <w:i/>
                <w:iCs/>
                <w:lang w:eastAsia="en-US"/>
              </w:rPr>
              <w:t>mesuré</w:t>
            </w:r>
          </w:p>
        </w:tc>
        <w:tc>
          <w:tcPr>
            <w:tcW w:w="1087" w:type="dxa"/>
            <w:tcBorders>
              <w:top w:val="single" w:sz="6" w:space="0" w:color="auto"/>
              <w:left w:val="single" w:sz="6" w:space="0" w:color="auto"/>
              <w:bottom w:val="single" w:sz="6" w:space="0" w:color="auto"/>
              <w:right w:val="single" w:sz="6" w:space="0" w:color="auto"/>
            </w:tcBorders>
            <w:vAlign w:val="center"/>
          </w:tcPr>
          <w:p w14:paraId="1BBBA4F8" w14:textId="4C276DBA" w:rsidR="00DF59F2" w:rsidRPr="009D463F" w:rsidRDefault="00DF59F2" w:rsidP="00D529B6">
            <w:pPr>
              <w:spacing w:line="256" w:lineRule="auto"/>
              <w:jc w:val="center"/>
              <w:rPr>
                <w:rFonts w:ascii="Arial" w:hAnsi="Arial"/>
                <w:lang w:eastAsia="en-US"/>
              </w:rPr>
            </w:pPr>
            <w:r w:rsidRPr="009D463F">
              <w:rPr>
                <w:rFonts w:ascii="Arial" w:hAnsi="Arial"/>
                <w:lang w:eastAsia="en-US"/>
              </w:rPr>
              <w:t>estimé</w:t>
            </w:r>
          </w:p>
        </w:tc>
        <w:tc>
          <w:tcPr>
            <w:tcW w:w="1086" w:type="dxa"/>
            <w:tcBorders>
              <w:top w:val="single" w:sz="6" w:space="0" w:color="auto"/>
              <w:left w:val="single" w:sz="6" w:space="0" w:color="auto"/>
              <w:bottom w:val="single" w:sz="6" w:space="0" w:color="auto"/>
              <w:right w:val="single" w:sz="6" w:space="0" w:color="auto"/>
            </w:tcBorders>
            <w:vAlign w:val="center"/>
          </w:tcPr>
          <w:p w14:paraId="51A9DD78" w14:textId="1FA95D6D" w:rsidR="00DF59F2" w:rsidRPr="00390CDC" w:rsidRDefault="00DF59F2" w:rsidP="00D529B6">
            <w:pPr>
              <w:spacing w:line="256" w:lineRule="auto"/>
              <w:jc w:val="center"/>
              <w:rPr>
                <w:rFonts w:ascii="Arial" w:hAnsi="Arial"/>
                <w:i/>
                <w:iCs/>
                <w:lang w:eastAsia="en-US"/>
              </w:rPr>
            </w:pPr>
            <w:r w:rsidRPr="00390CDC">
              <w:rPr>
                <w:rFonts w:ascii="Arial" w:hAnsi="Arial"/>
                <w:i/>
                <w:iCs/>
                <w:lang w:eastAsia="en-US"/>
              </w:rPr>
              <w:t>mesuré</w:t>
            </w:r>
          </w:p>
        </w:tc>
        <w:tc>
          <w:tcPr>
            <w:tcW w:w="1087" w:type="dxa"/>
            <w:tcBorders>
              <w:top w:val="single" w:sz="6" w:space="0" w:color="auto"/>
              <w:left w:val="single" w:sz="6" w:space="0" w:color="auto"/>
              <w:bottom w:val="single" w:sz="6" w:space="0" w:color="auto"/>
              <w:right w:val="single" w:sz="6" w:space="0" w:color="auto"/>
            </w:tcBorders>
            <w:vAlign w:val="center"/>
          </w:tcPr>
          <w:p w14:paraId="08B47851" w14:textId="3F71E4CE" w:rsidR="00DF59F2" w:rsidRPr="009D463F" w:rsidRDefault="00DF59F2" w:rsidP="00D529B6">
            <w:pPr>
              <w:spacing w:line="256" w:lineRule="auto"/>
              <w:jc w:val="center"/>
              <w:rPr>
                <w:rFonts w:ascii="Arial" w:hAnsi="Arial"/>
                <w:lang w:eastAsia="en-US"/>
              </w:rPr>
            </w:pPr>
            <w:r w:rsidRPr="009D463F">
              <w:rPr>
                <w:rFonts w:ascii="Arial" w:hAnsi="Arial"/>
                <w:lang w:eastAsia="en-US"/>
              </w:rPr>
              <w:t>estimé</w:t>
            </w:r>
          </w:p>
        </w:tc>
        <w:tc>
          <w:tcPr>
            <w:tcW w:w="1087" w:type="dxa"/>
            <w:tcBorders>
              <w:top w:val="single" w:sz="6" w:space="0" w:color="auto"/>
              <w:left w:val="single" w:sz="6" w:space="0" w:color="auto"/>
              <w:bottom w:val="single" w:sz="6" w:space="0" w:color="auto"/>
              <w:right w:val="single" w:sz="6" w:space="0" w:color="auto"/>
            </w:tcBorders>
            <w:vAlign w:val="center"/>
          </w:tcPr>
          <w:p w14:paraId="6871343F" w14:textId="0F63943F" w:rsidR="00DF59F2" w:rsidRPr="00390CDC" w:rsidRDefault="00DF59F2" w:rsidP="00D529B6">
            <w:pPr>
              <w:spacing w:line="256" w:lineRule="auto"/>
              <w:jc w:val="center"/>
              <w:rPr>
                <w:rFonts w:ascii="Arial" w:hAnsi="Arial"/>
                <w:i/>
                <w:iCs/>
                <w:lang w:eastAsia="en-US"/>
              </w:rPr>
            </w:pPr>
            <w:r w:rsidRPr="00390CDC">
              <w:rPr>
                <w:rFonts w:ascii="Arial" w:hAnsi="Arial"/>
                <w:i/>
                <w:iCs/>
                <w:lang w:eastAsia="en-US"/>
              </w:rPr>
              <w:t>mesuré</w:t>
            </w:r>
          </w:p>
        </w:tc>
      </w:tr>
      <w:tr w:rsidR="00DF59F2" w14:paraId="6AFB90F2" w14:textId="77777777" w:rsidTr="00DF59F2">
        <w:tc>
          <w:tcPr>
            <w:tcW w:w="3111" w:type="dxa"/>
            <w:tcBorders>
              <w:left w:val="single" w:sz="6" w:space="0" w:color="auto"/>
              <w:bottom w:val="single" w:sz="6" w:space="0" w:color="auto"/>
              <w:right w:val="single" w:sz="6" w:space="0" w:color="auto"/>
            </w:tcBorders>
            <w:vAlign w:val="center"/>
          </w:tcPr>
          <w:p w14:paraId="5FA0997D" w14:textId="05809272" w:rsidR="00DF59F2" w:rsidRPr="00DF59F2" w:rsidRDefault="00DF59F2" w:rsidP="009D463F">
            <w:pPr>
              <w:spacing w:line="256" w:lineRule="auto"/>
              <w:rPr>
                <w:rFonts w:ascii="Arial" w:hAnsi="Arial"/>
                <w:sz w:val="24"/>
                <w:lang w:eastAsia="en-US"/>
              </w:rPr>
            </w:pPr>
            <w:r>
              <w:rPr>
                <w:rFonts w:ascii="Arial" w:hAnsi="Arial"/>
                <w:sz w:val="24"/>
                <w:lang w:eastAsia="en-US"/>
              </w:rPr>
              <w:t>Tassements à t</w:t>
            </w:r>
            <w:r w:rsidRPr="00DF59F2">
              <w:rPr>
                <w:rFonts w:ascii="Arial" w:hAnsi="Arial"/>
                <w:sz w:val="24"/>
                <w:vertAlign w:val="subscript"/>
                <w:lang w:eastAsia="en-US"/>
              </w:rPr>
              <w:t>0</w:t>
            </w:r>
            <w:r>
              <w:rPr>
                <w:rFonts w:ascii="Arial" w:hAnsi="Arial"/>
                <w:sz w:val="24"/>
                <w:lang w:eastAsia="en-US"/>
              </w:rPr>
              <w:t xml:space="preserve"> (cm)</w:t>
            </w:r>
          </w:p>
        </w:tc>
        <w:tc>
          <w:tcPr>
            <w:tcW w:w="1086" w:type="dxa"/>
            <w:tcBorders>
              <w:top w:val="single" w:sz="6" w:space="0" w:color="auto"/>
              <w:left w:val="single" w:sz="6" w:space="0" w:color="auto"/>
              <w:bottom w:val="single" w:sz="6" w:space="0" w:color="auto"/>
              <w:right w:val="single" w:sz="6" w:space="0" w:color="auto"/>
            </w:tcBorders>
            <w:vAlign w:val="center"/>
          </w:tcPr>
          <w:p w14:paraId="724D6FD5" w14:textId="752DD137" w:rsidR="00DF59F2" w:rsidRDefault="00DF59F2" w:rsidP="00DF59F2">
            <w:pPr>
              <w:spacing w:line="256" w:lineRule="auto"/>
              <w:jc w:val="center"/>
              <w:rPr>
                <w:rFonts w:ascii="Arial" w:hAnsi="Arial"/>
                <w:sz w:val="24"/>
                <w:lang w:eastAsia="en-US"/>
              </w:rPr>
            </w:pPr>
            <w:r>
              <w:rPr>
                <w:rFonts w:ascii="Arial" w:hAnsi="Arial"/>
                <w:sz w:val="24"/>
                <w:lang w:eastAsia="en-US"/>
              </w:rPr>
              <w:t>8,9</w:t>
            </w:r>
          </w:p>
        </w:tc>
        <w:tc>
          <w:tcPr>
            <w:tcW w:w="1087" w:type="dxa"/>
            <w:tcBorders>
              <w:top w:val="single" w:sz="6" w:space="0" w:color="auto"/>
              <w:left w:val="single" w:sz="6" w:space="0" w:color="auto"/>
              <w:bottom w:val="single" w:sz="6" w:space="0" w:color="auto"/>
              <w:right w:val="single" w:sz="6" w:space="0" w:color="auto"/>
            </w:tcBorders>
            <w:vAlign w:val="center"/>
          </w:tcPr>
          <w:p w14:paraId="1FC84148" w14:textId="0B5BD164" w:rsidR="00DF59F2" w:rsidRPr="00390CDC" w:rsidRDefault="00DF59F2" w:rsidP="00DF59F2">
            <w:pPr>
              <w:spacing w:line="256" w:lineRule="auto"/>
              <w:jc w:val="center"/>
              <w:rPr>
                <w:rFonts w:ascii="Arial" w:hAnsi="Arial"/>
                <w:i/>
                <w:iCs/>
                <w:sz w:val="24"/>
                <w:lang w:eastAsia="en-US"/>
              </w:rPr>
            </w:pPr>
            <w:r w:rsidRPr="00390CDC">
              <w:rPr>
                <w:rFonts w:ascii="Arial" w:hAnsi="Arial"/>
                <w:i/>
                <w:iCs/>
                <w:sz w:val="24"/>
                <w:lang w:eastAsia="en-US"/>
              </w:rPr>
              <w:t>9,0</w:t>
            </w:r>
          </w:p>
        </w:tc>
        <w:tc>
          <w:tcPr>
            <w:tcW w:w="1087" w:type="dxa"/>
            <w:tcBorders>
              <w:top w:val="single" w:sz="6" w:space="0" w:color="auto"/>
              <w:left w:val="single" w:sz="6" w:space="0" w:color="auto"/>
              <w:bottom w:val="single" w:sz="6" w:space="0" w:color="auto"/>
              <w:right w:val="single" w:sz="6" w:space="0" w:color="auto"/>
            </w:tcBorders>
            <w:vAlign w:val="center"/>
          </w:tcPr>
          <w:p w14:paraId="607D2738" w14:textId="71701003" w:rsidR="00DF59F2" w:rsidRDefault="00DF59F2" w:rsidP="00DF59F2">
            <w:pPr>
              <w:spacing w:line="256" w:lineRule="auto"/>
              <w:jc w:val="center"/>
              <w:rPr>
                <w:rFonts w:ascii="Arial" w:hAnsi="Arial"/>
                <w:sz w:val="24"/>
                <w:lang w:eastAsia="en-US"/>
              </w:rPr>
            </w:pPr>
            <w:r>
              <w:rPr>
                <w:rFonts w:ascii="Arial" w:hAnsi="Arial"/>
                <w:sz w:val="24"/>
                <w:lang w:eastAsia="en-US"/>
              </w:rPr>
              <w:t>16,8</w:t>
            </w:r>
          </w:p>
        </w:tc>
        <w:tc>
          <w:tcPr>
            <w:tcW w:w="1086" w:type="dxa"/>
            <w:tcBorders>
              <w:top w:val="single" w:sz="6" w:space="0" w:color="auto"/>
              <w:left w:val="single" w:sz="6" w:space="0" w:color="auto"/>
              <w:bottom w:val="single" w:sz="6" w:space="0" w:color="auto"/>
              <w:right w:val="single" w:sz="6" w:space="0" w:color="auto"/>
            </w:tcBorders>
            <w:vAlign w:val="center"/>
          </w:tcPr>
          <w:p w14:paraId="3C5674CC" w14:textId="1DC3FFA5" w:rsidR="00DF59F2" w:rsidRPr="00390CDC" w:rsidRDefault="00DF59F2" w:rsidP="00DF59F2">
            <w:pPr>
              <w:spacing w:line="256" w:lineRule="auto"/>
              <w:jc w:val="center"/>
              <w:rPr>
                <w:rFonts w:ascii="Arial" w:hAnsi="Arial"/>
                <w:i/>
                <w:iCs/>
                <w:sz w:val="24"/>
                <w:lang w:eastAsia="en-US"/>
              </w:rPr>
            </w:pPr>
            <w:r w:rsidRPr="00390CDC">
              <w:rPr>
                <w:rFonts w:ascii="Arial" w:hAnsi="Arial"/>
                <w:i/>
                <w:iCs/>
                <w:sz w:val="24"/>
                <w:lang w:eastAsia="en-US"/>
              </w:rPr>
              <w:t>17,1</w:t>
            </w:r>
          </w:p>
        </w:tc>
        <w:tc>
          <w:tcPr>
            <w:tcW w:w="1087" w:type="dxa"/>
            <w:tcBorders>
              <w:top w:val="single" w:sz="6" w:space="0" w:color="auto"/>
              <w:left w:val="single" w:sz="6" w:space="0" w:color="auto"/>
              <w:bottom w:val="single" w:sz="6" w:space="0" w:color="auto"/>
              <w:right w:val="single" w:sz="6" w:space="0" w:color="auto"/>
            </w:tcBorders>
            <w:vAlign w:val="center"/>
          </w:tcPr>
          <w:p w14:paraId="5BCB8DB3" w14:textId="1664ED16" w:rsidR="00DF59F2" w:rsidRDefault="00DF59F2" w:rsidP="00DF59F2">
            <w:pPr>
              <w:spacing w:line="256" w:lineRule="auto"/>
              <w:jc w:val="center"/>
              <w:rPr>
                <w:rFonts w:ascii="Arial" w:hAnsi="Arial"/>
                <w:sz w:val="24"/>
                <w:lang w:eastAsia="en-US"/>
              </w:rPr>
            </w:pPr>
            <w:r>
              <w:rPr>
                <w:rFonts w:ascii="Arial" w:hAnsi="Arial"/>
                <w:sz w:val="24"/>
                <w:lang w:eastAsia="en-US"/>
              </w:rPr>
              <w:t>23,9</w:t>
            </w:r>
          </w:p>
        </w:tc>
        <w:tc>
          <w:tcPr>
            <w:tcW w:w="1087" w:type="dxa"/>
            <w:tcBorders>
              <w:top w:val="single" w:sz="6" w:space="0" w:color="auto"/>
              <w:left w:val="single" w:sz="6" w:space="0" w:color="auto"/>
              <w:bottom w:val="single" w:sz="6" w:space="0" w:color="auto"/>
              <w:right w:val="single" w:sz="6" w:space="0" w:color="auto"/>
            </w:tcBorders>
            <w:vAlign w:val="center"/>
          </w:tcPr>
          <w:p w14:paraId="2B07F2D5" w14:textId="53197BEB" w:rsidR="00DF59F2" w:rsidRPr="00390CDC" w:rsidRDefault="00DF59F2" w:rsidP="00DF59F2">
            <w:pPr>
              <w:spacing w:line="256" w:lineRule="auto"/>
              <w:jc w:val="center"/>
              <w:rPr>
                <w:rFonts w:ascii="Arial" w:hAnsi="Arial"/>
                <w:i/>
                <w:iCs/>
                <w:sz w:val="24"/>
                <w:lang w:eastAsia="en-US"/>
              </w:rPr>
            </w:pPr>
            <w:r w:rsidRPr="00390CDC">
              <w:rPr>
                <w:rFonts w:ascii="Arial" w:hAnsi="Arial"/>
                <w:i/>
                <w:iCs/>
                <w:sz w:val="24"/>
                <w:lang w:eastAsia="en-US"/>
              </w:rPr>
              <w:t>24,4</w:t>
            </w:r>
          </w:p>
        </w:tc>
      </w:tr>
      <w:tr w:rsidR="00DF59F2" w14:paraId="6C60BE8F" w14:textId="77777777" w:rsidTr="00DF59F2">
        <w:tc>
          <w:tcPr>
            <w:tcW w:w="3111" w:type="dxa"/>
            <w:tcBorders>
              <w:left w:val="single" w:sz="6" w:space="0" w:color="auto"/>
              <w:bottom w:val="single" w:sz="6" w:space="0" w:color="auto"/>
              <w:right w:val="single" w:sz="6" w:space="0" w:color="auto"/>
            </w:tcBorders>
            <w:vAlign w:val="center"/>
          </w:tcPr>
          <w:p w14:paraId="0FCCE20B" w14:textId="0D0A097B" w:rsidR="00DF59F2" w:rsidRDefault="00DF59F2" w:rsidP="009D463F">
            <w:pPr>
              <w:spacing w:line="256" w:lineRule="auto"/>
              <w:rPr>
                <w:rFonts w:ascii="Arial" w:hAnsi="Arial"/>
                <w:sz w:val="24"/>
                <w:lang w:eastAsia="en-US"/>
              </w:rPr>
            </w:pPr>
            <w:r>
              <w:rPr>
                <w:rFonts w:ascii="Arial" w:hAnsi="Arial"/>
                <w:sz w:val="24"/>
                <w:lang w:eastAsia="en-US"/>
              </w:rPr>
              <w:t>Tassements actuels (cm)</w:t>
            </w:r>
          </w:p>
        </w:tc>
        <w:tc>
          <w:tcPr>
            <w:tcW w:w="1086" w:type="dxa"/>
            <w:tcBorders>
              <w:top w:val="single" w:sz="6" w:space="0" w:color="auto"/>
              <w:left w:val="single" w:sz="6" w:space="0" w:color="auto"/>
              <w:bottom w:val="single" w:sz="6" w:space="0" w:color="auto"/>
              <w:right w:val="single" w:sz="6" w:space="0" w:color="auto"/>
            </w:tcBorders>
            <w:vAlign w:val="center"/>
          </w:tcPr>
          <w:p w14:paraId="595F7956" w14:textId="0B34BDAC" w:rsidR="00DF59F2" w:rsidRDefault="00DF59F2" w:rsidP="00DF59F2">
            <w:pPr>
              <w:spacing w:line="256" w:lineRule="auto"/>
              <w:jc w:val="center"/>
              <w:rPr>
                <w:rFonts w:ascii="Arial" w:hAnsi="Arial"/>
                <w:sz w:val="24"/>
                <w:lang w:eastAsia="en-US"/>
              </w:rPr>
            </w:pPr>
            <w:r>
              <w:rPr>
                <w:rFonts w:ascii="Arial" w:hAnsi="Arial"/>
                <w:sz w:val="24"/>
                <w:lang w:eastAsia="en-US"/>
              </w:rPr>
              <w:t>13,0</w:t>
            </w:r>
          </w:p>
        </w:tc>
        <w:tc>
          <w:tcPr>
            <w:tcW w:w="1087" w:type="dxa"/>
            <w:tcBorders>
              <w:top w:val="single" w:sz="6" w:space="0" w:color="auto"/>
              <w:left w:val="single" w:sz="6" w:space="0" w:color="auto"/>
              <w:bottom w:val="single" w:sz="6" w:space="0" w:color="auto"/>
              <w:right w:val="single" w:sz="6" w:space="0" w:color="auto"/>
            </w:tcBorders>
            <w:vAlign w:val="center"/>
          </w:tcPr>
          <w:p w14:paraId="3EBEAEC9" w14:textId="3462B044" w:rsidR="00DF59F2" w:rsidRPr="00390CDC" w:rsidRDefault="00DF59F2" w:rsidP="00DF59F2">
            <w:pPr>
              <w:spacing w:line="256" w:lineRule="auto"/>
              <w:jc w:val="center"/>
              <w:rPr>
                <w:rFonts w:ascii="Arial" w:hAnsi="Arial"/>
                <w:i/>
                <w:iCs/>
                <w:sz w:val="24"/>
                <w:lang w:eastAsia="en-US"/>
              </w:rPr>
            </w:pPr>
            <w:r w:rsidRPr="00390CDC">
              <w:rPr>
                <w:rFonts w:ascii="Arial" w:hAnsi="Arial"/>
                <w:i/>
                <w:iCs/>
                <w:sz w:val="24"/>
                <w:lang w:eastAsia="en-US"/>
              </w:rPr>
              <w:t>13,3</w:t>
            </w:r>
          </w:p>
        </w:tc>
        <w:tc>
          <w:tcPr>
            <w:tcW w:w="1087" w:type="dxa"/>
            <w:tcBorders>
              <w:top w:val="single" w:sz="6" w:space="0" w:color="auto"/>
              <w:left w:val="single" w:sz="6" w:space="0" w:color="auto"/>
              <w:bottom w:val="single" w:sz="6" w:space="0" w:color="auto"/>
              <w:right w:val="single" w:sz="6" w:space="0" w:color="auto"/>
            </w:tcBorders>
            <w:vAlign w:val="center"/>
          </w:tcPr>
          <w:p w14:paraId="344426FE" w14:textId="61429E37" w:rsidR="00DF59F2" w:rsidRDefault="00DF59F2" w:rsidP="00DF59F2">
            <w:pPr>
              <w:spacing w:line="256" w:lineRule="auto"/>
              <w:jc w:val="center"/>
              <w:rPr>
                <w:rFonts w:ascii="Arial" w:hAnsi="Arial"/>
                <w:sz w:val="24"/>
                <w:lang w:eastAsia="en-US"/>
              </w:rPr>
            </w:pPr>
            <w:r>
              <w:rPr>
                <w:rFonts w:ascii="Arial" w:hAnsi="Arial"/>
                <w:sz w:val="24"/>
                <w:lang w:eastAsia="en-US"/>
              </w:rPr>
              <w:t>22,6</w:t>
            </w:r>
          </w:p>
        </w:tc>
        <w:tc>
          <w:tcPr>
            <w:tcW w:w="1086" w:type="dxa"/>
            <w:tcBorders>
              <w:top w:val="single" w:sz="6" w:space="0" w:color="auto"/>
              <w:left w:val="single" w:sz="6" w:space="0" w:color="auto"/>
              <w:bottom w:val="single" w:sz="6" w:space="0" w:color="auto"/>
              <w:right w:val="single" w:sz="6" w:space="0" w:color="auto"/>
            </w:tcBorders>
            <w:vAlign w:val="center"/>
          </w:tcPr>
          <w:p w14:paraId="3598AD2D" w14:textId="62D04D67" w:rsidR="00DF59F2" w:rsidRPr="00390CDC" w:rsidRDefault="00DF59F2" w:rsidP="00DF59F2">
            <w:pPr>
              <w:spacing w:line="256" w:lineRule="auto"/>
              <w:jc w:val="center"/>
              <w:rPr>
                <w:rFonts w:ascii="Arial" w:hAnsi="Arial"/>
                <w:i/>
                <w:iCs/>
                <w:sz w:val="24"/>
                <w:lang w:eastAsia="en-US"/>
              </w:rPr>
            </w:pPr>
            <w:r w:rsidRPr="00390CDC">
              <w:rPr>
                <w:rFonts w:ascii="Arial" w:hAnsi="Arial"/>
                <w:i/>
                <w:iCs/>
                <w:sz w:val="24"/>
                <w:lang w:eastAsia="en-US"/>
              </w:rPr>
              <w:t>22,9</w:t>
            </w:r>
          </w:p>
        </w:tc>
        <w:tc>
          <w:tcPr>
            <w:tcW w:w="1087" w:type="dxa"/>
            <w:tcBorders>
              <w:top w:val="single" w:sz="6" w:space="0" w:color="auto"/>
              <w:left w:val="single" w:sz="6" w:space="0" w:color="auto"/>
              <w:bottom w:val="single" w:sz="6" w:space="0" w:color="auto"/>
              <w:right w:val="single" w:sz="6" w:space="0" w:color="auto"/>
            </w:tcBorders>
            <w:vAlign w:val="center"/>
          </w:tcPr>
          <w:p w14:paraId="3D385517" w14:textId="460B340B" w:rsidR="00DF59F2" w:rsidRDefault="00DF59F2" w:rsidP="00DF59F2">
            <w:pPr>
              <w:spacing w:line="256" w:lineRule="auto"/>
              <w:jc w:val="center"/>
              <w:rPr>
                <w:rFonts w:ascii="Arial" w:hAnsi="Arial"/>
                <w:sz w:val="24"/>
                <w:lang w:eastAsia="en-US"/>
              </w:rPr>
            </w:pPr>
            <w:r>
              <w:rPr>
                <w:rFonts w:ascii="Arial" w:hAnsi="Arial"/>
                <w:sz w:val="24"/>
                <w:lang w:eastAsia="en-US"/>
              </w:rPr>
              <w:t>31,1</w:t>
            </w:r>
          </w:p>
        </w:tc>
        <w:tc>
          <w:tcPr>
            <w:tcW w:w="1087" w:type="dxa"/>
            <w:tcBorders>
              <w:top w:val="single" w:sz="6" w:space="0" w:color="auto"/>
              <w:left w:val="single" w:sz="6" w:space="0" w:color="auto"/>
              <w:bottom w:val="single" w:sz="6" w:space="0" w:color="auto"/>
              <w:right w:val="single" w:sz="6" w:space="0" w:color="auto"/>
            </w:tcBorders>
            <w:vAlign w:val="center"/>
          </w:tcPr>
          <w:p w14:paraId="3525209C" w14:textId="1C899FA1" w:rsidR="00DF59F2" w:rsidRPr="00390CDC" w:rsidRDefault="00DF59F2" w:rsidP="00DF59F2">
            <w:pPr>
              <w:spacing w:line="256" w:lineRule="auto"/>
              <w:jc w:val="center"/>
              <w:rPr>
                <w:rFonts w:ascii="Arial" w:hAnsi="Arial"/>
                <w:i/>
                <w:iCs/>
                <w:sz w:val="24"/>
                <w:lang w:eastAsia="en-US"/>
              </w:rPr>
            </w:pPr>
            <w:r w:rsidRPr="00390CDC">
              <w:rPr>
                <w:rFonts w:ascii="Arial" w:hAnsi="Arial"/>
                <w:i/>
                <w:iCs/>
                <w:sz w:val="24"/>
                <w:lang w:eastAsia="en-US"/>
              </w:rPr>
              <w:t>31,6</w:t>
            </w:r>
          </w:p>
        </w:tc>
      </w:tr>
      <w:tr w:rsidR="00DF59F2" w14:paraId="1BB3DDCB" w14:textId="77777777" w:rsidTr="00DF59F2">
        <w:tc>
          <w:tcPr>
            <w:tcW w:w="3111" w:type="dxa"/>
            <w:tcBorders>
              <w:left w:val="single" w:sz="6" w:space="0" w:color="auto"/>
              <w:bottom w:val="single" w:sz="6" w:space="0" w:color="auto"/>
              <w:right w:val="single" w:sz="6" w:space="0" w:color="auto"/>
            </w:tcBorders>
            <w:vAlign w:val="center"/>
          </w:tcPr>
          <w:p w14:paraId="6121A142" w14:textId="7BF79187" w:rsidR="00DF59F2" w:rsidRDefault="00DF59F2" w:rsidP="009D463F">
            <w:pPr>
              <w:spacing w:line="256" w:lineRule="auto"/>
              <w:rPr>
                <w:rFonts w:ascii="Arial" w:hAnsi="Arial"/>
                <w:sz w:val="24"/>
                <w:lang w:eastAsia="en-US"/>
              </w:rPr>
            </w:pPr>
            <w:r>
              <w:rPr>
                <w:rFonts w:ascii="Arial" w:hAnsi="Arial"/>
                <w:sz w:val="24"/>
                <w:lang w:eastAsia="en-US"/>
              </w:rPr>
              <w:t>Tassements à 10 ans (cm)</w:t>
            </w:r>
          </w:p>
        </w:tc>
        <w:tc>
          <w:tcPr>
            <w:tcW w:w="1086" w:type="dxa"/>
            <w:tcBorders>
              <w:top w:val="single" w:sz="6" w:space="0" w:color="auto"/>
              <w:left w:val="single" w:sz="6" w:space="0" w:color="auto"/>
              <w:bottom w:val="single" w:sz="6" w:space="0" w:color="auto"/>
              <w:right w:val="single" w:sz="6" w:space="0" w:color="auto"/>
            </w:tcBorders>
            <w:vAlign w:val="center"/>
          </w:tcPr>
          <w:p w14:paraId="0B143AD5" w14:textId="1A8DDBFF" w:rsidR="00DF59F2" w:rsidRDefault="00DF59F2" w:rsidP="00DF59F2">
            <w:pPr>
              <w:spacing w:line="256" w:lineRule="auto"/>
              <w:jc w:val="center"/>
              <w:rPr>
                <w:rFonts w:ascii="Arial" w:hAnsi="Arial"/>
                <w:sz w:val="24"/>
                <w:lang w:eastAsia="en-US"/>
              </w:rPr>
            </w:pPr>
            <w:r>
              <w:rPr>
                <w:rFonts w:ascii="Arial" w:hAnsi="Arial"/>
                <w:sz w:val="24"/>
                <w:lang w:eastAsia="en-US"/>
              </w:rPr>
              <w:t>14,5</w:t>
            </w:r>
          </w:p>
        </w:tc>
        <w:tc>
          <w:tcPr>
            <w:tcW w:w="1087" w:type="dxa"/>
            <w:tcBorders>
              <w:top w:val="single" w:sz="6" w:space="0" w:color="auto"/>
              <w:left w:val="single" w:sz="6" w:space="0" w:color="auto"/>
              <w:bottom w:val="single" w:sz="6" w:space="0" w:color="auto"/>
              <w:right w:val="single" w:sz="6" w:space="0" w:color="auto"/>
            </w:tcBorders>
            <w:vAlign w:val="center"/>
          </w:tcPr>
          <w:p w14:paraId="2221A757" w14:textId="77777777" w:rsidR="00DF59F2" w:rsidRDefault="00DF59F2" w:rsidP="00DF59F2">
            <w:pPr>
              <w:spacing w:line="256" w:lineRule="auto"/>
              <w:jc w:val="center"/>
              <w:rPr>
                <w:rFonts w:ascii="Arial" w:hAnsi="Arial"/>
                <w:sz w:val="24"/>
                <w:lang w:eastAsia="en-US"/>
              </w:rPr>
            </w:pPr>
          </w:p>
        </w:tc>
        <w:tc>
          <w:tcPr>
            <w:tcW w:w="1087" w:type="dxa"/>
            <w:tcBorders>
              <w:top w:val="single" w:sz="6" w:space="0" w:color="auto"/>
              <w:left w:val="single" w:sz="6" w:space="0" w:color="auto"/>
              <w:bottom w:val="single" w:sz="6" w:space="0" w:color="auto"/>
              <w:right w:val="single" w:sz="6" w:space="0" w:color="auto"/>
            </w:tcBorders>
            <w:vAlign w:val="center"/>
          </w:tcPr>
          <w:p w14:paraId="001D83A9" w14:textId="797D67F3" w:rsidR="00DF59F2" w:rsidRDefault="00DF59F2" w:rsidP="00DF59F2">
            <w:pPr>
              <w:spacing w:line="256" w:lineRule="auto"/>
              <w:jc w:val="center"/>
              <w:rPr>
                <w:rFonts w:ascii="Arial" w:hAnsi="Arial"/>
                <w:sz w:val="24"/>
                <w:lang w:eastAsia="en-US"/>
              </w:rPr>
            </w:pPr>
            <w:r>
              <w:rPr>
                <w:rFonts w:ascii="Arial" w:hAnsi="Arial"/>
                <w:sz w:val="24"/>
                <w:lang w:eastAsia="en-US"/>
              </w:rPr>
              <w:t>25,9</w:t>
            </w:r>
          </w:p>
        </w:tc>
        <w:tc>
          <w:tcPr>
            <w:tcW w:w="1086" w:type="dxa"/>
            <w:tcBorders>
              <w:top w:val="single" w:sz="6" w:space="0" w:color="auto"/>
              <w:left w:val="single" w:sz="6" w:space="0" w:color="auto"/>
              <w:bottom w:val="single" w:sz="6" w:space="0" w:color="auto"/>
              <w:right w:val="single" w:sz="6" w:space="0" w:color="auto"/>
            </w:tcBorders>
            <w:vAlign w:val="center"/>
          </w:tcPr>
          <w:p w14:paraId="07508FB6" w14:textId="77777777" w:rsidR="00DF59F2" w:rsidRDefault="00DF59F2" w:rsidP="00DF59F2">
            <w:pPr>
              <w:spacing w:line="256" w:lineRule="auto"/>
              <w:jc w:val="center"/>
              <w:rPr>
                <w:rFonts w:ascii="Arial" w:hAnsi="Arial"/>
                <w:sz w:val="24"/>
                <w:lang w:eastAsia="en-US"/>
              </w:rPr>
            </w:pPr>
          </w:p>
        </w:tc>
        <w:tc>
          <w:tcPr>
            <w:tcW w:w="1087" w:type="dxa"/>
            <w:tcBorders>
              <w:top w:val="single" w:sz="6" w:space="0" w:color="auto"/>
              <w:left w:val="single" w:sz="6" w:space="0" w:color="auto"/>
              <w:bottom w:val="single" w:sz="6" w:space="0" w:color="auto"/>
              <w:right w:val="single" w:sz="6" w:space="0" w:color="auto"/>
            </w:tcBorders>
            <w:vAlign w:val="center"/>
          </w:tcPr>
          <w:p w14:paraId="38A5FE21" w14:textId="1CD3FDBD" w:rsidR="00DF59F2" w:rsidRDefault="00DF59F2" w:rsidP="00DF59F2">
            <w:pPr>
              <w:spacing w:line="256" w:lineRule="auto"/>
              <w:jc w:val="center"/>
              <w:rPr>
                <w:rFonts w:ascii="Arial" w:hAnsi="Arial"/>
                <w:sz w:val="24"/>
                <w:lang w:eastAsia="en-US"/>
              </w:rPr>
            </w:pPr>
            <w:r>
              <w:rPr>
                <w:rFonts w:ascii="Arial" w:hAnsi="Arial"/>
                <w:sz w:val="24"/>
                <w:lang w:eastAsia="en-US"/>
              </w:rPr>
              <w:t>34,8</w:t>
            </w:r>
          </w:p>
        </w:tc>
        <w:tc>
          <w:tcPr>
            <w:tcW w:w="1087" w:type="dxa"/>
            <w:tcBorders>
              <w:top w:val="single" w:sz="6" w:space="0" w:color="auto"/>
              <w:left w:val="single" w:sz="6" w:space="0" w:color="auto"/>
              <w:bottom w:val="single" w:sz="6" w:space="0" w:color="auto"/>
              <w:right w:val="single" w:sz="6" w:space="0" w:color="auto"/>
            </w:tcBorders>
            <w:vAlign w:val="center"/>
          </w:tcPr>
          <w:p w14:paraId="53130501" w14:textId="77777777" w:rsidR="00DF59F2" w:rsidRDefault="00DF59F2" w:rsidP="00DF59F2">
            <w:pPr>
              <w:spacing w:line="256" w:lineRule="auto"/>
              <w:jc w:val="center"/>
              <w:rPr>
                <w:rFonts w:ascii="Arial" w:hAnsi="Arial"/>
                <w:sz w:val="24"/>
                <w:lang w:eastAsia="en-US"/>
              </w:rPr>
            </w:pPr>
          </w:p>
        </w:tc>
      </w:tr>
      <w:tr w:rsidR="00DF59F2" w14:paraId="3BCBEF16" w14:textId="77777777" w:rsidTr="00DF59F2">
        <w:tc>
          <w:tcPr>
            <w:tcW w:w="3111" w:type="dxa"/>
            <w:tcBorders>
              <w:left w:val="single" w:sz="6" w:space="0" w:color="auto"/>
              <w:bottom w:val="single" w:sz="6" w:space="0" w:color="auto"/>
              <w:right w:val="single" w:sz="6" w:space="0" w:color="auto"/>
            </w:tcBorders>
            <w:vAlign w:val="center"/>
          </w:tcPr>
          <w:p w14:paraId="2A92A28C" w14:textId="4074D7E4" w:rsidR="00DF59F2" w:rsidRDefault="00DF59F2" w:rsidP="009D463F">
            <w:pPr>
              <w:spacing w:line="256" w:lineRule="auto"/>
              <w:rPr>
                <w:rFonts w:ascii="Arial" w:hAnsi="Arial"/>
                <w:sz w:val="24"/>
                <w:lang w:eastAsia="en-US"/>
              </w:rPr>
            </w:pPr>
            <w:r>
              <w:rPr>
                <w:rFonts w:ascii="Arial" w:hAnsi="Arial"/>
                <w:sz w:val="24"/>
                <w:lang w:eastAsia="en-US"/>
              </w:rPr>
              <w:t>Tassements à 25 ans (cm)</w:t>
            </w:r>
          </w:p>
        </w:tc>
        <w:tc>
          <w:tcPr>
            <w:tcW w:w="1086" w:type="dxa"/>
            <w:tcBorders>
              <w:top w:val="single" w:sz="6" w:space="0" w:color="auto"/>
              <w:left w:val="single" w:sz="6" w:space="0" w:color="auto"/>
              <w:bottom w:val="single" w:sz="6" w:space="0" w:color="auto"/>
              <w:right w:val="single" w:sz="6" w:space="0" w:color="auto"/>
            </w:tcBorders>
            <w:vAlign w:val="center"/>
          </w:tcPr>
          <w:p w14:paraId="072F2B84" w14:textId="75879203" w:rsidR="00DF59F2" w:rsidRDefault="00DF59F2" w:rsidP="00DF59F2">
            <w:pPr>
              <w:spacing w:line="256" w:lineRule="auto"/>
              <w:jc w:val="center"/>
              <w:rPr>
                <w:rFonts w:ascii="Arial" w:hAnsi="Arial"/>
                <w:sz w:val="24"/>
                <w:lang w:eastAsia="en-US"/>
              </w:rPr>
            </w:pPr>
            <w:r>
              <w:rPr>
                <w:rFonts w:ascii="Arial" w:hAnsi="Arial"/>
                <w:sz w:val="24"/>
                <w:lang w:eastAsia="en-US"/>
              </w:rPr>
              <w:t>16,0</w:t>
            </w:r>
          </w:p>
        </w:tc>
        <w:tc>
          <w:tcPr>
            <w:tcW w:w="1087" w:type="dxa"/>
            <w:tcBorders>
              <w:top w:val="single" w:sz="6" w:space="0" w:color="auto"/>
              <w:left w:val="single" w:sz="6" w:space="0" w:color="auto"/>
              <w:bottom w:val="single" w:sz="6" w:space="0" w:color="auto"/>
              <w:right w:val="single" w:sz="6" w:space="0" w:color="auto"/>
            </w:tcBorders>
            <w:vAlign w:val="center"/>
          </w:tcPr>
          <w:p w14:paraId="37A518A2" w14:textId="77777777" w:rsidR="00DF59F2" w:rsidRDefault="00DF59F2" w:rsidP="00DF59F2">
            <w:pPr>
              <w:spacing w:line="256" w:lineRule="auto"/>
              <w:jc w:val="center"/>
              <w:rPr>
                <w:rFonts w:ascii="Arial" w:hAnsi="Arial"/>
                <w:sz w:val="24"/>
                <w:lang w:eastAsia="en-US"/>
              </w:rPr>
            </w:pPr>
          </w:p>
        </w:tc>
        <w:tc>
          <w:tcPr>
            <w:tcW w:w="1087" w:type="dxa"/>
            <w:tcBorders>
              <w:top w:val="single" w:sz="6" w:space="0" w:color="auto"/>
              <w:left w:val="single" w:sz="6" w:space="0" w:color="auto"/>
              <w:bottom w:val="single" w:sz="6" w:space="0" w:color="auto"/>
              <w:right w:val="single" w:sz="6" w:space="0" w:color="auto"/>
            </w:tcBorders>
            <w:vAlign w:val="center"/>
          </w:tcPr>
          <w:p w14:paraId="53AEC2BC" w14:textId="73009D23" w:rsidR="00DF59F2" w:rsidRDefault="00DF59F2" w:rsidP="00DF59F2">
            <w:pPr>
              <w:spacing w:line="256" w:lineRule="auto"/>
              <w:jc w:val="center"/>
              <w:rPr>
                <w:rFonts w:ascii="Arial" w:hAnsi="Arial"/>
                <w:sz w:val="24"/>
                <w:lang w:eastAsia="en-US"/>
              </w:rPr>
            </w:pPr>
            <w:r>
              <w:rPr>
                <w:rFonts w:ascii="Arial" w:hAnsi="Arial"/>
                <w:sz w:val="24"/>
                <w:lang w:eastAsia="en-US"/>
              </w:rPr>
              <w:t>28,8</w:t>
            </w:r>
          </w:p>
        </w:tc>
        <w:tc>
          <w:tcPr>
            <w:tcW w:w="1086" w:type="dxa"/>
            <w:tcBorders>
              <w:top w:val="single" w:sz="6" w:space="0" w:color="auto"/>
              <w:left w:val="single" w:sz="6" w:space="0" w:color="auto"/>
              <w:bottom w:val="single" w:sz="6" w:space="0" w:color="auto"/>
              <w:right w:val="single" w:sz="6" w:space="0" w:color="auto"/>
            </w:tcBorders>
            <w:vAlign w:val="center"/>
          </w:tcPr>
          <w:p w14:paraId="727195DD" w14:textId="77777777" w:rsidR="00DF59F2" w:rsidRDefault="00DF59F2" w:rsidP="00DF59F2">
            <w:pPr>
              <w:spacing w:line="256" w:lineRule="auto"/>
              <w:jc w:val="center"/>
              <w:rPr>
                <w:rFonts w:ascii="Arial" w:hAnsi="Arial"/>
                <w:sz w:val="24"/>
                <w:lang w:eastAsia="en-US"/>
              </w:rPr>
            </w:pPr>
          </w:p>
        </w:tc>
        <w:tc>
          <w:tcPr>
            <w:tcW w:w="1087" w:type="dxa"/>
            <w:tcBorders>
              <w:top w:val="single" w:sz="6" w:space="0" w:color="auto"/>
              <w:left w:val="single" w:sz="6" w:space="0" w:color="auto"/>
              <w:bottom w:val="single" w:sz="6" w:space="0" w:color="auto"/>
              <w:right w:val="single" w:sz="6" w:space="0" w:color="auto"/>
            </w:tcBorders>
            <w:vAlign w:val="center"/>
          </w:tcPr>
          <w:p w14:paraId="0A8F2AE3" w14:textId="704FF446" w:rsidR="00DF59F2" w:rsidRDefault="00DF59F2" w:rsidP="00DF59F2">
            <w:pPr>
              <w:spacing w:line="256" w:lineRule="auto"/>
              <w:jc w:val="center"/>
              <w:rPr>
                <w:rFonts w:ascii="Arial" w:hAnsi="Arial"/>
                <w:sz w:val="24"/>
                <w:lang w:eastAsia="en-US"/>
              </w:rPr>
            </w:pPr>
            <w:r>
              <w:rPr>
                <w:rFonts w:ascii="Arial" w:hAnsi="Arial"/>
                <w:sz w:val="24"/>
                <w:lang w:eastAsia="en-US"/>
              </w:rPr>
              <w:t>38,2</w:t>
            </w:r>
          </w:p>
        </w:tc>
        <w:tc>
          <w:tcPr>
            <w:tcW w:w="1087" w:type="dxa"/>
            <w:tcBorders>
              <w:top w:val="single" w:sz="6" w:space="0" w:color="auto"/>
              <w:left w:val="single" w:sz="6" w:space="0" w:color="auto"/>
              <w:bottom w:val="single" w:sz="6" w:space="0" w:color="auto"/>
              <w:right w:val="single" w:sz="6" w:space="0" w:color="auto"/>
            </w:tcBorders>
            <w:vAlign w:val="center"/>
          </w:tcPr>
          <w:p w14:paraId="316CF3A6" w14:textId="77777777" w:rsidR="00DF59F2" w:rsidRDefault="00DF59F2" w:rsidP="00DF59F2">
            <w:pPr>
              <w:spacing w:line="256" w:lineRule="auto"/>
              <w:jc w:val="center"/>
              <w:rPr>
                <w:rFonts w:ascii="Arial" w:hAnsi="Arial"/>
                <w:sz w:val="24"/>
                <w:lang w:eastAsia="en-US"/>
              </w:rPr>
            </w:pPr>
          </w:p>
        </w:tc>
      </w:tr>
      <w:tr w:rsidR="00DF59F2" w14:paraId="04253605" w14:textId="77777777" w:rsidTr="00DF59F2">
        <w:tc>
          <w:tcPr>
            <w:tcW w:w="3111" w:type="dxa"/>
            <w:tcBorders>
              <w:left w:val="single" w:sz="6" w:space="0" w:color="auto"/>
              <w:bottom w:val="single" w:sz="6" w:space="0" w:color="auto"/>
              <w:right w:val="single" w:sz="6" w:space="0" w:color="auto"/>
            </w:tcBorders>
          </w:tcPr>
          <w:p w14:paraId="69A8CC0E" w14:textId="6CF801AE" w:rsidR="00DF59F2" w:rsidRDefault="00DF59F2" w:rsidP="009D463F">
            <w:pPr>
              <w:spacing w:line="256" w:lineRule="auto"/>
              <w:rPr>
                <w:rFonts w:ascii="Arial" w:hAnsi="Arial"/>
                <w:sz w:val="24"/>
                <w:lang w:eastAsia="en-US"/>
              </w:rPr>
            </w:pPr>
            <w:r>
              <w:rPr>
                <w:rFonts w:ascii="Arial" w:hAnsi="Arial"/>
                <w:sz w:val="24"/>
                <w:lang w:eastAsia="en-US"/>
              </w:rPr>
              <w:t>Tassements à 50 ans (cm)</w:t>
            </w:r>
          </w:p>
        </w:tc>
        <w:tc>
          <w:tcPr>
            <w:tcW w:w="1086" w:type="dxa"/>
            <w:tcBorders>
              <w:top w:val="single" w:sz="6" w:space="0" w:color="auto"/>
              <w:left w:val="single" w:sz="6" w:space="0" w:color="auto"/>
              <w:bottom w:val="single" w:sz="6" w:space="0" w:color="auto"/>
              <w:right w:val="single" w:sz="6" w:space="0" w:color="auto"/>
            </w:tcBorders>
            <w:vAlign w:val="center"/>
          </w:tcPr>
          <w:p w14:paraId="722C8F0E" w14:textId="26578039" w:rsidR="00DF59F2" w:rsidRDefault="00DF59F2" w:rsidP="00DF59F2">
            <w:pPr>
              <w:spacing w:line="256" w:lineRule="auto"/>
              <w:jc w:val="center"/>
              <w:rPr>
                <w:rFonts w:ascii="Arial" w:hAnsi="Arial"/>
                <w:sz w:val="24"/>
                <w:lang w:eastAsia="en-US"/>
              </w:rPr>
            </w:pPr>
            <w:r>
              <w:rPr>
                <w:rFonts w:ascii="Arial" w:hAnsi="Arial"/>
                <w:sz w:val="24"/>
                <w:lang w:eastAsia="en-US"/>
              </w:rPr>
              <w:t>17,6</w:t>
            </w:r>
          </w:p>
        </w:tc>
        <w:tc>
          <w:tcPr>
            <w:tcW w:w="1087" w:type="dxa"/>
            <w:tcBorders>
              <w:top w:val="single" w:sz="6" w:space="0" w:color="auto"/>
              <w:left w:val="single" w:sz="6" w:space="0" w:color="auto"/>
              <w:bottom w:val="single" w:sz="6" w:space="0" w:color="auto"/>
              <w:right w:val="single" w:sz="6" w:space="0" w:color="auto"/>
            </w:tcBorders>
            <w:vAlign w:val="center"/>
          </w:tcPr>
          <w:p w14:paraId="327911AF" w14:textId="77777777" w:rsidR="00DF59F2" w:rsidRDefault="00DF59F2" w:rsidP="00DF59F2">
            <w:pPr>
              <w:spacing w:line="256" w:lineRule="auto"/>
              <w:jc w:val="center"/>
              <w:rPr>
                <w:rFonts w:ascii="Arial" w:hAnsi="Arial"/>
                <w:sz w:val="24"/>
                <w:lang w:eastAsia="en-US"/>
              </w:rPr>
            </w:pPr>
          </w:p>
        </w:tc>
        <w:tc>
          <w:tcPr>
            <w:tcW w:w="1087" w:type="dxa"/>
            <w:tcBorders>
              <w:top w:val="single" w:sz="6" w:space="0" w:color="auto"/>
              <w:left w:val="single" w:sz="6" w:space="0" w:color="auto"/>
              <w:bottom w:val="single" w:sz="6" w:space="0" w:color="auto"/>
              <w:right w:val="single" w:sz="6" w:space="0" w:color="auto"/>
            </w:tcBorders>
            <w:vAlign w:val="center"/>
          </w:tcPr>
          <w:p w14:paraId="69A83B51" w14:textId="4EAC5FEB" w:rsidR="00DF59F2" w:rsidRDefault="00DF59F2" w:rsidP="00DF59F2">
            <w:pPr>
              <w:spacing w:line="256" w:lineRule="auto"/>
              <w:jc w:val="center"/>
              <w:rPr>
                <w:rFonts w:ascii="Arial" w:hAnsi="Arial"/>
                <w:sz w:val="24"/>
                <w:lang w:eastAsia="en-US"/>
              </w:rPr>
            </w:pPr>
            <w:r>
              <w:rPr>
                <w:rFonts w:ascii="Arial" w:hAnsi="Arial"/>
                <w:sz w:val="24"/>
                <w:lang w:eastAsia="en-US"/>
              </w:rPr>
              <w:t>31,7</w:t>
            </w:r>
          </w:p>
        </w:tc>
        <w:tc>
          <w:tcPr>
            <w:tcW w:w="1086" w:type="dxa"/>
            <w:tcBorders>
              <w:top w:val="single" w:sz="6" w:space="0" w:color="auto"/>
              <w:left w:val="single" w:sz="6" w:space="0" w:color="auto"/>
              <w:bottom w:val="single" w:sz="6" w:space="0" w:color="auto"/>
              <w:right w:val="single" w:sz="6" w:space="0" w:color="auto"/>
            </w:tcBorders>
            <w:vAlign w:val="center"/>
          </w:tcPr>
          <w:p w14:paraId="75F87CF9" w14:textId="77777777" w:rsidR="00DF59F2" w:rsidRDefault="00DF59F2" w:rsidP="00DF59F2">
            <w:pPr>
              <w:spacing w:line="256" w:lineRule="auto"/>
              <w:jc w:val="center"/>
              <w:rPr>
                <w:rFonts w:ascii="Arial" w:hAnsi="Arial"/>
                <w:sz w:val="24"/>
                <w:lang w:eastAsia="en-US"/>
              </w:rPr>
            </w:pPr>
          </w:p>
        </w:tc>
        <w:tc>
          <w:tcPr>
            <w:tcW w:w="1087" w:type="dxa"/>
            <w:tcBorders>
              <w:top w:val="single" w:sz="6" w:space="0" w:color="auto"/>
              <w:left w:val="single" w:sz="6" w:space="0" w:color="auto"/>
              <w:bottom w:val="single" w:sz="6" w:space="0" w:color="auto"/>
              <w:right w:val="single" w:sz="6" w:space="0" w:color="auto"/>
            </w:tcBorders>
            <w:vAlign w:val="center"/>
          </w:tcPr>
          <w:p w14:paraId="58DF4189" w14:textId="702F22AE" w:rsidR="00DF59F2" w:rsidRDefault="00DF59F2" w:rsidP="00DF59F2">
            <w:pPr>
              <w:spacing w:line="256" w:lineRule="auto"/>
              <w:jc w:val="center"/>
              <w:rPr>
                <w:rFonts w:ascii="Arial" w:hAnsi="Arial"/>
                <w:sz w:val="24"/>
                <w:lang w:eastAsia="en-US"/>
              </w:rPr>
            </w:pPr>
            <w:r>
              <w:rPr>
                <w:rFonts w:ascii="Arial" w:hAnsi="Arial"/>
                <w:sz w:val="24"/>
                <w:lang w:eastAsia="en-US"/>
              </w:rPr>
              <w:t>42,0</w:t>
            </w:r>
          </w:p>
        </w:tc>
        <w:tc>
          <w:tcPr>
            <w:tcW w:w="1087" w:type="dxa"/>
            <w:tcBorders>
              <w:top w:val="single" w:sz="6" w:space="0" w:color="auto"/>
              <w:left w:val="single" w:sz="6" w:space="0" w:color="auto"/>
              <w:bottom w:val="single" w:sz="6" w:space="0" w:color="auto"/>
              <w:right w:val="single" w:sz="6" w:space="0" w:color="auto"/>
            </w:tcBorders>
            <w:vAlign w:val="center"/>
          </w:tcPr>
          <w:p w14:paraId="07E1FFF6" w14:textId="77777777" w:rsidR="00DF59F2" w:rsidRDefault="00DF59F2" w:rsidP="00DF59F2">
            <w:pPr>
              <w:spacing w:line="256" w:lineRule="auto"/>
              <w:jc w:val="center"/>
              <w:rPr>
                <w:rFonts w:ascii="Arial" w:hAnsi="Arial"/>
                <w:sz w:val="24"/>
                <w:lang w:eastAsia="en-US"/>
              </w:rPr>
            </w:pPr>
          </w:p>
        </w:tc>
      </w:tr>
    </w:tbl>
    <w:p w14:paraId="2851F0E1" w14:textId="2DB02374" w:rsidR="002600BA" w:rsidRDefault="00DF59F2" w:rsidP="00253B6D">
      <w:pPr>
        <w:pStyle w:val="Corpsdetexte12retrait5mm"/>
        <w:spacing w:before="240"/>
        <w:ind w:firstLine="284"/>
        <w:rPr>
          <w:rStyle w:val="Corpsdetexte12Car"/>
          <w:lang w:val="fr-FR"/>
        </w:rPr>
      </w:pPr>
      <w:r>
        <w:rPr>
          <w:rStyle w:val="Corpsdetexte12Car"/>
          <w:lang w:val="fr-FR"/>
        </w:rPr>
        <w:t xml:space="preserve">Ces résultats montrent l’importance de l’augmentation de l’amplitude des tassements dans le temps, </w:t>
      </w:r>
      <w:r w:rsidR="002600BA">
        <w:rPr>
          <w:rStyle w:val="Corpsdetexte12Car"/>
          <w:lang w:val="fr-FR"/>
        </w:rPr>
        <w:t xml:space="preserve">due </w:t>
      </w:r>
      <w:r>
        <w:rPr>
          <w:rStyle w:val="Corpsdetexte12Car"/>
          <w:lang w:val="fr-FR"/>
        </w:rPr>
        <w:t>au phénomène de consolidation secondaire.</w:t>
      </w:r>
    </w:p>
    <w:p w14:paraId="31E5D784" w14:textId="3B8EDDDF" w:rsidR="00B27BB5" w:rsidRDefault="00253B6D" w:rsidP="003D7A22">
      <w:pPr>
        <w:pStyle w:val="Corpsdetexte12retrait5mm"/>
        <w:ind w:firstLine="284"/>
        <w:rPr>
          <w:rStyle w:val="Corpsdetexte12Car"/>
          <w:lang w:val="fr-FR"/>
        </w:rPr>
      </w:pPr>
      <w:r>
        <w:rPr>
          <w:rStyle w:val="Corpsdetexte12Car"/>
          <w:lang w:val="fr-FR"/>
        </w:rPr>
        <w:t xml:space="preserve">En effet, l’amplitude de tassements </w:t>
      </w:r>
      <w:r w:rsidR="002600BA">
        <w:rPr>
          <w:rStyle w:val="Corpsdetexte12Car"/>
          <w:lang w:val="fr-FR"/>
        </w:rPr>
        <w:t xml:space="preserve">a été calculée comme devant </w:t>
      </w:r>
      <w:r>
        <w:rPr>
          <w:rStyle w:val="Corpsdetexte12Car"/>
          <w:lang w:val="fr-FR"/>
        </w:rPr>
        <w:t xml:space="preserve">augmenter de 25 à 30% d’ici 50 ans. </w:t>
      </w:r>
    </w:p>
    <w:p w14:paraId="181B5DCA" w14:textId="765C6962" w:rsidR="00DF59F2" w:rsidRDefault="00253B6D" w:rsidP="003D7A22">
      <w:pPr>
        <w:pStyle w:val="Corpsdetexte12retrait5mm"/>
        <w:ind w:firstLine="284"/>
        <w:rPr>
          <w:rStyle w:val="Corpsdetexte12Car"/>
          <w:lang w:val="fr-FR"/>
        </w:rPr>
      </w:pPr>
      <w:r>
        <w:rPr>
          <w:rStyle w:val="Corpsdetexte12Car"/>
          <w:lang w:val="fr-FR"/>
        </w:rPr>
        <w:t>Une analyse complémentaire a été menée</w:t>
      </w:r>
      <w:r w:rsidR="003D7A22">
        <w:rPr>
          <w:rStyle w:val="Corpsdetexte12Car"/>
          <w:lang w:val="fr-FR"/>
        </w:rPr>
        <w:t>,</w:t>
      </w:r>
      <w:r>
        <w:rPr>
          <w:rStyle w:val="Corpsdetexte12Car"/>
          <w:lang w:val="fr-FR"/>
        </w:rPr>
        <w:t xml:space="preserve"> </w:t>
      </w:r>
      <w:r w:rsidR="002600BA">
        <w:rPr>
          <w:rStyle w:val="Corpsdetexte12Car"/>
          <w:lang w:val="fr-FR"/>
        </w:rPr>
        <w:t>qui a montré</w:t>
      </w:r>
      <w:r>
        <w:rPr>
          <w:rStyle w:val="Corpsdetexte12Car"/>
          <w:lang w:val="fr-FR"/>
        </w:rPr>
        <w:t xml:space="preserve"> que les repères ayant un tassement « résiduel » important sont potentiellement les </w:t>
      </w:r>
      <w:r w:rsidR="002600BA">
        <w:rPr>
          <w:rStyle w:val="Corpsdetexte12Car"/>
          <w:lang w:val="fr-FR"/>
        </w:rPr>
        <w:t xml:space="preserve">mêmes </w:t>
      </w:r>
      <w:r>
        <w:rPr>
          <w:rStyle w:val="Corpsdetexte12Car"/>
          <w:lang w:val="fr-FR"/>
        </w:rPr>
        <w:t>points</w:t>
      </w:r>
      <w:r w:rsidR="00EA39D6">
        <w:rPr>
          <w:rStyle w:val="Corpsdetexte12Car"/>
          <w:lang w:val="fr-FR"/>
        </w:rPr>
        <w:t xml:space="preserve"> </w:t>
      </w:r>
      <w:r w:rsidR="002600BA">
        <w:rPr>
          <w:rStyle w:val="Corpsdetexte12Car"/>
          <w:lang w:val="fr-FR"/>
        </w:rPr>
        <w:t>que ceux</w:t>
      </w:r>
      <w:r>
        <w:rPr>
          <w:rStyle w:val="Corpsdetexte12Car"/>
          <w:lang w:val="fr-FR"/>
        </w:rPr>
        <w:t xml:space="preserve"> ayant déjà subi un tassement important, ce qui laiss</w:t>
      </w:r>
      <w:r w:rsidR="002600BA">
        <w:rPr>
          <w:rStyle w:val="Corpsdetexte12Car"/>
          <w:lang w:val="fr-FR"/>
        </w:rPr>
        <w:t xml:space="preserve">ait </w:t>
      </w:r>
      <w:r w:rsidR="003D7A22">
        <w:rPr>
          <w:rStyle w:val="Corpsdetexte12Car"/>
          <w:lang w:val="fr-FR"/>
        </w:rPr>
        <w:t>présager que</w:t>
      </w:r>
      <w:r>
        <w:rPr>
          <w:rStyle w:val="Corpsdetexte12Car"/>
          <w:lang w:val="fr-FR"/>
        </w:rPr>
        <w:t xml:space="preserve"> les tassements différentiels du bâtiment augmenter</w:t>
      </w:r>
      <w:r w:rsidR="002600BA">
        <w:rPr>
          <w:rStyle w:val="Corpsdetexte12Car"/>
          <w:lang w:val="fr-FR"/>
        </w:rPr>
        <w:t>aie</w:t>
      </w:r>
      <w:r>
        <w:rPr>
          <w:rStyle w:val="Corpsdetexte12Car"/>
          <w:lang w:val="fr-FR"/>
        </w:rPr>
        <w:t>nt avec le temps.</w:t>
      </w:r>
    </w:p>
    <w:p w14:paraId="1CBE6ED2" w14:textId="3CFA7885" w:rsidR="00253B6D" w:rsidRDefault="00253B6D">
      <w:pPr>
        <w:spacing w:after="160" w:line="259" w:lineRule="auto"/>
        <w:rPr>
          <w:rStyle w:val="Corpsdetexte12Car"/>
          <w:iCs/>
          <w:lang w:val="fr-FR"/>
        </w:rPr>
      </w:pPr>
      <w:r>
        <w:rPr>
          <w:rStyle w:val="Corpsdetexte12Car"/>
          <w:lang w:val="fr-FR"/>
        </w:rPr>
        <w:br w:type="page"/>
      </w:r>
    </w:p>
    <w:p w14:paraId="1B4A7FC0" w14:textId="194CF6C0" w:rsidR="00253B6D" w:rsidRDefault="00253B6D" w:rsidP="00253B6D">
      <w:pPr>
        <w:pStyle w:val="Titre2"/>
        <w:ind w:left="357" w:hanging="357"/>
        <w:rPr>
          <w:rStyle w:val="Corpsdetexte12Car"/>
          <w:lang w:val="fr-FR"/>
        </w:rPr>
      </w:pPr>
      <w:r>
        <w:lastRenderedPageBreak/>
        <w:t>5.2</w:t>
      </w:r>
      <w:r w:rsidRPr="004422CB">
        <w:t xml:space="preserve">. </w:t>
      </w:r>
      <w:r>
        <w:t>Part du fluage dans la prévision des amplitudes de tassement</w:t>
      </w:r>
    </w:p>
    <w:p w14:paraId="21AFD0A1" w14:textId="0099804F" w:rsidR="00390CDC" w:rsidRDefault="00390CDC" w:rsidP="00D529B6">
      <w:pPr>
        <w:pStyle w:val="Corpsdetexte12retrait5mm"/>
        <w:rPr>
          <w:rStyle w:val="Corpsdetexte12Car"/>
          <w:lang w:val="fr-FR"/>
        </w:rPr>
      </w:pPr>
      <w:r>
        <w:rPr>
          <w:rStyle w:val="Corpsdetexte12Car"/>
          <w:lang w:val="fr-FR"/>
        </w:rPr>
        <w:t xml:space="preserve">Afin de confirmer l’analyse précédente, les amplitudes de tassements estimées </w:t>
      </w:r>
      <w:r w:rsidR="002600BA">
        <w:rPr>
          <w:rStyle w:val="Corpsdetexte12Car"/>
          <w:lang w:val="fr-FR"/>
        </w:rPr>
        <w:t xml:space="preserve">ont </w:t>
      </w:r>
      <w:r w:rsidR="003D7A22">
        <w:rPr>
          <w:rStyle w:val="Corpsdetexte12Car"/>
          <w:lang w:val="fr-FR"/>
        </w:rPr>
        <w:t>été</w:t>
      </w:r>
      <w:r>
        <w:rPr>
          <w:rStyle w:val="Corpsdetexte12Car"/>
          <w:lang w:val="fr-FR"/>
        </w:rPr>
        <w:t xml:space="preserve"> décomposées en part primaire et en part secondaire. </w:t>
      </w:r>
      <w:r w:rsidR="00D529B6">
        <w:rPr>
          <w:rStyle w:val="Corpsdetexte12Car"/>
          <w:lang w:val="fr-FR"/>
        </w:rPr>
        <w:t>A cet effet, l</w:t>
      </w:r>
      <w:r>
        <w:rPr>
          <w:rStyle w:val="Corpsdetexte12Car"/>
          <w:lang w:val="fr-FR"/>
        </w:rPr>
        <w:t xml:space="preserve">e Tableau 2 présente </w:t>
      </w:r>
      <w:r w:rsidR="00D529B6">
        <w:rPr>
          <w:rStyle w:val="Corpsdetexte12Car"/>
          <w:lang w:val="fr-FR"/>
        </w:rPr>
        <w:t>l’évolution dans le temps de la part de consolidation secondaire minimale, moyenne et maximale.</w:t>
      </w:r>
    </w:p>
    <w:p w14:paraId="32CFE0E5" w14:textId="160FB911" w:rsidR="00DF59F2" w:rsidRDefault="00DF59F2" w:rsidP="00DF59F2">
      <w:pPr>
        <w:pStyle w:val="titredefigure"/>
        <w:spacing w:after="0"/>
      </w:pPr>
      <w:r>
        <w:t xml:space="preserve">Tableau </w:t>
      </w:r>
      <w:r w:rsidR="00390CDC">
        <w:t>2</w:t>
      </w:r>
      <w:r>
        <w:t xml:space="preserve">. </w:t>
      </w:r>
      <w:r w:rsidR="00D529B6">
        <w:t>Part de la consolidation secondaire dans les amplitudes de tassements estimés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1"/>
        <w:gridCol w:w="2152"/>
        <w:gridCol w:w="2152"/>
        <w:gridCol w:w="2153"/>
      </w:tblGrid>
      <w:tr w:rsidR="00D529B6" w:rsidRPr="00C34978" w14:paraId="4DCC7818" w14:textId="77777777" w:rsidTr="00D529B6">
        <w:tc>
          <w:tcPr>
            <w:tcW w:w="3111" w:type="dxa"/>
          </w:tcPr>
          <w:p w14:paraId="163E0767" w14:textId="7A3AED74" w:rsidR="00D529B6" w:rsidRPr="00C34978" w:rsidRDefault="00D529B6" w:rsidP="00AE0CC9">
            <w:pPr>
              <w:jc w:val="center"/>
              <w:rPr>
                <w:rFonts w:ascii="Arial" w:hAnsi="Arial" w:cs="Arial"/>
              </w:rPr>
            </w:pPr>
            <w:r>
              <w:rPr>
                <w:rFonts w:ascii="Arial" w:hAnsi="Arial" w:cs="Arial"/>
              </w:rPr>
              <w:t>Pourcentage du fluage dans les amplitudes de tassements</w:t>
            </w:r>
          </w:p>
        </w:tc>
        <w:tc>
          <w:tcPr>
            <w:tcW w:w="2152" w:type="dxa"/>
          </w:tcPr>
          <w:p w14:paraId="64AEB95B" w14:textId="0F3D3D4E" w:rsidR="00D529B6" w:rsidRPr="00C34978" w:rsidRDefault="00D529B6" w:rsidP="00AE0CC9">
            <w:pPr>
              <w:jc w:val="center"/>
              <w:rPr>
                <w:rFonts w:ascii="Arial" w:hAnsi="Arial" w:cs="Arial"/>
              </w:rPr>
            </w:pPr>
            <w:r>
              <w:rPr>
                <w:rFonts w:ascii="Arial" w:hAnsi="Arial" w:cs="Arial"/>
              </w:rPr>
              <w:t>Minimal</w:t>
            </w:r>
          </w:p>
        </w:tc>
        <w:tc>
          <w:tcPr>
            <w:tcW w:w="2152" w:type="dxa"/>
          </w:tcPr>
          <w:p w14:paraId="1E09C814" w14:textId="7773FCB2" w:rsidR="00D529B6" w:rsidRPr="00C34978" w:rsidRDefault="00D529B6" w:rsidP="00AE0CC9">
            <w:pPr>
              <w:jc w:val="center"/>
              <w:rPr>
                <w:rFonts w:ascii="Arial" w:hAnsi="Arial" w:cs="Arial"/>
              </w:rPr>
            </w:pPr>
            <w:r>
              <w:rPr>
                <w:rFonts w:ascii="Arial" w:hAnsi="Arial" w:cs="Arial"/>
              </w:rPr>
              <w:t>Moyen</w:t>
            </w:r>
          </w:p>
        </w:tc>
        <w:tc>
          <w:tcPr>
            <w:tcW w:w="2153" w:type="dxa"/>
          </w:tcPr>
          <w:p w14:paraId="784D6FF1" w14:textId="15E13B00" w:rsidR="00D529B6" w:rsidRPr="00C34978" w:rsidRDefault="00D529B6" w:rsidP="00AE0CC9">
            <w:pPr>
              <w:jc w:val="center"/>
              <w:rPr>
                <w:rFonts w:ascii="Arial" w:hAnsi="Arial" w:cs="Arial"/>
              </w:rPr>
            </w:pPr>
            <w:r>
              <w:rPr>
                <w:rFonts w:ascii="Arial" w:hAnsi="Arial" w:cs="Arial"/>
              </w:rPr>
              <w:t>Maximal</w:t>
            </w:r>
          </w:p>
        </w:tc>
      </w:tr>
      <w:tr w:rsidR="00D529B6" w14:paraId="686567C0" w14:textId="77777777" w:rsidTr="00D529B6">
        <w:tc>
          <w:tcPr>
            <w:tcW w:w="3111" w:type="dxa"/>
            <w:vAlign w:val="center"/>
          </w:tcPr>
          <w:p w14:paraId="38282130" w14:textId="6E4194EF" w:rsidR="00D529B6" w:rsidRDefault="00D529B6" w:rsidP="00D529B6">
            <w:pPr>
              <w:rPr>
                <w:rFonts w:ascii="Arial" w:hAnsi="Arial"/>
                <w:sz w:val="24"/>
              </w:rPr>
            </w:pPr>
            <w:r>
              <w:rPr>
                <w:rFonts w:ascii="Arial" w:hAnsi="Arial"/>
                <w:sz w:val="24"/>
                <w:lang w:eastAsia="en-US"/>
              </w:rPr>
              <w:t>Tassements à t</w:t>
            </w:r>
            <w:r w:rsidRPr="00DF59F2">
              <w:rPr>
                <w:rFonts w:ascii="Arial" w:hAnsi="Arial"/>
                <w:sz w:val="24"/>
                <w:vertAlign w:val="subscript"/>
                <w:lang w:eastAsia="en-US"/>
              </w:rPr>
              <w:t>0</w:t>
            </w:r>
            <w:r>
              <w:rPr>
                <w:rFonts w:ascii="Arial" w:hAnsi="Arial"/>
                <w:sz w:val="24"/>
                <w:lang w:eastAsia="en-US"/>
              </w:rPr>
              <w:t xml:space="preserve"> (cm)</w:t>
            </w:r>
          </w:p>
        </w:tc>
        <w:tc>
          <w:tcPr>
            <w:tcW w:w="2152" w:type="dxa"/>
            <w:vAlign w:val="center"/>
          </w:tcPr>
          <w:p w14:paraId="768DFA90" w14:textId="57E3A96E" w:rsidR="00D529B6" w:rsidRDefault="00D529B6" w:rsidP="00D529B6">
            <w:pPr>
              <w:jc w:val="center"/>
              <w:rPr>
                <w:rFonts w:ascii="Arial" w:hAnsi="Arial"/>
                <w:sz w:val="24"/>
              </w:rPr>
            </w:pPr>
            <w:r>
              <w:rPr>
                <w:rFonts w:ascii="Arial" w:hAnsi="Arial"/>
                <w:sz w:val="24"/>
              </w:rPr>
              <w:t>0 %</w:t>
            </w:r>
          </w:p>
        </w:tc>
        <w:tc>
          <w:tcPr>
            <w:tcW w:w="2152" w:type="dxa"/>
            <w:vAlign w:val="center"/>
          </w:tcPr>
          <w:p w14:paraId="3FD25522" w14:textId="7E7FBEEA" w:rsidR="00D529B6" w:rsidRDefault="00D529B6" w:rsidP="00D529B6">
            <w:pPr>
              <w:jc w:val="center"/>
              <w:rPr>
                <w:rFonts w:ascii="Arial" w:hAnsi="Arial"/>
                <w:sz w:val="24"/>
              </w:rPr>
            </w:pPr>
            <w:r>
              <w:rPr>
                <w:rFonts w:ascii="Arial" w:hAnsi="Arial"/>
                <w:sz w:val="24"/>
              </w:rPr>
              <w:t>0 %</w:t>
            </w:r>
          </w:p>
        </w:tc>
        <w:tc>
          <w:tcPr>
            <w:tcW w:w="2153" w:type="dxa"/>
            <w:vAlign w:val="center"/>
          </w:tcPr>
          <w:p w14:paraId="0318C5B5" w14:textId="05CC0C20" w:rsidR="00D529B6" w:rsidRDefault="00D529B6" w:rsidP="00D529B6">
            <w:pPr>
              <w:jc w:val="center"/>
              <w:rPr>
                <w:rFonts w:ascii="Arial" w:hAnsi="Arial"/>
                <w:sz w:val="24"/>
              </w:rPr>
            </w:pPr>
            <w:r>
              <w:rPr>
                <w:rFonts w:ascii="Arial" w:hAnsi="Arial"/>
                <w:sz w:val="24"/>
              </w:rPr>
              <w:t>0 %</w:t>
            </w:r>
          </w:p>
        </w:tc>
      </w:tr>
      <w:tr w:rsidR="00D529B6" w14:paraId="53398A7A" w14:textId="77777777" w:rsidTr="00D529B6">
        <w:tc>
          <w:tcPr>
            <w:tcW w:w="3111" w:type="dxa"/>
            <w:vAlign w:val="center"/>
          </w:tcPr>
          <w:p w14:paraId="154A1708" w14:textId="64FB8092" w:rsidR="00D529B6" w:rsidRDefault="00D529B6" w:rsidP="00D529B6">
            <w:pPr>
              <w:rPr>
                <w:rFonts w:ascii="Arial" w:hAnsi="Arial"/>
                <w:sz w:val="24"/>
              </w:rPr>
            </w:pPr>
            <w:r>
              <w:rPr>
                <w:rFonts w:ascii="Arial" w:hAnsi="Arial"/>
                <w:sz w:val="24"/>
                <w:lang w:eastAsia="en-US"/>
              </w:rPr>
              <w:t>Tassements actuels (cm)</w:t>
            </w:r>
          </w:p>
        </w:tc>
        <w:tc>
          <w:tcPr>
            <w:tcW w:w="2152" w:type="dxa"/>
            <w:vAlign w:val="center"/>
          </w:tcPr>
          <w:p w14:paraId="56625610" w14:textId="211C16FF" w:rsidR="00D529B6" w:rsidRDefault="00D529B6" w:rsidP="00D529B6">
            <w:pPr>
              <w:jc w:val="center"/>
              <w:rPr>
                <w:rFonts w:ascii="Arial" w:hAnsi="Arial"/>
                <w:sz w:val="24"/>
              </w:rPr>
            </w:pPr>
            <w:r>
              <w:rPr>
                <w:rFonts w:ascii="Arial" w:hAnsi="Arial"/>
                <w:sz w:val="24"/>
              </w:rPr>
              <w:t>0,6 %</w:t>
            </w:r>
          </w:p>
        </w:tc>
        <w:tc>
          <w:tcPr>
            <w:tcW w:w="2152" w:type="dxa"/>
            <w:vAlign w:val="center"/>
          </w:tcPr>
          <w:p w14:paraId="158C7A95" w14:textId="09A0F1CE" w:rsidR="00D529B6" w:rsidRDefault="00D529B6" w:rsidP="00D529B6">
            <w:pPr>
              <w:jc w:val="center"/>
              <w:rPr>
                <w:rFonts w:ascii="Arial" w:hAnsi="Arial"/>
                <w:sz w:val="24"/>
              </w:rPr>
            </w:pPr>
            <w:r>
              <w:rPr>
                <w:rFonts w:ascii="Arial" w:hAnsi="Arial"/>
                <w:sz w:val="24"/>
              </w:rPr>
              <w:t>16,1 %</w:t>
            </w:r>
          </w:p>
        </w:tc>
        <w:tc>
          <w:tcPr>
            <w:tcW w:w="2153" w:type="dxa"/>
            <w:vAlign w:val="center"/>
          </w:tcPr>
          <w:p w14:paraId="494766A4" w14:textId="4E19BF21" w:rsidR="00D529B6" w:rsidRDefault="00D529B6" w:rsidP="00D529B6">
            <w:pPr>
              <w:keepNext/>
              <w:jc w:val="center"/>
              <w:rPr>
                <w:rFonts w:ascii="Arial" w:hAnsi="Arial"/>
                <w:sz w:val="24"/>
              </w:rPr>
            </w:pPr>
            <w:r>
              <w:rPr>
                <w:rFonts w:ascii="Arial" w:hAnsi="Arial"/>
                <w:sz w:val="24"/>
              </w:rPr>
              <w:t>34,4 %</w:t>
            </w:r>
          </w:p>
        </w:tc>
      </w:tr>
      <w:tr w:rsidR="00D529B6" w14:paraId="1DB12882" w14:textId="77777777" w:rsidTr="00D529B6">
        <w:tc>
          <w:tcPr>
            <w:tcW w:w="3111" w:type="dxa"/>
            <w:vAlign w:val="center"/>
          </w:tcPr>
          <w:p w14:paraId="3B347BEA" w14:textId="1F8042AC" w:rsidR="00D529B6" w:rsidRDefault="00D529B6" w:rsidP="00D529B6">
            <w:pPr>
              <w:rPr>
                <w:rFonts w:ascii="Arial" w:hAnsi="Arial"/>
                <w:sz w:val="24"/>
              </w:rPr>
            </w:pPr>
            <w:r>
              <w:rPr>
                <w:rFonts w:ascii="Arial" w:hAnsi="Arial"/>
                <w:sz w:val="24"/>
                <w:lang w:eastAsia="en-US"/>
              </w:rPr>
              <w:t>Tassements à 10 ans (cm)</w:t>
            </w:r>
          </w:p>
        </w:tc>
        <w:tc>
          <w:tcPr>
            <w:tcW w:w="2152" w:type="dxa"/>
            <w:vAlign w:val="center"/>
          </w:tcPr>
          <w:p w14:paraId="6782A11D" w14:textId="30CD17EE" w:rsidR="00D529B6" w:rsidRDefault="00D529B6" w:rsidP="00D529B6">
            <w:pPr>
              <w:jc w:val="center"/>
              <w:rPr>
                <w:rFonts w:ascii="Arial" w:hAnsi="Arial"/>
                <w:sz w:val="24"/>
              </w:rPr>
            </w:pPr>
            <w:r>
              <w:rPr>
                <w:rFonts w:ascii="Arial" w:hAnsi="Arial"/>
                <w:sz w:val="24"/>
              </w:rPr>
              <w:t>4,1 %</w:t>
            </w:r>
          </w:p>
        </w:tc>
        <w:tc>
          <w:tcPr>
            <w:tcW w:w="2152" w:type="dxa"/>
            <w:vAlign w:val="center"/>
          </w:tcPr>
          <w:p w14:paraId="196BBEF6" w14:textId="05B0EAD9" w:rsidR="00D529B6" w:rsidRDefault="00D529B6" w:rsidP="00D529B6">
            <w:pPr>
              <w:jc w:val="center"/>
              <w:rPr>
                <w:rFonts w:ascii="Arial" w:hAnsi="Arial"/>
                <w:sz w:val="24"/>
              </w:rPr>
            </w:pPr>
            <w:r>
              <w:rPr>
                <w:rFonts w:ascii="Arial" w:hAnsi="Arial"/>
                <w:sz w:val="24"/>
              </w:rPr>
              <w:t>23,4 %</w:t>
            </w:r>
          </w:p>
        </w:tc>
        <w:tc>
          <w:tcPr>
            <w:tcW w:w="2153" w:type="dxa"/>
            <w:vAlign w:val="center"/>
          </w:tcPr>
          <w:p w14:paraId="5589ACA5" w14:textId="32CC0BBC" w:rsidR="00D529B6" w:rsidRDefault="00D529B6" w:rsidP="00D529B6">
            <w:pPr>
              <w:keepNext/>
              <w:jc w:val="center"/>
              <w:rPr>
                <w:rFonts w:ascii="Arial" w:hAnsi="Arial"/>
                <w:sz w:val="24"/>
              </w:rPr>
            </w:pPr>
            <w:r>
              <w:rPr>
                <w:rFonts w:ascii="Arial" w:hAnsi="Arial"/>
                <w:sz w:val="24"/>
              </w:rPr>
              <w:t>41,4 %</w:t>
            </w:r>
          </w:p>
        </w:tc>
      </w:tr>
      <w:tr w:rsidR="00D529B6" w14:paraId="13DF5E38" w14:textId="77777777" w:rsidTr="00D529B6">
        <w:tc>
          <w:tcPr>
            <w:tcW w:w="3111" w:type="dxa"/>
            <w:vAlign w:val="center"/>
          </w:tcPr>
          <w:p w14:paraId="37A0B04A" w14:textId="168A8DF7" w:rsidR="00D529B6" w:rsidRDefault="00D529B6" w:rsidP="00D529B6">
            <w:pPr>
              <w:rPr>
                <w:rFonts w:ascii="Arial" w:hAnsi="Arial"/>
                <w:sz w:val="24"/>
              </w:rPr>
            </w:pPr>
            <w:r>
              <w:rPr>
                <w:rFonts w:ascii="Arial" w:hAnsi="Arial"/>
                <w:sz w:val="24"/>
                <w:lang w:eastAsia="en-US"/>
              </w:rPr>
              <w:t>Tassements à 25 ans (cm)</w:t>
            </w:r>
          </w:p>
        </w:tc>
        <w:tc>
          <w:tcPr>
            <w:tcW w:w="2152" w:type="dxa"/>
            <w:vAlign w:val="center"/>
          </w:tcPr>
          <w:p w14:paraId="2A97C5C0" w14:textId="1CEEBDA9" w:rsidR="00D529B6" w:rsidRDefault="00D529B6" w:rsidP="00D529B6">
            <w:pPr>
              <w:jc w:val="center"/>
              <w:rPr>
                <w:rFonts w:ascii="Arial" w:hAnsi="Arial"/>
                <w:sz w:val="24"/>
              </w:rPr>
            </w:pPr>
            <w:r>
              <w:rPr>
                <w:rFonts w:ascii="Arial" w:hAnsi="Arial"/>
                <w:sz w:val="24"/>
              </w:rPr>
              <w:t>6,1 %</w:t>
            </w:r>
          </w:p>
        </w:tc>
        <w:tc>
          <w:tcPr>
            <w:tcW w:w="2152" w:type="dxa"/>
            <w:vAlign w:val="center"/>
          </w:tcPr>
          <w:p w14:paraId="1B8A1970" w14:textId="2FDA5ECD" w:rsidR="00D529B6" w:rsidRDefault="00D529B6" w:rsidP="00D529B6">
            <w:pPr>
              <w:jc w:val="center"/>
              <w:rPr>
                <w:rFonts w:ascii="Arial" w:hAnsi="Arial"/>
                <w:sz w:val="24"/>
              </w:rPr>
            </w:pPr>
            <w:r>
              <w:rPr>
                <w:rFonts w:ascii="Arial" w:hAnsi="Arial"/>
                <w:sz w:val="24"/>
              </w:rPr>
              <w:t>29,3 %</w:t>
            </w:r>
          </w:p>
        </w:tc>
        <w:tc>
          <w:tcPr>
            <w:tcW w:w="2153" w:type="dxa"/>
            <w:vAlign w:val="center"/>
          </w:tcPr>
          <w:p w14:paraId="1BFEAA7E" w14:textId="7C26D4CC" w:rsidR="00D529B6" w:rsidRDefault="00D529B6" w:rsidP="00D529B6">
            <w:pPr>
              <w:keepNext/>
              <w:jc w:val="center"/>
              <w:rPr>
                <w:rFonts w:ascii="Arial" w:hAnsi="Arial"/>
                <w:sz w:val="24"/>
              </w:rPr>
            </w:pPr>
            <w:r>
              <w:rPr>
                <w:rFonts w:ascii="Arial" w:hAnsi="Arial"/>
                <w:sz w:val="24"/>
              </w:rPr>
              <w:t>47,0 %</w:t>
            </w:r>
          </w:p>
        </w:tc>
      </w:tr>
      <w:tr w:rsidR="00D529B6" w14:paraId="3BAC2DEE" w14:textId="77777777" w:rsidTr="00D529B6">
        <w:tc>
          <w:tcPr>
            <w:tcW w:w="3111" w:type="dxa"/>
          </w:tcPr>
          <w:p w14:paraId="2BBFF822" w14:textId="5C74E929" w:rsidR="00D529B6" w:rsidRDefault="00D529B6" w:rsidP="00D529B6">
            <w:pPr>
              <w:rPr>
                <w:rFonts w:ascii="Arial" w:hAnsi="Arial"/>
                <w:sz w:val="24"/>
              </w:rPr>
            </w:pPr>
            <w:r>
              <w:rPr>
                <w:rFonts w:ascii="Arial" w:hAnsi="Arial"/>
                <w:sz w:val="24"/>
                <w:lang w:eastAsia="en-US"/>
              </w:rPr>
              <w:t>Tassements à 50 ans (cm)</w:t>
            </w:r>
          </w:p>
        </w:tc>
        <w:tc>
          <w:tcPr>
            <w:tcW w:w="2152" w:type="dxa"/>
            <w:vAlign w:val="center"/>
          </w:tcPr>
          <w:p w14:paraId="7E9F0CF6" w14:textId="3657B015" w:rsidR="00D529B6" w:rsidRDefault="00D529B6" w:rsidP="00D529B6">
            <w:pPr>
              <w:jc w:val="center"/>
              <w:rPr>
                <w:rFonts w:ascii="Arial" w:hAnsi="Arial"/>
                <w:sz w:val="24"/>
              </w:rPr>
            </w:pPr>
            <w:r>
              <w:rPr>
                <w:rFonts w:ascii="Arial" w:hAnsi="Arial"/>
                <w:sz w:val="24"/>
              </w:rPr>
              <w:t>7,8 %</w:t>
            </w:r>
          </w:p>
        </w:tc>
        <w:tc>
          <w:tcPr>
            <w:tcW w:w="2152" w:type="dxa"/>
            <w:vAlign w:val="center"/>
          </w:tcPr>
          <w:p w14:paraId="36C126B0" w14:textId="126A7630" w:rsidR="00D529B6" w:rsidRDefault="00D529B6" w:rsidP="00D529B6">
            <w:pPr>
              <w:jc w:val="center"/>
              <w:rPr>
                <w:rFonts w:ascii="Arial" w:hAnsi="Arial"/>
                <w:sz w:val="24"/>
              </w:rPr>
            </w:pPr>
            <w:r>
              <w:rPr>
                <w:rFonts w:ascii="Arial" w:hAnsi="Arial"/>
                <w:sz w:val="24"/>
              </w:rPr>
              <w:t>34,7 %</w:t>
            </w:r>
          </w:p>
        </w:tc>
        <w:tc>
          <w:tcPr>
            <w:tcW w:w="2153" w:type="dxa"/>
            <w:vAlign w:val="center"/>
          </w:tcPr>
          <w:p w14:paraId="2AF60861" w14:textId="520474DD" w:rsidR="00D529B6" w:rsidRDefault="00D529B6" w:rsidP="00D529B6">
            <w:pPr>
              <w:keepNext/>
              <w:jc w:val="center"/>
              <w:rPr>
                <w:rFonts w:ascii="Arial" w:hAnsi="Arial"/>
                <w:sz w:val="24"/>
              </w:rPr>
            </w:pPr>
            <w:r>
              <w:rPr>
                <w:rFonts w:ascii="Arial" w:hAnsi="Arial"/>
                <w:sz w:val="24"/>
              </w:rPr>
              <w:t>52,0 %</w:t>
            </w:r>
          </w:p>
        </w:tc>
      </w:tr>
    </w:tbl>
    <w:p w14:paraId="74F03F48" w14:textId="1BDC0229" w:rsidR="00D529B6" w:rsidRDefault="00D529B6" w:rsidP="00D529B6">
      <w:pPr>
        <w:pStyle w:val="Corpsdetexte12retrait5mm"/>
        <w:spacing w:before="240"/>
        <w:ind w:firstLine="284"/>
        <w:rPr>
          <w:lang w:val="fr-FR"/>
        </w:rPr>
      </w:pPr>
      <w:r>
        <w:rPr>
          <w:lang w:val="fr-FR"/>
        </w:rPr>
        <w:t xml:space="preserve">Ces résultats montrent que le fluage est responsable de </w:t>
      </w:r>
      <w:r w:rsidR="00A313DB">
        <w:rPr>
          <w:lang w:val="fr-FR"/>
        </w:rPr>
        <w:t>1/5</w:t>
      </w:r>
      <w:r w:rsidR="009576F5">
        <w:rPr>
          <w:lang w:val="fr-FR"/>
        </w:rPr>
        <w:t xml:space="preserve"> environ</w:t>
      </w:r>
      <w:r w:rsidR="00A313DB">
        <w:rPr>
          <w:lang w:val="fr-FR"/>
        </w:rPr>
        <w:t xml:space="preserve"> d</w:t>
      </w:r>
      <w:r w:rsidR="009576F5">
        <w:rPr>
          <w:lang w:val="fr-FR"/>
        </w:rPr>
        <w:t>es amplitudes de</w:t>
      </w:r>
      <w:r w:rsidR="00A313DB">
        <w:rPr>
          <w:lang w:val="fr-FR"/>
        </w:rPr>
        <w:t xml:space="preserve"> tassement dans la situation actuelle. A l’avenir, cette part </w:t>
      </w:r>
      <w:r w:rsidR="002600BA">
        <w:rPr>
          <w:lang w:val="fr-FR"/>
        </w:rPr>
        <w:t xml:space="preserve">a été estimée comme devant augmenter </w:t>
      </w:r>
      <w:r w:rsidR="00A313DB">
        <w:rPr>
          <w:lang w:val="fr-FR"/>
        </w:rPr>
        <w:t>pour atteindre une moyenne de 1/3 environ, voire 1/2 localement sur certaines zones</w:t>
      </w:r>
      <w:r w:rsidR="002600BA">
        <w:rPr>
          <w:lang w:val="fr-FR"/>
        </w:rPr>
        <w:t>, ce qui est un cas inhabituel</w:t>
      </w:r>
      <w:r w:rsidR="00A313DB">
        <w:rPr>
          <w:lang w:val="fr-FR"/>
        </w:rPr>
        <w:t>.</w:t>
      </w:r>
    </w:p>
    <w:p w14:paraId="5849AAFD" w14:textId="11DD6173" w:rsidR="00B84B6D" w:rsidRDefault="00B84B6D" w:rsidP="001C230A">
      <w:pPr>
        <w:pStyle w:val="Titre1"/>
        <w:ind w:left="357" w:hanging="357"/>
        <w:rPr>
          <w:lang w:val="fr-FR"/>
        </w:rPr>
      </w:pPr>
      <w:r w:rsidRPr="001C230A">
        <w:rPr>
          <w:lang w:val="fr-FR"/>
        </w:rPr>
        <w:t>Conclusions</w:t>
      </w:r>
    </w:p>
    <w:p w14:paraId="65F7DE71" w14:textId="552DC23C" w:rsidR="00237502" w:rsidRDefault="009576F5" w:rsidP="003D7A22">
      <w:pPr>
        <w:pStyle w:val="Corpsdetexte12retrait5mm"/>
        <w:rPr>
          <w:lang w:val="fr-FR"/>
        </w:rPr>
      </w:pPr>
      <w:r>
        <w:rPr>
          <w:lang w:val="fr-FR"/>
        </w:rPr>
        <w:t>Le suivi des tassements d</w:t>
      </w:r>
      <w:r w:rsidR="002600BA">
        <w:rPr>
          <w:lang w:val="fr-FR"/>
        </w:rPr>
        <w:t xml:space="preserve">’un </w:t>
      </w:r>
      <w:r>
        <w:rPr>
          <w:lang w:val="fr-FR"/>
        </w:rPr>
        <w:t xml:space="preserve">bâtiment a conduit à une analyse qui a débuté par montrer que les vitesses des mouvements ne tendaient pas vers une valeur nulle, mais vers une valeur </w:t>
      </w:r>
      <w:r w:rsidR="002600BA">
        <w:rPr>
          <w:lang w:val="fr-FR"/>
        </w:rPr>
        <w:t xml:space="preserve">quasiment </w:t>
      </w:r>
      <w:r>
        <w:rPr>
          <w:lang w:val="fr-FR"/>
        </w:rPr>
        <w:t>constante. Ainsi, les méthodes usuellement employées ne permettent pas de prédire des amplitudes de tassements finaux, celles-ci étant réévaluées à chaque nouvelle mesure.</w:t>
      </w:r>
    </w:p>
    <w:p w14:paraId="30D2CD04" w14:textId="5C1451C7" w:rsidR="00237502" w:rsidRDefault="009576F5" w:rsidP="005B4306">
      <w:pPr>
        <w:pStyle w:val="Corpsdetexte12retrait5mm"/>
        <w:ind w:firstLine="284"/>
        <w:rPr>
          <w:lang w:val="fr-FR"/>
        </w:rPr>
      </w:pPr>
      <w:r>
        <w:rPr>
          <w:lang w:val="fr-FR"/>
        </w:rPr>
        <w:t xml:space="preserve">L’introduction de la part de fluage dans les équations de détermination </w:t>
      </w:r>
      <w:r w:rsidR="005B4306">
        <w:rPr>
          <w:lang w:val="fr-FR"/>
        </w:rPr>
        <w:t xml:space="preserve">du tassement en fonction du temps a permis de mieux cerner la problématique. Avec un coefficient de détermination élevé, il a pu être analysé que la consolidation secondaire avait probablement démarré entre 2009 et 2012, après 80 à 95% de consolidation primaire, et que les coefficients de consolidation verticale et taux de consolidation secondaire étaient relativement homogènes sur les </w:t>
      </w:r>
      <w:r w:rsidR="002600BA">
        <w:rPr>
          <w:lang w:val="fr-FR"/>
        </w:rPr>
        <w:t>3</w:t>
      </w:r>
      <w:r w:rsidR="00EA39D6">
        <w:rPr>
          <w:lang w:val="fr-FR"/>
        </w:rPr>
        <w:t>9</w:t>
      </w:r>
      <w:r w:rsidR="002600BA">
        <w:rPr>
          <w:lang w:val="fr-FR"/>
        </w:rPr>
        <w:t xml:space="preserve"> </w:t>
      </w:r>
      <w:r w:rsidR="005B4306">
        <w:rPr>
          <w:lang w:val="fr-FR"/>
        </w:rPr>
        <w:t xml:space="preserve">repères étudiés à l’intérieur du bâtiment. </w:t>
      </w:r>
    </w:p>
    <w:p w14:paraId="0AA8FEC6" w14:textId="7E0800C8" w:rsidR="005B4306" w:rsidRDefault="005B4306" w:rsidP="005B4306">
      <w:pPr>
        <w:pStyle w:val="Corpsdetexte12retrait5mm"/>
        <w:ind w:firstLine="284"/>
        <w:rPr>
          <w:lang w:val="fr-FR"/>
        </w:rPr>
      </w:pPr>
      <w:r>
        <w:rPr>
          <w:lang w:val="fr-FR"/>
        </w:rPr>
        <w:t xml:space="preserve">Ainsi, les méthodes de prédiction des tassements </w:t>
      </w:r>
      <w:r w:rsidR="002600BA">
        <w:rPr>
          <w:lang w:val="fr-FR"/>
        </w:rPr>
        <w:t xml:space="preserve">ont </w:t>
      </w:r>
      <w:r>
        <w:rPr>
          <w:lang w:val="fr-FR"/>
        </w:rPr>
        <w:t>perm</w:t>
      </w:r>
      <w:r w:rsidR="002600BA">
        <w:rPr>
          <w:lang w:val="fr-FR"/>
        </w:rPr>
        <w:t>is</w:t>
      </w:r>
      <w:r>
        <w:rPr>
          <w:lang w:val="fr-FR"/>
        </w:rPr>
        <w:t xml:space="preserve"> d’estimer que les tassements se poursuivr</w:t>
      </w:r>
      <w:r w:rsidR="002600BA">
        <w:rPr>
          <w:lang w:val="fr-FR"/>
        </w:rPr>
        <w:t>aie</w:t>
      </w:r>
      <w:r>
        <w:rPr>
          <w:lang w:val="fr-FR"/>
        </w:rPr>
        <w:t xml:space="preserve">nt, avec une part liée au fluage des sols de plus en plus conséquente, passant de 20% en moyenne </w:t>
      </w:r>
      <w:r w:rsidR="00A352AF">
        <w:rPr>
          <w:lang w:val="fr-FR"/>
        </w:rPr>
        <w:t xml:space="preserve">actuellement </w:t>
      </w:r>
      <w:r>
        <w:rPr>
          <w:lang w:val="fr-FR"/>
        </w:rPr>
        <w:t xml:space="preserve">à </w:t>
      </w:r>
      <w:r w:rsidR="00237502">
        <w:rPr>
          <w:lang w:val="fr-FR"/>
        </w:rPr>
        <w:t>des valeurs inhabituelles de l’ordre de</w:t>
      </w:r>
      <w:r>
        <w:rPr>
          <w:lang w:val="fr-FR"/>
        </w:rPr>
        <w:t xml:space="preserve"> 35%, voire plus de 50% localement</w:t>
      </w:r>
      <w:r w:rsidR="00A352AF">
        <w:rPr>
          <w:lang w:val="fr-FR"/>
        </w:rPr>
        <w:t xml:space="preserve"> dans 50 ans</w:t>
      </w:r>
      <w:r>
        <w:rPr>
          <w:lang w:val="fr-FR"/>
        </w:rPr>
        <w:t>.</w:t>
      </w:r>
    </w:p>
    <w:p w14:paraId="128E29C6" w14:textId="77777777" w:rsidR="00B84B6D" w:rsidRPr="001C230A" w:rsidRDefault="00B84B6D" w:rsidP="001C230A">
      <w:pPr>
        <w:pStyle w:val="Titre1"/>
        <w:ind w:left="357" w:hanging="357"/>
        <w:rPr>
          <w:lang w:val="fr-FR"/>
        </w:rPr>
      </w:pPr>
      <w:r w:rsidRPr="001C230A">
        <w:rPr>
          <w:lang w:val="fr-FR"/>
        </w:rPr>
        <w:t>Références bibliographiques</w:t>
      </w:r>
    </w:p>
    <w:p w14:paraId="2B7F42BC" w14:textId="49BF2E45" w:rsidR="00D46F2D" w:rsidRDefault="00D46F2D" w:rsidP="00EE5CFE">
      <w:pPr>
        <w:pStyle w:val="Corpsdetexte12retrait5mm"/>
        <w:ind w:left="284" w:hanging="284"/>
        <w:rPr>
          <w:rStyle w:val="Corpsdetexte12Car"/>
          <w:lang w:val="fr-FR"/>
        </w:rPr>
      </w:pPr>
      <w:r>
        <w:rPr>
          <w:rStyle w:val="Corpsdetexte12Car"/>
          <w:lang w:val="fr-FR"/>
        </w:rPr>
        <w:t>Favre M., Vermoote E., Fuentes D. (2014). Re-estimation des tassements finaux en cours de suivi, JNGG – Beauvais 8-10 juillet 2014.</w:t>
      </w:r>
    </w:p>
    <w:p w14:paraId="4406ADCE" w14:textId="66BE0DC2" w:rsidR="00EE5CFE" w:rsidRDefault="00EE5CFE" w:rsidP="00EE5CFE">
      <w:pPr>
        <w:pStyle w:val="Corpsdetexte12retrait5mm"/>
        <w:ind w:left="284" w:hanging="284"/>
        <w:rPr>
          <w:rStyle w:val="Corpsdetexte12Car"/>
          <w:lang w:val="fr-FR"/>
        </w:rPr>
      </w:pPr>
      <w:r>
        <w:rPr>
          <w:rStyle w:val="Corpsdetexte12Car"/>
          <w:lang w:val="fr-FR"/>
        </w:rPr>
        <w:t>Favre M., Vermoote E. (2016). Prise en compte du fluage dans l’analyse des mesures pour la prévision de tassements résiduels, JNGG – Nancy 2016.</w:t>
      </w:r>
    </w:p>
    <w:p w14:paraId="4AD2DD66" w14:textId="77777777" w:rsidR="00822934" w:rsidRDefault="00571A00"/>
    <w:sectPr w:rsidR="00822934" w:rsidSect="00B84B6D">
      <w:headerReference w:type="default" r:id="rId22"/>
      <w:footerReference w:type="even" r:id="rId23"/>
      <w:footerReference w:type="default" r:id="rId24"/>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F0F1" w14:textId="77777777" w:rsidR="00571A00" w:rsidRDefault="00571A00">
      <w:r>
        <w:separator/>
      </w:r>
    </w:p>
  </w:endnote>
  <w:endnote w:type="continuationSeparator" w:id="0">
    <w:p w14:paraId="327E4ACB" w14:textId="77777777" w:rsidR="00571A00" w:rsidRDefault="0057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0E42" w14:textId="77777777"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114CBE0" w14:textId="77777777" w:rsidR="000033F8" w:rsidRDefault="00571A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5090" w14:textId="77777777"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Pr>
        <w:rStyle w:val="Numrodepage"/>
        <w:rFonts w:ascii="Arial" w:hAnsi="Arial" w:cs="Arial"/>
        <w:noProof/>
        <w:sz w:val="22"/>
        <w:szCs w:val="22"/>
      </w:rPr>
      <w:t>2</w:t>
    </w:r>
    <w:r w:rsidRPr="00B16A79">
      <w:rPr>
        <w:rStyle w:val="Numrodepage"/>
        <w:rFonts w:ascii="Arial" w:hAnsi="Arial" w:cs="Arial"/>
        <w:sz w:val="22"/>
        <w:szCs w:val="22"/>
      </w:rPr>
      <w:fldChar w:fldCharType="end"/>
    </w:r>
  </w:p>
  <w:p w14:paraId="74BA7130" w14:textId="77777777" w:rsidR="000033F8" w:rsidRDefault="00571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6027" w14:textId="77777777" w:rsidR="00571A00" w:rsidRDefault="00571A00">
      <w:r>
        <w:separator/>
      </w:r>
    </w:p>
  </w:footnote>
  <w:footnote w:type="continuationSeparator" w:id="0">
    <w:p w14:paraId="3BC8DFCF" w14:textId="77777777" w:rsidR="00571A00" w:rsidRDefault="0057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C66" w14:textId="77777777" w:rsidR="000033F8" w:rsidRPr="0093246D" w:rsidRDefault="0013118E" w:rsidP="0093246D">
    <w:pPr>
      <w:pStyle w:val="En-tte"/>
    </w:pPr>
    <w:r>
      <w:t>11</w:t>
    </w:r>
    <w:r w:rsidRPr="0013118E">
      <w:rPr>
        <w:vertAlign w:val="superscript"/>
      </w:rPr>
      <w:t>emes</w:t>
    </w:r>
    <w:r>
      <w:t xml:space="preserve"> </w:t>
    </w:r>
    <w:r w:rsidR="00B84B6D">
      <w:t>Journées Nationales de Géotechnique et de Géologie de l’Ingénieur – Lyon 202</w:t>
    </w:r>
    <w:r>
      <w:t>2</w:t>
    </w:r>
  </w:p>
  <w:p w14:paraId="3DDED90D" w14:textId="77777777" w:rsidR="000033F8" w:rsidRDefault="00571A00"/>
  <w:p w14:paraId="293992F4" w14:textId="77777777" w:rsidR="000033F8" w:rsidRDefault="00571A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D"/>
    <w:rsid w:val="00073A0E"/>
    <w:rsid w:val="00095FB8"/>
    <w:rsid w:val="000A0BE0"/>
    <w:rsid w:val="000B4071"/>
    <w:rsid w:val="000C2DEE"/>
    <w:rsid w:val="000E123F"/>
    <w:rsid w:val="000E2E21"/>
    <w:rsid w:val="0013118E"/>
    <w:rsid w:val="00145936"/>
    <w:rsid w:val="00147C39"/>
    <w:rsid w:val="00195E8B"/>
    <w:rsid w:val="001976D9"/>
    <w:rsid w:val="001A369E"/>
    <w:rsid w:val="001C230A"/>
    <w:rsid w:val="001C492D"/>
    <w:rsid w:val="001D6281"/>
    <w:rsid w:val="001E215D"/>
    <w:rsid w:val="001F356B"/>
    <w:rsid w:val="001F681E"/>
    <w:rsid w:val="00216E39"/>
    <w:rsid w:val="00222E87"/>
    <w:rsid w:val="00237502"/>
    <w:rsid w:val="00253B6D"/>
    <w:rsid w:val="002600BA"/>
    <w:rsid w:val="00280C2F"/>
    <w:rsid w:val="002C1677"/>
    <w:rsid w:val="002D0A99"/>
    <w:rsid w:val="0033480F"/>
    <w:rsid w:val="00390CDC"/>
    <w:rsid w:val="00390EC3"/>
    <w:rsid w:val="003A40B8"/>
    <w:rsid w:val="003D7A22"/>
    <w:rsid w:val="00400CD1"/>
    <w:rsid w:val="0040401F"/>
    <w:rsid w:val="0042273C"/>
    <w:rsid w:val="00445899"/>
    <w:rsid w:val="00446017"/>
    <w:rsid w:val="004B5AD4"/>
    <w:rsid w:val="004C1D6E"/>
    <w:rsid w:val="00514416"/>
    <w:rsid w:val="005553D4"/>
    <w:rsid w:val="00571A00"/>
    <w:rsid w:val="005975F2"/>
    <w:rsid w:val="005B4306"/>
    <w:rsid w:val="005C31DD"/>
    <w:rsid w:val="005F1077"/>
    <w:rsid w:val="00621CAC"/>
    <w:rsid w:val="006A5820"/>
    <w:rsid w:val="00703822"/>
    <w:rsid w:val="0071730F"/>
    <w:rsid w:val="007246F9"/>
    <w:rsid w:val="0072662A"/>
    <w:rsid w:val="007E604C"/>
    <w:rsid w:val="0080666A"/>
    <w:rsid w:val="008360B7"/>
    <w:rsid w:val="008575F6"/>
    <w:rsid w:val="00863CC9"/>
    <w:rsid w:val="008D14DE"/>
    <w:rsid w:val="00935B40"/>
    <w:rsid w:val="009447D0"/>
    <w:rsid w:val="009576F5"/>
    <w:rsid w:val="00965271"/>
    <w:rsid w:val="009C05DF"/>
    <w:rsid w:val="009D463F"/>
    <w:rsid w:val="009D7A86"/>
    <w:rsid w:val="009F7413"/>
    <w:rsid w:val="00A0126F"/>
    <w:rsid w:val="00A04A7B"/>
    <w:rsid w:val="00A313DB"/>
    <w:rsid w:val="00A352AF"/>
    <w:rsid w:val="00A82417"/>
    <w:rsid w:val="00AA1A1E"/>
    <w:rsid w:val="00AB1572"/>
    <w:rsid w:val="00AF3CA9"/>
    <w:rsid w:val="00B27BB5"/>
    <w:rsid w:val="00B456AE"/>
    <w:rsid w:val="00B62059"/>
    <w:rsid w:val="00B84B6D"/>
    <w:rsid w:val="00BA4B85"/>
    <w:rsid w:val="00BD74FB"/>
    <w:rsid w:val="00C11B43"/>
    <w:rsid w:val="00C82F23"/>
    <w:rsid w:val="00CA73B9"/>
    <w:rsid w:val="00CE1E81"/>
    <w:rsid w:val="00D36581"/>
    <w:rsid w:val="00D46F2D"/>
    <w:rsid w:val="00D529B6"/>
    <w:rsid w:val="00D77C37"/>
    <w:rsid w:val="00DE638F"/>
    <w:rsid w:val="00DE6A8B"/>
    <w:rsid w:val="00DF59F2"/>
    <w:rsid w:val="00E2146F"/>
    <w:rsid w:val="00E34CDD"/>
    <w:rsid w:val="00EA39D6"/>
    <w:rsid w:val="00EC4031"/>
    <w:rsid w:val="00EE5CFE"/>
    <w:rsid w:val="00EF4327"/>
    <w:rsid w:val="00F322D7"/>
    <w:rsid w:val="00F507E0"/>
    <w:rsid w:val="00FA5943"/>
    <w:rsid w:val="00FC3371"/>
    <w:rsid w:val="00FD1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DC97"/>
  <w15:chartTrackingRefBased/>
  <w15:docId w15:val="{6204F69A-2B27-4052-9AB3-F9CB56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table" w:styleId="Grilledutableau">
    <w:name w:val="Table Grid"/>
    <w:basedOn w:val="TableauNormal"/>
    <w:uiPriority w:val="39"/>
    <w:rsid w:val="0096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965271"/>
    <w:pPr>
      <w:spacing w:after="200"/>
    </w:pPr>
    <w:rPr>
      <w:i/>
      <w:iCs/>
      <w:color w:val="44546A" w:themeColor="text2"/>
      <w:sz w:val="18"/>
      <w:szCs w:val="18"/>
    </w:rPr>
  </w:style>
  <w:style w:type="character" w:styleId="Textedelespacerserv">
    <w:name w:val="Placeholder Text"/>
    <w:basedOn w:val="Policepardfaut"/>
    <w:uiPriority w:val="99"/>
    <w:semiHidden/>
    <w:rsid w:val="00400CD1"/>
    <w:rPr>
      <w:color w:val="808080"/>
    </w:rPr>
  </w:style>
  <w:style w:type="paragraph" w:styleId="Rvision">
    <w:name w:val="Revision"/>
    <w:hidden/>
    <w:uiPriority w:val="99"/>
    <w:semiHidden/>
    <w:rsid w:val="005F1077"/>
    <w:pPr>
      <w:spacing w:after="0" w:line="240" w:lineRule="auto"/>
    </w:pPr>
    <w:rPr>
      <w:rFonts w:ascii="Avant Garde" w:eastAsia="Times New Roman" w:hAnsi="Avant Garde" w:cs="Times New Roman"/>
      <w:sz w:val="20"/>
      <w:szCs w:val="20"/>
      <w:lang w:eastAsia="fr-FR"/>
    </w:rPr>
  </w:style>
  <w:style w:type="character" w:styleId="Marquedecommentaire">
    <w:name w:val="annotation reference"/>
    <w:basedOn w:val="Policepardfaut"/>
    <w:uiPriority w:val="99"/>
    <w:semiHidden/>
    <w:unhideWhenUsed/>
    <w:rsid w:val="005F1077"/>
    <w:rPr>
      <w:sz w:val="16"/>
      <w:szCs w:val="16"/>
    </w:rPr>
  </w:style>
  <w:style w:type="paragraph" w:styleId="Commentaire">
    <w:name w:val="annotation text"/>
    <w:basedOn w:val="Normal"/>
    <w:link w:val="CommentaireCar"/>
    <w:uiPriority w:val="99"/>
    <w:semiHidden/>
    <w:unhideWhenUsed/>
    <w:rsid w:val="005F1077"/>
  </w:style>
  <w:style w:type="character" w:customStyle="1" w:styleId="CommentaireCar">
    <w:name w:val="Commentaire Car"/>
    <w:basedOn w:val="Policepardfaut"/>
    <w:link w:val="Commentaire"/>
    <w:uiPriority w:val="99"/>
    <w:semiHidden/>
    <w:rsid w:val="005F1077"/>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1077"/>
    <w:rPr>
      <w:b/>
      <w:bCs/>
    </w:rPr>
  </w:style>
  <w:style w:type="character" w:customStyle="1" w:styleId="ObjetducommentaireCar">
    <w:name w:val="Objet du commentaire Car"/>
    <w:basedOn w:val="CommentaireCar"/>
    <w:link w:val="Objetducommentaire"/>
    <w:uiPriority w:val="99"/>
    <w:semiHidden/>
    <w:rsid w:val="005F1077"/>
    <w:rPr>
      <w:rFonts w:ascii="Avant Garde" w:eastAsia="Times New Roman" w:hAnsi="Avant Garde"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184C-EA15-49CD-904B-CA61C1E0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1685</Words>
  <Characters>9272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Vermoote, Eric</cp:lastModifiedBy>
  <cp:revision>45</cp:revision>
  <cp:lastPrinted>2022-02-14T16:28:00Z</cp:lastPrinted>
  <dcterms:created xsi:type="dcterms:W3CDTF">2021-11-19T17:04:00Z</dcterms:created>
  <dcterms:modified xsi:type="dcterms:W3CDTF">2022-02-14T16:30:00Z</dcterms:modified>
</cp:coreProperties>
</file>