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43788" w14:textId="23916BAC" w:rsidR="00B84B6D" w:rsidRPr="002A1C42" w:rsidRDefault="00531856" w:rsidP="006E408D">
      <w:pPr>
        <w:pStyle w:val="Titre"/>
        <w:spacing w:after="240"/>
        <w:jc w:val="both"/>
      </w:pPr>
      <w:r w:rsidRPr="00531856">
        <w:t>REEVALUATION THEORIQUE ET EXPERIMENTALE DES COURBES DE TRANSFERT P-Y POUR LES PIEUX ET LES BARRETTES</w:t>
      </w:r>
    </w:p>
    <w:p w14:paraId="169326AA" w14:textId="4489EE85" w:rsidR="00B84B6D" w:rsidRPr="002A1C42" w:rsidRDefault="00531856" w:rsidP="006E408D">
      <w:pPr>
        <w:pStyle w:val="Sous-titre"/>
        <w:spacing w:after="240"/>
        <w:jc w:val="both"/>
        <w:rPr>
          <w:rFonts w:ascii="Arial" w:hAnsi="Arial" w:cs="Arial"/>
          <w:b/>
          <w:i/>
          <w:sz w:val="26"/>
          <w:szCs w:val="26"/>
        </w:rPr>
      </w:pPr>
      <w:r w:rsidRPr="00531856">
        <w:rPr>
          <w:rFonts w:ascii="Arial" w:hAnsi="Arial" w:cs="Arial"/>
          <w:b/>
          <w:i/>
          <w:sz w:val="26"/>
          <w:szCs w:val="26"/>
        </w:rPr>
        <w:t>NUMERICAL AND EXPERIMENTAL REEVALUATION OF THE TRANSFER FUNCTIONS P-Y FOR PILES AND BARRETTES</w:t>
      </w:r>
    </w:p>
    <w:p w14:paraId="263EFB76" w14:textId="58DE7704" w:rsidR="00B84B6D" w:rsidRPr="002A1C42" w:rsidRDefault="00531856" w:rsidP="00B84B6D">
      <w:pPr>
        <w:pStyle w:val="auteurs"/>
      </w:pPr>
      <w:r w:rsidRPr="00531856">
        <w:t>Tatiana RICHA</w:t>
      </w:r>
      <w:r w:rsidRPr="00531856">
        <w:rPr>
          <w:vertAlign w:val="superscript"/>
        </w:rPr>
        <w:t>1</w:t>
      </w:r>
      <w:r w:rsidRPr="00531856">
        <w:t>, Fahd CUIRA</w:t>
      </w:r>
      <w:r w:rsidRPr="00531856">
        <w:rPr>
          <w:vertAlign w:val="superscript"/>
        </w:rPr>
        <w:t>1</w:t>
      </w:r>
      <w:r w:rsidRPr="00531856">
        <w:t>, Roger FRANK</w:t>
      </w:r>
      <w:r w:rsidRPr="00531856">
        <w:rPr>
          <w:vertAlign w:val="superscript"/>
        </w:rPr>
        <w:t>2</w:t>
      </w:r>
      <w:r w:rsidR="00B84B6D" w:rsidRPr="002A1C42">
        <w:t xml:space="preserve"> </w:t>
      </w:r>
    </w:p>
    <w:p w14:paraId="59419E14" w14:textId="3E804257" w:rsidR="00B84B6D" w:rsidRPr="000D0A7F" w:rsidRDefault="00B84B6D" w:rsidP="00B84B6D">
      <w:pPr>
        <w:pStyle w:val="affiliationdesauteurs"/>
      </w:pPr>
      <w:r w:rsidRPr="002A1C42">
        <w:rPr>
          <w:vertAlign w:val="superscript"/>
        </w:rPr>
        <w:t>1</w:t>
      </w:r>
      <w:r w:rsidRPr="002A1C42">
        <w:t xml:space="preserve"> </w:t>
      </w:r>
      <w:r w:rsidR="00531856" w:rsidRPr="00FF41CC">
        <w:t>Terrasol Setec, Paris, France</w:t>
      </w:r>
    </w:p>
    <w:p w14:paraId="455A58A8" w14:textId="39EEF327" w:rsidR="00B84B6D" w:rsidRDefault="00B84B6D" w:rsidP="00B84B6D">
      <w:pPr>
        <w:pStyle w:val="affiliationdesauteurs"/>
      </w:pPr>
      <w:r w:rsidRPr="000033F8">
        <w:rPr>
          <w:vertAlign w:val="superscript"/>
        </w:rPr>
        <w:t xml:space="preserve">2 </w:t>
      </w:r>
      <w:r w:rsidR="00531856" w:rsidRPr="00FF41CC">
        <w:t xml:space="preserve">Laboratoire Navier </w:t>
      </w:r>
      <w:r w:rsidR="00531856" w:rsidRPr="00FF41CC">
        <w:rPr>
          <w:rFonts w:hint="eastAsia"/>
        </w:rPr>
        <w:t>–</w:t>
      </w:r>
      <w:r w:rsidR="00531856" w:rsidRPr="00FF41CC">
        <w:t xml:space="preserve"> Ecole des Ponts ParisTech </w:t>
      </w:r>
      <w:r w:rsidR="00531856" w:rsidRPr="00FF41CC">
        <w:rPr>
          <w:rFonts w:hint="eastAsia"/>
        </w:rPr>
        <w:t>–</w:t>
      </w:r>
      <w:r w:rsidR="00531856" w:rsidRPr="00FF41CC">
        <w:t xml:space="preserve"> France</w:t>
      </w:r>
    </w:p>
    <w:p w14:paraId="1CC2B37E" w14:textId="77777777" w:rsidR="006E408D" w:rsidRPr="00B63E71" w:rsidRDefault="00B84B6D" w:rsidP="006E408D">
      <w:pPr>
        <w:suppressAutoHyphens/>
        <w:spacing w:before="240"/>
        <w:jc w:val="both"/>
        <w:rPr>
          <w:rFonts w:ascii="Times New Roman" w:hAnsi="Times New Roman"/>
          <w:sz w:val="24"/>
          <w:szCs w:val="24"/>
        </w:rPr>
      </w:pPr>
      <w:r w:rsidRPr="00B63E71">
        <w:rPr>
          <w:rFonts w:ascii="Arial" w:hAnsi="Arial" w:cs="Arial"/>
          <w:b/>
          <w:sz w:val="24"/>
          <w:szCs w:val="24"/>
        </w:rPr>
        <w:t>RÉSUMÉ –</w:t>
      </w:r>
      <w:r w:rsidRPr="00B63E71">
        <w:rPr>
          <w:sz w:val="24"/>
          <w:szCs w:val="24"/>
        </w:rPr>
        <w:t xml:space="preserve"> </w:t>
      </w:r>
      <w:r w:rsidR="006E408D" w:rsidRPr="00B63E71">
        <w:rPr>
          <w:rFonts w:ascii="Arial" w:hAnsi="Arial" w:cs="Arial"/>
          <w:spacing w:val="-2"/>
          <w:sz w:val="24"/>
          <w:szCs w:val="24"/>
        </w:rPr>
        <w:t>Cette communication présente un travail de calage théorique et expérimental des courbes de transfert p-y pour des pieux et barrettes chargés transversalement. L’étude s’inscrit dans la continuité des travaux menés par les Laboratoires des Ponts et Chaussées (LPC) et relatés par Frank (1984) et qui sont à l'origine des règles actuelles de calcul des fondations profondes sous charges transversales utilisées en France depuis les années 80. La présente étude vise en particulier à clarifier la validité des règles actuelles lorsqu'elles sont utilisées pour des barrettes de forte inertie ou pour des faibles niveaux de sollicitation.</w:t>
      </w:r>
    </w:p>
    <w:p w14:paraId="5E256445" w14:textId="52FB2D1D" w:rsidR="00B84B6D" w:rsidRPr="00B63E71" w:rsidRDefault="00B84B6D" w:rsidP="00B84B6D">
      <w:pPr>
        <w:pStyle w:val="textofenglishabstract"/>
        <w:spacing w:after="480"/>
        <w:rPr>
          <w:sz w:val="24"/>
          <w:szCs w:val="24"/>
          <w:lang w:val="en-US"/>
        </w:rPr>
      </w:pPr>
      <w:r w:rsidRPr="00B63E71">
        <w:rPr>
          <w:b/>
          <w:sz w:val="24"/>
          <w:szCs w:val="24"/>
        </w:rPr>
        <w:t>ABSTRACT</w:t>
      </w:r>
      <w:r w:rsidRPr="00B63E71">
        <w:rPr>
          <w:sz w:val="24"/>
          <w:szCs w:val="24"/>
        </w:rPr>
        <w:t xml:space="preserve"> </w:t>
      </w:r>
      <w:r w:rsidRPr="00B63E71">
        <w:rPr>
          <w:b/>
          <w:sz w:val="24"/>
          <w:szCs w:val="24"/>
          <w:lang w:val="en-US"/>
        </w:rPr>
        <w:t>–</w:t>
      </w:r>
      <w:r w:rsidRPr="00B63E71">
        <w:rPr>
          <w:sz w:val="24"/>
          <w:szCs w:val="24"/>
          <w:lang w:val="en-US"/>
        </w:rPr>
        <w:t xml:space="preserve"> </w:t>
      </w:r>
      <w:r w:rsidR="006E408D" w:rsidRPr="00B63E71">
        <w:rPr>
          <w:sz w:val="24"/>
          <w:szCs w:val="24"/>
        </w:rPr>
        <w:t xml:space="preserve">This paper presents a numerical and experimental </w:t>
      </w:r>
      <w:proofErr w:type="spellStart"/>
      <w:r w:rsidR="006E408D" w:rsidRPr="00B63E71">
        <w:rPr>
          <w:sz w:val="24"/>
          <w:szCs w:val="24"/>
        </w:rPr>
        <w:t>reevaluation</w:t>
      </w:r>
      <w:proofErr w:type="spellEnd"/>
      <w:r w:rsidR="006E408D" w:rsidRPr="00B63E71">
        <w:rPr>
          <w:sz w:val="24"/>
          <w:szCs w:val="24"/>
        </w:rPr>
        <w:t xml:space="preserve"> of the p-y transfer functions for piles and barrettes subject</w:t>
      </w:r>
      <w:r w:rsidR="0040536D">
        <w:rPr>
          <w:sz w:val="24"/>
          <w:szCs w:val="24"/>
        </w:rPr>
        <w:t>ed</w:t>
      </w:r>
      <w:r w:rsidR="006E408D" w:rsidRPr="00B63E71">
        <w:rPr>
          <w:sz w:val="24"/>
          <w:szCs w:val="24"/>
        </w:rPr>
        <w:t xml:space="preserve"> to lateral load</w:t>
      </w:r>
      <w:r w:rsidR="0040536D">
        <w:rPr>
          <w:sz w:val="24"/>
          <w:szCs w:val="24"/>
        </w:rPr>
        <w:t>ings</w:t>
      </w:r>
      <w:r w:rsidR="006E408D" w:rsidRPr="00B63E71">
        <w:rPr>
          <w:sz w:val="24"/>
          <w:szCs w:val="24"/>
        </w:rPr>
        <w:t xml:space="preserve">. The study follows on the work carried out by the Laboratoire des </w:t>
      </w:r>
      <w:proofErr w:type="spellStart"/>
      <w:r w:rsidR="006E408D" w:rsidRPr="00B63E71">
        <w:rPr>
          <w:sz w:val="24"/>
          <w:szCs w:val="24"/>
        </w:rPr>
        <w:t>Ponts</w:t>
      </w:r>
      <w:proofErr w:type="spellEnd"/>
      <w:r w:rsidR="006E408D" w:rsidRPr="00B63E71">
        <w:rPr>
          <w:sz w:val="24"/>
          <w:szCs w:val="24"/>
        </w:rPr>
        <w:t xml:space="preserve"> et Chaussées (LCPC) and reported by Frank (1984). Their work is at the origin of the current applied rules for calculating deep foundations under lateral loads used in France since the 80s. The present work aims </w:t>
      </w:r>
      <w:r w:rsidR="0040536D">
        <w:rPr>
          <w:sz w:val="24"/>
          <w:szCs w:val="24"/>
        </w:rPr>
        <w:t>at</w:t>
      </w:r>
      <w:r w:rsidR="006E408D" w:rsidRPr="00B63E71">
        <w:rPr>
          <w:sz w:val="24"/>
          <w:szCs w:val="24"/>
        </w:rPr>
        <w:t xml:space="preserve"> </w:t>
      </w:r>
      <w:r w:rsidR="00192D3C" w:rsidRPr="00B63E71">
        <w:rPr>
          <w:sz w:val="24"/>
          <w:szCs w:val="24"/>
          <w:lang w:val="en-US"/>
        </w:rPr>
        <w:t>clarif</w:t>
      </w:r>
      <w:r w:rsidR="0040536D">
        <w:rPr>
          <w:sz w:val="24"/>
          <w:szCs w:val="24"/>
          <w:lang w:val="en-US"/>
        </w:rPr>
        <w:t>ying</w:t>
      </w:r>
      <w:r w:rsidR="00192D3C" w:rsidRPr="00B63E71">
        <w:rPr>
          <w:sz w:val="24"/>
          <w:szCs w:val="24"/>
          <w:lang w:val="en-US"/>
        </w:rPr>
        <w:t xml:space="preserve"> the validity of the current </w:t>
      </w:r>
      <w:r w:rsidR="006E408D" w:rsidRPr="00B63E71">
        <w:rPr>
          <w:sz w:val="24"/>
          <w:szCs w:val="24"/>
          <w:lang w:val="en-US"/>
        </w:rPr>
        <w:t>rules when they are used for high inertia barrettes or for low loading levels.</w:t>
      </w:r>
    </w:p>
    <w:p w14:paraId="5B849191" w14:textId="77777777" w:rsidR="00B84B6D" w:rsidRDefault="00B84B6D" w:rsidP="00B84B6D">
      <w:pPr>
        <w:pStyle w:val="Titre1"/>
      </w:pPr>
      <w:r w:rsidRPr="00CE5B93">
        <w:t>Introduction</w:t>
      </w:r>
    </w:p>
    <w:p w14:paraId="34D95C2C" w14:textId="2B353105" w:rsidR="00531856" w:rsidRPr="00634D6C" w:rsidRDefault="00531856" w:rsidP="00634D6C">
      <w:pPr>
        <w:pStyle w:val="Corpsdetexte12"/>
        <w:rPr>
          <w:rStyle w:val="Corpsdetexte12Car"/>
          <w:iCs/>
        </w:rPr>
      </w:pPr>
      <w:r w:rsidRPr="00634D6C">
        <w:rPr>
          <w:rStyle w:val="Corpsdetexte12Car"/>
          <w:iCs/>
        </w:rPr>
        <w:t>Plusieurs approches de calcul sont utilis</w:t>
      </w:r>
      <w:r w:rsidRPr="00634D6C">
        <w:rPr>
          <w:rStyle w:val="Corpsdetexte12Car"/>
          <w:rFonts w:hint="eastAsia"/>
          <w:iCs/>
        </w:rPr>
        <w:t>é</w:t>
      </w:r>
      <w:r w:rsidRPr="00634D6C">
        <w:rPr>
          <w:rStyle w:val="Corpsdetexte12Car"/>
          <w:iCs/>
        </w:rPr>
        <w:t>es dans la pratique pour le dimensionnement des fondations profondes sous charges transversales : la m</w:t>
      </w:r>
      <w:r w:rsidRPr="00634D6C">
        <w:rPr>
          <w:rStyle w:val="Corpsdetexte12Car"/>
          <w:rFonts w:hint="eastAsia"/>
          <w:iCs/>
        </w:rPr>
        <w:t>é</w:t>
      </w:r>
      <w:r w:rsidRPr="00634D6C">
        <w:rPr>
          <w:rStyle w:val="Corpsdetexte12Car"/>
          <w:iCs/>
        </w:rPr>
        <w:t xml:space="preserve">thode des </w:t>
      </w:r>
      <w:r w:rsidRPr="00634D6C">
        <w:rPr>
          <w:rStyle w:val="Corpsdetexte12Car"/>
          <w:rFonts w:hint="eastAsia"/>
          <w:iCs/>
        </w:rPr>
        <w:t>é</w:t>
      </w:r>
      <w:r w:rsidRPr="00634D6C">
        <w:rPr>
          <w:rStyle w:val="Corpsdetexte12Car"/>
          <w:iCs/>
        </w:rPr>
        <w:t>quilibres limites (d</w:t>
      </w:r>
      <w:r w:rsidRPr="00634D6C">
        <w:rPr>
          <w:rStyle w:val="Corpsdetexte12Car"/>
          <w:rFonts w:hint="eastAsia"/>
          <w:iCs/>
        </w:rPr>
        <w:t>é</w:t>
      </w:r>
      <w:r w:rsidRPr="00634D6C">
        <w:rPr>
          <w:rStyle w:val="Corpsdetexte12Car"/>
          <w:iCs/>
        </w:rPr>
        <w:t>riv</w:t>
      </w:r>
      <w:r w:rsidRPr="00634D6C">
        <w:rPr>
          <w:rStyle w:val="Corpsdetexte12Car"/>
          <w:rFonts w:hint="eastAsia"/>
          <w:iCs/>
        </w:rPr>
        <w:t>é</w:t>
      </w:r>
      <w:r w:rsidRPr="00634D6C">
        <w:rPr>
          <w:rStyle w:val="Corpsdetexte12Car"/>
          <w:iCs/>
        </w:rPr>
        <w:t>e de la th</w:t>
      </w:r>
      <w:r w:rsidRPr="00634D6C">
        <w:rPr>
          <w:rStyle w:val="Corpsdetexte12Car"/>
          <w:rFonts w:hint="eastAsia"/>
          <w:iCs/>
        </w:rPr>
        <w:t>é</w:t>
      </w:r>
      <w:r w:rsidRPr="00634D6C">
        <w:rPr>
          <w:rStyle w:val="Corpsdetexte12Car"/>
          <w:iCs/>
        </w:rPr>
        <w:t>orie classique rigide-plastique), la m</w:t>
      </w:r>
      <w:r w:rsidRPr="00634D6C">
        <w:rPr>
          <w:rStyle w:val="Corpsdetexte12Car"/>
          <w:rFonts w:hint="eastAsia"/>
          <w:iCs/>
        </w:rPr>
        <w:t>é</w:t>
      </w:r>
      <w:r w:rsidRPr="00634D6C">
        <w:rPr>
          <w:rStyle w:val="Corpsdetexte12Car"/>
          <w:iCs/>
        </w:rPr>
        <w:t>thode des courbes de transfert p-y (Frank, 1984), la m</w:t>
      </w:r>
      <w:r w:rsidRPr="00634D6C">
        <w:rPr>
          <w:rStyle w:val="Corpsdetexte12Car"/>
          <w:rFonts w:hint="eastAsia"/>
          <w:iCs/>
        </w:rPr>
        <w:t>é</w:t>
      </w:r>
      <w:r w:rsidRPr="00634D6C">
        <w:rPr>
          <w:rStyle w:val="Corpsdetexte12Car"/>
          <w:iCs/>
        </w:rPr>
        <w:t xml:space="preserve">thode du continuum </w:t>
      </w:r>
      <w:r w:rsidRPr="00634D6C">
        <w:rPr>
          <w:rStyle w:val="Corpsdetexte12Car"/>
          <w:rFonts w:hint="eastAsia"/>
          <w:iCs/>
        </w:rPr>
        <w:t>é</w:t>
      </w:r>
      <w:r w:rsidRPr="00634D6C">
        <w:rPr>
          <w:rStyle w:val="Corpsdetexte12Car"/>
          <w:iCs/>
        </w:rPr>
        <w:t>lastique</w:t>
      </w:r>
      <w:r w:rsidR="00642705">
        <w:rPr>
          <w:rStyle w:val="Corpsdetexte12Car"/>
          <w:iCs/>
        </w:rPr>
        <w:t xml:space="preserve"> </w:t>
      </w:r>
      <w:r w:rsidR="00642705">
        <w:rPr>
          <w:rStyle w:val="Corpsdetexte12Car"/>
          <w:iCs/>
        </w:rPr>
        <w:fldChar w:fldCharType="begin" w:fldLock="1"/>
      </w:r>
      <w:r w:rsidR="00642705">
        <w:rPr>
          <w:rStyle w:val="Corpsdetexte12Car"/>
          <w:iCs/>
        </w:rPr>
        <w:instrText>ADDIN CSL_CITATION {"citationItems":[{"id":"ITEM-1","itemData":{"author":[{"dropping-particle":"","family":"Poulos","given":"H.G.","non-dropping-particle":"","parse-names":false,"suffix":""},{"dropping-particle":"","family":"Davis","given":"E.H.","non-dropping-particle":"","parse-names":false,"suffix":""}],"id":"ITEM-1","issued":{"date-parts":[["1980"]]},"title":"Pile foundation analysis and design","type":"book"},"uris":["http://www.mendeley.com/documents/?uuid=ba84da53-e1f2-4c81-abb6-bdbd3f472742"]}],"mendeley":{"formattedCitation":"(Poulos &amp; Davis, 1980)","plainTextFormattedCitation":"(Poulos &amp; Davis, 1980)","previouslyFormattedCitation":"(Poulos &amp; Davis, 1980)"},"properties":{"noteIndex":0},"schema":"https://github.com/citation-style-language/schema/raw/master/csl-citation.json"}</w:instrText>
      </w:r>
      <w:r w:rsidR="00642705">
        <w:rPr>
          <w:rStyle w:val="Corpsdetexte12Car"/>
          <w:iCs/>
        </w:rPr>
        <w:fldChar w:fldCharType="separate"/>
      </w:r>
      <w:r w:rsidR="00642705" w:rsidRPr="00642705">
        <w:rPr>
          <w:rStyle w:val="Corpsdetexte12Car"/>
          <w:iCs/>
          <w:noProof/>
        </w:rPr>
        <w:t>(Poulos &amp; Davis, 1980)</w:t>
      </w:r>
      <w:r w:rsidR="00642705">
        <w:rPr>
          <w:rStyle w:val="Corpsdetexte12Car"/>
          <w:iCs/>
        </w:rPr>
        <w:fldChar w:fldCharType="end"/>
      </w:r>
      <w:r w:rsidRPr="00634D6C">
        <w:rPr>
          <w:rStyle w:val="Corpsdetexte12Car"/>
          <w:iCs/>
        </w:rPr>
        <w:t xml:space="preserve"> et les m</w:t>
      </w:r>
      <w:r w:rsidRPr="00634D6C">
        <w:rPr>
          <w:rStyle w:val="Corpsdetexte12Car"/>
          <w:rFonts w:hint="eastAsia"/>
          <w:iCs/>
        </w:rPr>
        <w:t>é</w:t>
      </w:r>
      <w:r w:rsidRPr="00634D6C">
        <w:rPr>
          <w:rStyle w:val="Corpsdetexte12Car"/>
          <w:iCs/>
        </w:rPr>
        <w:t>thodes num</w:t>
      </w:r>
      <w:r w:rsidRPr="00634D6C">
        <w:rPr>
          <w:rStyle w:val="Corpsdetexte12Car"/>
          <w:rFonts w:hint="eastAsia"/>
          <w:iCs/>
        </w:rPr>
        <w:t>é</w:t>
      </w:r>
      <w:r w:rsidRPr="00634D6C">
        <w:rPr>
          <w:rStyle w:val="Corpsdetexte12Car"/>
          <w:iCs/>
        </w:rPr>
        <w:t xml:space="preserve">riques </w:t>
      </w:r>
      <w:r w:rsidR="0040536D">
        <w:rPr>
          <w:rStyle w:val="Corpsdetexte12Car"/>
          <w:iCs/>
        </w:rPr>
        <w:t>par</w:t>
      </w:r>
      <w:r w:rsidR="0040536D" w:rsidRPr="00634D6C">
        <w:rPr>
          <w:rStyle w:val="Corpsdetexte12Car"/>
          <w:iCs/>
        </w:rPr>
        <w:t xml:space="preserve"> </w:t>
      </w:r>
      <w:r w:rsidRPr="00634D6C">
        <w:rPr>
          <w:rStyle w:val="Corpsdetexte12Car"/>
          <w:rFonts w:hint="eastAsia"/>
          <w:iCs/>
        </w:rPr>
        <w:t>é</w:t>
      </w:r>
      <w:r w:rsidRPr="00634D6C">
        <w:rPr>
          <w:rStyle w:val="Corpsdetexte12Car"/>
          <w:iCs/>
        </w:rPr>
        <w:t>l</w:t>
      </w:r>
      <w:r w:rsidRPr="00634D6C">
        <w:rPr>
          <w:rStyle w:val="Corpsdetexte12Car"/>
          <w:rFonts w:hint="eastAsia"/>
          <w:iCs/>
        </w:rPr>
        <w:t>é</w:t>
      </w:r>
      <w:r w:rsidRPr="00634D6C">
        <w:rPr>
          <w:rStyle w:val="Corpsdetexte12Car"/>
          <w:iCs/>
        </w:rPr>
        <w:t xml:space="preserve">ments finis ou </w:t>
      </w:r>
      <w:r w:rsidR="0040536D">
        <w:rPr>
          <w:rStyle w:val="Corpsdetexte12Car"/>
          <w:iCs/>
        </w:rPr>
        <w:t>par</w:t>
      </w:r>
      <w:r w:rsidR="0040536D" w:rsidRPr="00634D6C">
        <w:rPr>
          <w:rStyle w:val="Corpsdetexte12Car"/>
          <w:iCs/>
        </w:rPr>
        <w:t xml:space="preserve"> </w:t>
      </w:r>
      <w:r w:rsidRPr="00634D6C">
        <w:rPr>
          <w:rStyle w:val="Corpsdetexte12Car"/>
          <w:iCs/>
        </w:rPr>
        <w:t>diff</w:t>
      </w:r>
      <w:r w:rsidRPr="00634D6C">
        <w:rPr>
          <w:rStyle w:val="Corpsdetexte12Car"/>
          <w:rFonts w:hint="eastAsia"/>
          <w:iCs/>
        </w:rPr>
        <w:t>é</w:t>
      </w:r>
      <w:r w:rsidRPr="00634D6C">
        <w:rPr>
          <w:rStyle w:val="Corpsdetexte12Car"/>
          <w:iCs/>
        </w:rPr>
        <w:t>rences finies</w:t>
      </w:r>
      <w:r w:rsidR="00642705">
        <w:rPr>
          <w:rStyle w:val="Corpsdetexte12Car"/>
          <w:iCs/>
        </w:rPr>
        <w:t xml:space="preserve"> </w:t>
      </w:r>
      <w:r w:rsidR="00642705">
        <w:rPr>
          <w:rStyle w:val="Corpsdetexte12Car"/>
          <w:iCs/>
        </w:rPr>
        <w:fldChar w:fldCharType="begin" w:fldLock="1"/>
      </w:r>
      <w:r w:rsidR="00642705">
        <w:rPr>
          <w:rStyle w:val="Corpsdetexte12Car"/>
          <w:iCs/>
        </w:rPr>
        <w:instrText>ADDIN CSL_CITATION {"citationItems":[{"id":"ITEM-1","itemData":{"author":[{"dropping-particle":"","family":"Hazzar","given":"Lassaad","non-dropping-particle":"","parse-names":false,"suffix":""}],"id":"ITEM-1","issued":{"date-parts":[["2014"]]},"note":"- new, via online research","publisher":"Universiré de Sherbrooke (Québec Canada)","title":"Analyse numérique de la réponse des pieux sous sollicitations latérales","type":"thesis"},"uris":["http://www.mendeley.com/documents/?uuid=7c3057a3-69c8-4031-8b17-2a112e7d0026"]}],"mendeley":{"formattedCitation":"(Hazzar, 2014)","plainTextFormattedCitation":"(Hazzar, 2014)","previouslyFormattedCitation":"(Hazzar, 2014)"},"properties":{"noteIndex":0},"schema":"https://github.com/citation-style-language/schema/raw/master/csl-citation.json"}</w:instrText>
      </w:r>
      <w:r w:rsidR="00642705">
        <w:rPr>
          <w:rStyle w:val="Corpsdetexte12Car"/>
          <w:iCs/>
        </w:rPr>
        <w:fldChar w:fldCharType="separate"/>
      </w:r>
      <w:r w:rsidR="00642705" w:rsidRPr="00642705">
        <w:rPr>
          <w:rStyle w:val="Corpsdetexte12Car"/>
          <w:iCs/>
          <w:noProof/>
        </w:rPr>
        <w:t>(Hazzar, 2014)</w:t>
      </w:r>
      <w:r w:rsidR="00642705">
        <w:rPr>
          <w:rStyle w:val="Corpsdetexte12Car"/>
          <w:iCs/>
        </w:rPr>
        <w:fldChar w:fldCharType="end"/>
      </w:r>
      <w:r w:rsidRPr="00634D6C">
        <w:rPr>
          <w:rStyle w:val="Corpsdetexte12Car"/>
          <w:iCs/>
        </w:rPr>
        <w:t>. L</w:t>
      </w:r>
      <w:r w:rsidRPr="00634D6C">
        <w:rPr>
          <w:rStyle w:val="Corpsdetexte12Car"/>
          <w:rFonts w:hint="eastAsia"/>
          <w:iCs/>
        </w:rPr>
        <w:t>’</w:t>
      </w:r>
      <w:r w:rsidRPr="00634D6C">
        <w:rPr>
          <w:rStyle w:val="Corpsdetexte12Car"/>
          <w:iCs/>
        </w:rPr>
        <w:t>int</w:t>
      </w:r>
      <w:r w:rsidRPr="00634D6C">
        <w:rPr>
          <w:rStyle w:val="Corpsdetexte12Car"/>
          <w:rFonts w:hint="eastAsia"/>
          <w:iCs/>
        </w:rPr>
        <w:t>é</w:t>
      </w:r>
      <w:r w:rsidRPr="00634D6C">
        <w:rPr>
          <w:rStyle w:val="Corpsdetexte12Car"/>
          <w:iCs/>
        </w:rPr>
        <w:t>r</w:t>
      </w:r>
      <w:r w:rsidRPr="00634D6C">
        <w:rPr>
          <w:rStyle w:val="Corpsdetexte12Car"/>
          <w:rFonts w:hint="eastAsia"/>
          <w:iCs/>
        </w:rPr>
        <w:t>ê</w:t>
      </w:r>
      <w:r w:rsidRPr="00634D6C">
        <w:rPr>
          <w:rStyle w:val="Corpsdetexte12Car"/>
          <w:iCs/>
        </w:rPr>
        <w:t>t des trois derni</w:t>
      </w:r>
      <w:r w:rsidRPr="00634D6C">
        <w:rPr>
          <w:rStyle w:val="Corpsdetexte12Car"/>
          <w:rFonts w:hint="eastAsia"/>
          <w:iCs/>
        </w:rPr>
        <w:t>è</w:t>
      </w:r>
      <w:r w:rsidRPr="00634D6C">
        <w:rPr>
          <w:rStyle w:val="Corpsdetexte12Car"/>
          <w:iCs/>
        </w:rPr>
        <w:t>res m</w:t>
      </w:r>
      <w:r w:rsidRPr="00634D6C">
        <w:rPr>
          <w:rStyle w:val="Corpsdetexte12Car"/>
          <w:rFonts w:hint="eastAsia"/>
          <w:iCs/>
        </w:rPr>
        <w:t>é</w:t>
      </w:r>
      <w:r w:rsidRPr="00634D6C">
        <w:rPr>
          <w:rStyle w:val="Corpsdetexte12Car"/>
          <w:iCs/>
        </w:rPr>
        <w:t>thodes pr</w:t>
      </w:r>
      <w:r w:rsidRPr="00634D6C">
        <w:rPr>
          <w:rStyle w:val="Corpsdetexte12Car"/>
          <w:rFonts w:hint="eastAsia"/>
          <w:iCs/>
        </w:rPr>
        <w:t>é</w:t>
      </w:r>
      <w:r w:rsidRPr="00634D6C">
        <w:rPr>
          <w:rStyle w:val="Corpsdetexte12Car"/>
          <w:iCs/>
        </w:rPr>
        <w:t>cit</w:t>
      </w:r>
      <w:r w:rsidRPr="00634D6C">
        <w:rPr>
          <w:rStyle w:val="Corpsdetexte12Car"/>
          <w:rFonts w:hint="eastAsia"/>
          <w:iCs/>
        </w:rPr>
        <w:t>é</w:t>
      </w:r>
      <w:r w:rsidRPr="00634D6C">
        <w:rPr>
          <w:rStyle w:val="Corpsdetexte12Car"/>
          <w:iCs/>
        </w:rPr>
        <w:t>es r</w:t>
      </w:r>
      <w:r w:rsidRPr="00634D6C">
        <w:rPr>
          <w:rStyle w:val="Corpsdetexte12Car"/>
          <w:rFonts w:hint="eastAsia"/>
          <w:iCs/>
        </w:rPr>
        <w:t>é</w:t>
      </w:r>
      <w:r w:rsidRPr="00634D6C">
        <w:rPr>
          <w:rStyle w:val="Corpsdetexte12Car"/>
          <w:iCs/>
        </w:rPr>
        <w:t>side dans leur capacit</w:t>
      </w:r>
      <w:r w:rsidRPr="00634D6C">
        <w:rPr>
          <w:rStyle w:val="Corpsdetexte12Car"/>
          <w:rFonts w:hint="eastAsia"/>
          <w:iCs/>
        </w:rPr>
        <w:t>é</w:t>
      </w:r>
      <w:r w:rsidRPr="00634D6C">
        <w:rPr>
          <w:rStyle w:val="Corpsdetexte12Car"/>
          <w:iCs/>
        </w:rPr>
        <w:t xml:space="preserve"> </w:t>
      </w:r>
      <w:r w:rsidRPr="00634D6C">
        <w:rPr>
          <w:rStyle w:val="Corpsdetexte12Car"/>
          <w:rFonts w:hint="eastAsia"/>
          <w:iCs/>
        </w:rPr>
        <w:t>à</w:t>
      </w:r>
      <w:r w:rsidRPr="00634D6C">
        <w:rPr>
          <w:rStyle w:val="Corpsdetexte12Car"/>
          <w:iCs/>
        </w:rPr>
        <w:t xml:space="preserve"> rendre compte des effets de souplesse relative sol/pieu. La m</w:t>
      </w:r>
      <w:r w:rsidRPr="00634D6C">
        <w:rPr>
          <w:rStyle w:val="Corpsdetexte12Car"/>
          <w:rFonts w:hint="eastAsia"/>
          <w:iCs/>
        </w:rPr>
        <w:t>é</w:t>
      </w:r>
      <w:r w:rsidRPr="00634D6C">
        <w:rPr>
          <w:rStyle w:val="Corpsdetexte12Car"/>
          <w:iCs/>
        </w:rPr>
        <w:t>thode des courbes de transfert p-y, utilis</w:t>
      </w:r>
      <w:r w:rsidRPr="00634D6C">
        <w:rPr>
          <w:rStyle w:val="Corpsdetexte12Car"/>
          <w:rFonts w:hint="eastAsia"/>
          <w:iCs/>
        </w:rPr>
        <w:t>é</w:t>
      </w:r>
      <w:r w:rsidRPr="00634D6C">
        <w:rPr>
          <w:rStyle w:val="Corpsdetexte12Car"/>
          <w:iCs/>
        </w:rPr>
        <w:t>es en France depuis les ann</w:t>
      </w:r>
      <w:r w:rsidRPr="00634D6C">
        <w:rPr>
          <w:rStyle w:val="Corpsdetexte12Car"/>
          <w:rFonts w:hint="eastAsia"/>
          <w:iCs/>
        </w:rPr>
        <w:t>é</w:t>
      </w:r>
      <w:r w:rsidRPr="00634D6C">
        <w:rPr>
          <w:rStyle w:val="Corpsdetexte12Car"/>
          <w:iCs/>
        </w:rPr>
        <w:t>es 80, pr</w:t>
      </w:r>
      <w:r w:rsidRPr="00634D6C">
        <w:rPr>
          <w:rStyle w:val="Corpsdetexte12Car"/>
          <w:rFonts w:hint="eastAsia"/>
          <w:iCs/>
        </w:rPr>
        <w:t>é</w:t>
      </w:r>
      <w:r w:rsidRPr="00634D6C">
        <w:rPr>
          <w:rStyle w:val="Corpsdetexte12Car"/>
          <w:iCs/>
        </w:rPr>
        <w:t>sente de plus l</w:t>
      </w:r>
      <w:r w:rsidRPr="00634D6C">
        <w:rPr>
          <w:rStyle w:val="Corpsdetexte12Car"/>
          <w:rFonts w:hint="eastAsia"/>
          <w:iCs/>
        </w:rPr>
        <w:t>’</w:t>
      </w:r>
      <w:r w:rsidRPr="00634D6C">
        <w:rPr>
          <w:rStyle w:val="Corpsdetexte12Car"/>
          <w:iCs/>
        </w:rPr>
        <w:t>avantage d</w:t>
      </w:r>
      <w:r w:rsidRPr="00634D6C">
        <w:rPr>
          <w:rStyle w:val="Corpsdetexte12Car"/>
          <w:rFonts w:hint="eastAsia"/>
          <w:iCs/>
        </w:rPr>
        <w:t>’ê</w:t>
      </w:r>
      <w:r w:rsidRPr="00634D6C">
        <w:rPr>
          <w:rStyle w:val="Corpsdetexte12Car"/>
          <w:iCs/>
        </w:rPr>
        <w:t>tre compatible avec les applications pratiques de l</w:t>
      </w:r>
      <w:r w:rsidRPr="00634D6C">
        <w:rPr>
          <w:rStyle w:val="Corpsdetexte12Car"/>
          <w:rFonts w:hint="eastAsia"/>
          <w:iCs/>
        </w:rPr>
        <w:t>’</w:t>
      </w:r>
      <w:r w:rsidRPr="00634D6C">
        <w:rPr>
          <w:rStyle w:val="Corpsdetexte12Car"/>
          <w:iCs/>
        </w:rPr>
        <w:t>ing</w:t>
      </w:r>
      <w:r w:rsidRPr="00634D6C">
        <w:rPr>
          <w:rStyle w:val="Corpsdetexte12Car"/>
          <w:rFonts w:hint="eastAsia"/>
          <w:iCs/>
        </w:rPr>
        <w:t>é</w:t>
      </w:r>
      <w:r w:rsidRPr="00634D6C">
        <w:rPr>
          <w:rStyle w:val="Corpsdetexte12Car"/>
          <w:iCs/>
        </w:rPr>
        <w:t>nieur (peu de param</w:t>
      </w:r>
      <w:r w:rsidRPr="00634D6C">
        <w:rPr>
          <w:rStyle w:val="Corpsdetexte12Car"/>
          <w:rFonts w:hint="eastAsia"/>
          <w:iCs/>
        </w:rPr>
        <w:t>è</w:t>
      </w:r>
      <w:r w:rsidRPr="00634D6C">
        <w:rPr>
          <w:rStyle w:val="Corpsdetexte12Car"/>
          <w:iCs/>
        </w:rPr>
        <w:t>tres, simplicit</w:t>
      </w:r>
      <w:r w:rsidRPr="00634D6C">
        <w:rPr>
          <w:rStyle w:val="Corpsdetexte12Car"/>
          <w:rFonts w:hint="eastAsia"/>
          <w:iCs/>
        </w:rPr>
        <w:t>é</w:t>
      </w:r>
      <w:r w:rsidRPr="00634D6C">
        <w:rPr>
          <w:rStyle w:val="Corpsdetexte12Car"/>
          <w:iCs/>
        </w:rPr>
        <w:t xml:space="preserve"> de mise en </w:t>
      </w:r>
      <w:r w:rsidRPr="00634D6C">
        <w:rPr>
          <w:rStyle w:val="Corpsdetexte12Car"/>
          <w:rFonts w:hint="eastAsia"/>
          <w:iCs/>
        </w:rPr>
        <w:t>œ</w:t>
      </w:r>
      <w:r w:rsidRPr="00634D6C">
        <w:rPr>
          <w:rStyle w:val="Corpsdetexte12Car"/>
          <w:iCs/>
        </w:rPr>
        <w:t>uvre, possibilit</w:t>
      </w:r>
      <w:r w:rsidRPr="00634D6C">
        <w:rPr>
          <w:rStyle w:val="Corpsdetexte12Car"/>
          <w:rFonts w:hint="eastAsia"/>
          <w:iCs/>
        </w:rPr>
        <w:t>é</w:t>
      </w:r>
      <w:r w:rsidRPr="00634D6C">
        <w:rPr>
          <w:rStyle w:val="Corpsdetexte12Car"/>
          <w:iCs/>
        </w:rPr>
        <w:t xml:space="preserve"> de traiter ais</w:t>
      </w:r>
      <w:r w:rsidRPr="00634D6C">
        <w:rPr>
          <w:rStyle w:val="Corpsdetexte12Car"/>
          <w:rFonts w:hint="eastAsia"/>
          <w:iCs/>
        </w:rPr>
        <w:t>é</w:t>
      </w:r>
      <w:r w:rsidRPr="00634D6C">
        <w:rPr>
          <w:rStyle w:val="Corpsdetexte12Car"/>
          <w:iCs/>
        </w:rPr>
        <w:t>ment un grand nombre de cas de charge</w:t>
      </w:r>
      <w:r w:rsidR="0040536D">
        <w:rPr>
          <w:rStyle w:val="Corpsdetexte12Car"/>
          <w:iCs/>
        </w:rPr>
        <w:t>,</w:t>
      </w:r>
      <w:r w:rsidRPr="00634D6C">
        <w:rPr>
          <w:rStyle w:val="Corpsdetexte12Car"/>
          <w:iCs/>
        </w:rPr>
        <w:t xml:space="preserve"> etc.). Le succ</w:t>
      </w:r>
      <w:r w:rsidRPr="00634D6C">
        <w:rPr>
          <w:rStyle w:val="Corpsdetexte12Car"/>
          <w:rFonts w:hint="eastAsia"/>
          <w:iCs/>
        </w:rPr>
        <w:t>è</w:t>
      </w:r>
      <w:r w:rsidRPr="00634D6C">
        <w:rPr>
          <w:rStyle w:val="Corpsdetexte12Car"/>
          <w:iCs/>
        </w:rPr>
        <w:t>s de cette m</w:t>
      </w:r>
      <w:r w:rsidRPr="00634D6C">
        <w:rPr>
          <w:rStyle w:val="Corpsdetexte12Car"/>
          <w:rFonts w:hint="eastAsia"/>
          <w:iCs/>
        </w:rPr>
        <w:t>é</w:t>
      </w:r>
      <w:r w:rsidRPr="00634D6C">
        <w:rPr>
          <w:rStyle w:val="Corpsdetexte12Car"/>
          <w:iCs/>
        </w:rPr>
        <w:t>thode en France s</w:t>
      </w:r>
      <w:r w:rsidRPr="00634D6C">
        <w:rPr>
          <w:rStyle w:val="Corpsdetexte12Car"/>
          <w:rFonts w:hint="eastAsia"/>
          <w:iCs/>
        </w:rPr>
        <w:t>’</w:t>
      </w:r>
      <w:r w:rsidRPr="00634D6C">
        <w:rPr>
          <w:rStyle w:val="Corpsdetexte12Car"/>
          <w:iCs/>
        </w:rPr>
        <w:t xml:space="preserve">explique </w:t>
      </w:r>
      <w:r w:rsidRPr="00634D6C">
        <w:rPr>
          <w:rStyle w:val="Corpsdetexte12Car"/>
          <w:rFonts w:hint="eastAsia"/>
          <w:iCs/>
        </w:rPr>
        <w:t>é</w:t>
      </w:r>
      <w:r w:rsidRPr="00634D6C">
        <w:rPr>
          <w:rStyle w:val="Corpsdetexte12Car"/>
          <w:iCs/>
        </w:rPr>
        <w:t>galement par le d</w:t>
      </w:r>
      <w:r w:rsidRPr="00634D6C">
        <w:rPr>
          <w:rStyle w:val="Corpsdetexte12Car"/>
          <w:rFonts w:hint="eastAsia"/>
          <w:iCs/>
        </w:rPr>
        <w:t>é</w:t>
      </w:r>
      <w:r w:rsidRPr="00634D6C">
        <w:rPr>
          <w:rStyle w:val="Corpsdetexte12Car"/>
          <w:iCs/>
        </w:rPr>
        <w:t>veloppement de r</w:t>
      </w:r>
      <w:r w:rsidRPr="00634D6C">
        <w:rPr>
          <w:rStyle w:val="Corpsdetexte12Car"/>
          <w:rFonts w:hint="eastAsia"/>
          <w:iCs/>
        </w:rPr>
        <w:t>è</w:t>
      </w:r>
      <w:r w:rsidRPr="00634D6C">
        <w:rPr>
          <w:rStyle w:val="Corpsdetexte12Car"/>
          <w:iCs/>
        </w:rPr>
        <w:t xml:space="preserve">gles empiriques </w:t>
      </w:r>
      <w:r w:rsidR="00D11AFF">
        <w:rPr>
          <w:rStyle w:val="Corpsdetexte12Car"/>
          <w:iCs/>
        </w:rPr>
        <w:t>simples</w:t>
      </w:r>
      <w:r w:rsidRPr="00634D6C">
        <w:rPr>
          <w:rStyle w:val="Corpsdetexte12Car"/>
          <w:iCs/>
        </w:rPr>
        <w:t xml:space="preserve"> permettant de relier directement les courbes de transfert p-y aux r</w:t>
      </w:r>
      <w:r w:rsidRPr="00634D6C">
        <w:rPr>
          <w:rStyle w:val="Corpsdetexte12Car"/>
          <w:rFonts w:hint="eastAsia"/>
          <w:iCs/>
        </w:rPr>
        <w:t>é</w:t>
      </w:r>
      <w:r w:rsidRPr="00634D6C">
        <w:rPr>
          <w:rStyle w:val="Corpsdetexte12Car"/>
          <w:iCs/>
        </w:rPr>
        <w:t>sultats de l</w:t>
      </w:r>
      <w:r w:rsidRPr="00634D6C">
        <w:rPr>
          <w:rStyle w:val="Corpsdetexte12Car"/>
          <w:rFonts w:hint="eastAsia"/>
          <w:iCs/>
        </w:rPr>
        <w:t>’</w:t>
      </w:r>
      <w:r w:rsidRPr="00634D6C">
        <w:rPr>
          <w:rStyle w:val="Corpsdetexte12Car"/>
          <w:iCs/>
        </w:rPr>
        <w:t>essai pressiom</w:t>
      </w:r>
      <w:r w:rsidRPr="00634D6C">
        <w:rPr>
          <w:rStyle w:val="Corpsdetexte12Car"/>
          <w:rFonts w:hint="eastAsia"/>
          <w:iCs/>
        </w:rPr>
        <w:t>é</w:t>
      </w:r>
      <w:r w:rsidRPr="00634D6C">
        <w:rPr>
          <w:rStyle w:val="Corpsdetexte12Car"/>
          <w:iCs/>
        </w:rPr>
        <w:t>trique de M</w:t>
      </w:r>
      <w:r w:rsidRPr="00634D6C">
        <w:rPr>
          <w:rStyle w:val="Corpsdetexte12Car"/>
          <w:rFonts w:hint="eastAsia"/>
          <w:iCs/>
        </w:rPr>
        <w:t>é</w:t>
      </w:r>
      <w:r w:rsidRPr="00634D6C">
        <w:rPr>
          <w:rStyle w:val="Corpsdetexte12Car"/>
          <w:iCs/>
        </w:rPr>
        <w:t>nard. Le pr</w:t>
      </w:r>
      <w:r w:rsidRPr="00634D6C">
        <w:rPr>
          <w:rStyle w:val="Corpsdetexte12Car"/>
          <w:rFonts w:hint="eastAsia"/>
          <w:iCs/>
        </w:rPr>
        <w:t>é</w:t>
      </w:r>
      <w:r w:rsidRPr="00634D6C">
        <w:rPr>
          <w:rStyle w:val="Corpsdetexte12Car"/>
          <w:iCs/>
        </w:rPr>
        <w:t>sent article expose une r</w:t>
      </w:r>
      <w:r w:rsidRPr="00634D6C">
        <w:rPr>
          <w:rStyle w:val="Corpsdetexte12Car"/>
          <w:rFonts w:hint="eastAsia"/>
          <w:iCs/>
        </w:rPr>
        <w:t>éé</w:t>
      </w:r>
      <w:r w:rsidRPr="00634D6C">
        <w:rPr>
          <w:rStyle w:val="Corpsdetexte12Car"/>
          <w:iCs/>
        </w:rPr>
        <w:t>valuation th</w:t>
      </w:r>
      <w:r w:rsidRPr="00634D6C">
        <w:rPr>
          <w:rStyle w:val="Corpsdetexte12Car"/>
          <w:rFonts w:hint="eastAsia"/>
          <w:iCs/>
        </w:rPr>
        <w:t>é</w:t>
      </w:r>
      <w:r w:rsidRPr="00634D6C">
        <w:rPr>
          <w:rStyle w:val="Corpsdetexte12Car"/>
          <w:iCs/>
        </w:rPr>
        <w:t>orique et exp</w:t>
      </w:r>
      <w:r w:rsidRPr="00634D6C">
        <w:rPr>
          <w:rStyle w:val="Corpsdetexte12Car"/>
          <w:rFonts w:hint="eastAsia"/>
          <w:iCs/>
        </w:rPr>
        <w:t>é</w:t>
      </w:r>
      <w:r w:rsidRPr="00634D6C">
        <w:rPr>
          <w:rStyle w:val="Corpsdetexte12Car"/>
          <w:iCs/>
        </w:rPr>
        <w:t>rimentale desdites courbes de transfert p-y, dans la continuit</w:t>
      </w:r>
      <w:r w:rsidRPr="00634D6C">
        <w:rPr>
          <w:rStyle w:val="Corpsdetexte12Car"/>
          <w:rFonts w:hint="eastAsia"/>
          <w:iCs/>
        </w:rPr>
        <w:t>é</w:t>
      </w:r>
      <w:r w:rsidRPr="00634D6C">
        <w:rPr>
          <w:rStyle w:val="Corpsdetexte12Car"/>
          <w:iCs/>
        </w:rPr>
        <w:t xml:space="preserve"> des travaux men</w:t>
      </w:r>
      <w:r w:rsidRPr="00634D6C">
        <w:rPr>
          <w:rStyle w:val="Corpsdetexte12Car"/>
          <w:rFonts w:hint="eastAsia"/>
          <w:iCs/>
        </w:rPr>
        <w:t>é</w:t>
      </w:r>
      <w:r w:rsidRPr="00634D6C">
        <w:rPr>
          <w:rStyle w:val="Corpsdetexte12Car"/>
          <w:iCs/>
        </w:rPr>
        <w:t>s par les Laboratoires des Ponts et Chauss</w:t>
      </w:r>
      <w:r w:rsidRPr="00634D6C">
        <w:rPr>
          <w:rStyle w:val="Corpsdetexte12Car"/>
          <w:rFonts w:hint="eastAsia"/>
          <w:iCs/>
        </w:rPr>
        <w:t>é</w:t>
      </w:r>
      <w:r w:rsidRPr="00634D6C">
        <w:rPr>
          <w:rStyle w:val="Corpsdetexte12Car"/>
          <w:iCs/>
        </w:rPr>
        <w:t>es (LPC) et relat</w:t>
      </w:r>
      <w:r w:rsidRPr="00634D6C">
        <w:rPr>
          <w:rStyle w:val="Corpsdetexte12Car"/>
          <w:rFonts w:hint="eastAsia"/>
          <w:iCs/>
        </w:rPr>
        <w:t>é</w:t>
      </w:r>
      <w:r w:rsidRPr="00634D6C">
        <w:rPr>
          <w:rStyle w:val="Corpsdetexte12Car"/>
          <w:iCs/>
        </w:rPr>
        <w:t>s par Frank (1984). La partie th</w:t>
      </w:r>
      <w:r w:rsidRPr="00634D6C">
        <w:rPr>
          <w:rStyle w:val="Corpsdetexte12Car"/>
          <w:rFonts w:hint="eastAsia"/>
          <w:iCs/>
        </w:rPr>
        <w:t>é</w:t>
      </w:r>
      <w:r w:rsidRPr="00634D6C">
        <w:rPr>
          <w:rStyle w:val="Corpsdetexte12Car"/>
          <w:iCs/>
        </w:rPr>
        <w:t>orique de l</w:t>
      </w:r>
      <w:r w:rsidRPr="00634D6C">
        <w:rPr>
          <w:rStyle w:val="Corpsdetexte12Car"/>
          <w:rFonts w:hint="eastAsia"/>
          <w:iCs/>
        </w:rPr>
        <w:t>’é</w:t>
      </w:r>
      <w:r w:rsidRPr="00634D6C">
        <w:rPr>
          <w:rStyle w:val="Corpsdetexte12Car"/>
          <w:iCs/>
        </w:rPr>
        <w:t xml:space="preserve">tude vise </w:t>
      </w:r>
      <w:r w:rsidRPr="00634D6C">
        <w:rPr>
          <w:rStyle w:val="Corpsdetexte12Car"/>
          <w:rFonts w:hint="eastAsia"/>
          <w:iCs/>
        </w:rPr>
        <w:t>à</w:t>
      </w:r>
      <w:r w:rsidRPr="00634D6C">
        <w:rPr>
          <w:rStyle w:val="Corpsdetexte12Car"/>
          <w:iCs/>
        </w:rPr>
        <w:t xml:space="preserve"> clarifier la validit</w:t>
      </w:r>
      <w:r w:rsidRPr="00634D6C">
        <w:rPr>
          <w:rStyle w:val="Corpsdetexte12Car"/>
          <w:rFonts w:hint="eastAsia"/>
          <w:iCs/>
        </w:rPr>
        <w:t>é</w:t>
      </w:r>
      <w:r w:rsidRPr="00634D6C">
        <w:rPr>
          <w:rStyle w:val="Corpsdetexte12Car"/>
          <w:iCs/>
        </w:rPr>
        <w:t xml:space="preserve"> des r</w:t>
      </w:r>
      <w:r w:rsidRPr="00634D6C">
        <w:rPr>
          <w:rStyle w:val="Corpsdetexte12Car"/>
          <w:rFonts w:hint="eastAsia"/>
          <w:iCs/>
        </w:rPr>
        <w:t>è</w:t>
      </w:r>
      <w:r w:rsidRPr="00634D6C">
        <w:rPr>
          <w:rStyle w:val="Corpsdetexte12Car"/>
          <w:iCs/>
        </w:rPr>
        <w:t>gles actuelles lorsqu</w:t>
      </w:r>
      <w:r w:rsidRPr="00634D6C">
        <w:rPr>
          <w:rStyle w:val="Corpsdetexte12Car"/>
          <w:rFonts w:hint="eastAsia"/>
          <w:iCs/>
        </w:rPr>
        <w:t>’</w:t>
      </w:r>
      <w:r w:rsidRPr="00634D6C">
        <w:rPr>
          <w:rStyle w:val="Corpsdetexte12Car"/>
          <w:iCs/>
        </w:rPr>
        <w:t>elles sont utilis</w:t>
      </w:r>
      <w:r w:rsidRPr="00634D6C">
        <w:rPr>
          <w:rStyle w:val="Corpsdetexte12Car"/>
          <w:rFonts w:hint="eastAsia"/>
          <w:iCs/>
        </w:rPr>
        <w:t>é</w:t>
      </w:r>
      <w:r w:rsidRPr="00634D6C">
        <w:rPr>
          <w:rStyle w:val="Corpsdetexte12Car"/>
          <w:iCs/>
        </w:rPr>
        <w:t xml:space="preserve">es pour des barrettes </w:t>
      </w:r>
      <w:r w:rsidRPr="00634D6C">
        <w:rPr>
          <w:rStyle w:val="Corpsdetexte12Car"/>
          <w:rFonts w:hint="eastAsia"/>
          <w:iCs/>
        </w:rPr>
        <w:t>à</w:t>
      </w:r>
      <w:r w:rsidRPr="00634D6C">
        <w:rPr>
          <w:rStyle w:val="Corpsdetexte12Car"/>
          <w:iCs/>
        </w:rPr>
        <w:t xml:space="preserve"> forte inertie pour lesquelles se pose, d</w:t>
      </w:r>
      <w:r w:rsidRPr="00634D6C">
        <w:rPr>
          <w:rStyle w:val="Corpsdetexte12Car"/>
          <w:rFonts w:hint="eastAsia"/>
          <w:iCs/>
        </w:rPr>
        <w:t>’</w:t>
      </w:r>
      <w:r w:rsidRPr="00634D6C">
        <w:rPr>
          <w:rStyle w:val="Corpsdetexte12Car"/>
          <w:iCs/>
        </w:rPr>
        <w:t>une part, la question de la mobilisation de la r</w:t>
      </w:r>
      <w:r w:rsidRPr="00634D6C">
        <w:rPr>
          <w:rStyle w:val="Corpsdetexte12Car"/>
          <w:rFonts w:hint="eastAsia"/>
          <w:iCs/>
        </w:rPr>
        <w:t>é</w:t>
      </w:r>
      <w:r w:rsidRPr="00634D6C">
        <w:rPr>
          <w:rStyle w:val="Corpsdetexte12Car"/>
          <w:iCs/>
        </w:rPr>
        <w:t>action en pointe et, d</w:t>
      </w:r>
      <w:r w:rsidRPr="00634D6C">
        <w:rPr>
          <w:rStyle w:val="Corpsdetexte12Car"/>
          <w:rFonts w:hint="eastAsia"/>
          <w:iCs/>
        </w:rPr>
        <w:t>’</w:t>
      </w:r>
      <w:r w:rsidRPr="00634D6C">
        <w:rPr>
          <w:rStyle w:val="Corpsdetexte12Car"/>
          <w:iCs/>
        </w:rPr>
        <w:t>autre part, celle de la contribution relative de la r</w:t>
      </w:r>
      <w:r w:rsidRPr="00634D6C">
        <w:rPr>
          <w:rStyle w:val="Corpsdetexte12Car"/>
          <w:rFonts w:hint="eastAsia"/>
          <w:iCs/>
        </w:rPr>
        <w:t>é</w:t>
      </w:r>
      <w:r w:rsidRPr="00634D6C">
        <w:rPr>
          <w:rStyle w:val="Corpsdetexte12Car"/>
          <w:iCs/>
        </w:rPr>
        <w:t xml:space="preserve">action tangentielle par rapport </w:t>
      </w:r>
      <w:r w:rsidRPr="00634D6C">
        <w:rPr>
          <w:rStyle w:val="Corpsdetexte12Car"/>
          <w:rFonts w:hint="eastAsia"/>
          <w:iCs/>
        </w:rPr>
        <w:t>à</w:t>
      </w:r>
      <w:r w:rsidRPr="00634D6C">
        <w:rPr>
          <w:rStyle w:val="Corpsdetexte12Car"/>
          <w:iCs/>
        </w:rPr>
        <w:t xml:space="preserve"> la r</w:t>
      </w:r>
      <w:r w:rsidRPr="00634D6C">
        <w:rPr>
          <w:rStyle w:val="Corpsdetexte12Car"/>
          <w:rFonts w:hint="eastAsia"/>
          <w:iCs/>
        </w:rPr>
        <w:t>é</w:t>
      </w:r>
      <w:r w:rsidRPr="00634D6C">
        <w:rPr>
          <w:rStyle w:val="Corpsdetexte12Car"/>
          <w:iCs/>
        </w:rPr>
        <w:t>action frontale sur les surfaces lat</w:t>
      </w:r>
      <w:r w:rsidRPr="00634D6C">
        <w:rPr>
          <w:rStyle w:val="Corpsdetexte12Car"/>
          <w:rFonts w:hint="eastAsia"/>
          <w:iCs/>
        </w:rPr>
        <w:t>é</w:t>
      </w:r>
      <w:r w:rsidRPr="00634D6C">
        <w:rPr>
          <w:rStyle w:val="Corpsdetexte12Car"/>
          <w:iCs/>
        </w:rPr>
        <w:t>rales. La partie exp</w:t>
      </w:r>
      <w:r w:rsidRPr="00634D6C">
        <w:rPr>
          <w:rStyle w:val="Corpsdetexte12Car"/>
          <w:rFonts w:hint="eastAsia"/>
          <w:iCs/>
        </w:rPr>
        <w:t>é</w:t>
      </w:r>
      <w:r w:rsidRPr="00634D6C">
        <w:rPr>
          <w:rStyle w:val="Corpsdetexte12Car"/>
          <w:iCs/>
        </w:rPr>
        <w:t>rimentale de l</w:t>
      </w:r>
      <w:r w:rsidRPr="00634D6C">
        <w:rPr>
          <w:rStyle w:val="Corpsdetexte12Car"/>
          <w:rFonts w:hint="eastAsia"/>
          <w:iCs/>
        </w:rPr>
        <w:t>’é</w:t>
      </w:r>
      <w:r w:rsidRPr="00634D6C">
        <w:rPr>
          <w:rStyle w:val="Corpsdetexte12Car"/>
          <w:iCs/>
        </w:rPr>
        <w:t xml:space="preserve">tude vise quant </w:t>
      </w:r>
      <w:r w:rsidRPr="00634D6C">
        <w:rPr>
          <w:rStyle w:val="Corpsdetexte12Car"/>
          <w:rFonts w:hint="eastAsia"/>
          <w:iCs/>
        </w:rPr>
        <w:t>à</w:t>
      </w:r>
      <w:r w:rsidRPr="00634D6C">
        <w:rPr>
          <w:rStyle w:val="Corpsdetexte12Car"/>
          <w:iCs/>
        </w:rPr>
        <w:t xml:space="preserve"> elle, </w:t>
      </w:r>
      <w:r w:rsidRPr="00634D6C">
        <w:rPr>
          <w:rStyle w:val="Corpsdetexte12Car"/>
          <w:rFonts w:hint="eastAsia"/>
          <w:iCs/>
        </w:rPr>
        <w:t>à</w:t>
      </w:r>
      <w:r w:rsidRPr="00634D6C">
        <w:rPr>
          <w:rStyle w:val="Corpsdetexte12Car"/>
          <w:iCs/>
        </w:rPr>
        <w:t xml:space="preserve"> la lumi</w:t>
      </w:r>
      <w:r w:rsidRPr="00634D6C">
        <w:rPr>
          <w:rStyle w:val="Corpsdetexte12Car"/>
          <w:rFonts w:hint="eastAsia"/>
          <w:iCs/>
        </w:rPr>
        <w:t>è</w:t>
      </w:r>
      <w:r w:rsidRPr="00634D6C">
        <w:rPr>
          <w:rStyle w:val="Corpsdetexte12Car"/>
          <w:iCs/>
        </w:rPr>
        <w:t>re d</w:t>
      </w:r>
      <w:r w:rsidRPr="00634D6C">
        <w:rPr>
          <w:rStyle w:val="Corpsdetexte12Car"/>
          <w:rFonts w:hint="eastAsia"/>
          <w:iCs/>
        </w:rPr>
        <w:t>’</w:t>
      </w:r>
      <w:r w:rsidRPr="00634D6C">
        <w:rPr>
          <w:rStyle w:val="Corpsdetexte12Car"/>
          <w:iCs/>
        </w:rPr>
        <w:t xml:space="preserve">essais de chargement en vraie grandeur, </w:t>
      </w:r>
      <w:r w:rsidRPr="00634D6C">
        <w:rPr>
          <w:rStyle w:val="Corpsdetexte12Car"/>
          <w:rFonts w:hint="eastAsia"/>
          <w:iCs/>
        </w:rPr>
        <w:t>à</w:t>
      </w:r>
      <w:r w:rsidRPr="00634D6C">
        <w:rPr>
          <w:rStyle w:val="Corpsdetexte12Car"/>
          <w:iCs/>
        </w:rPr>
        <w:t xml:space="preserve"> </w:t>
      </w:r>
      <w:bookmarkStart w:id="0" w:name="_Hlk94871285"/>
      <w:r w:rsidRPr="00634D6C">
        <w:rPr>
          <w:rStyle w:val="Corpsdetexte12Car"/>
          <w:iCs/>
        </w:rPr>
        <w:t xml:space="preserve">mettre en </w:t>
      </w:r>
      <w:r w:rsidRPr="00634D6C">
        <w:rPr>
          <w:rStyle w:val="Corpsdetexte12Car"/>
          <w:rFonts w:hint="eastAsia"/>
          <w:iCs/>
        </w:rPr>
        <w:t>é</w:t>
      </w:r>
      <w:r w:rsidRPr="00634D6C">
        <w:rPr>
          <w:rStyle w:val="Corpsdetexte12Car"/>
          <w:iCs/>
        </w:rPr>
        <w:t>vidence le caract</w:t>
      </w:r>
      <w:r w:rsidRPr="00634D6C">
        <w:rPr>
          <w:rStyle w:val="Corpsdetexte12Car"/>
          <w:rFonts w:hint="eastAsia"/>
          <w:iCs/>
        </w:rPr>
        <w:t>è</w:t>
      </w:r>
      <w:r w:rsidRPr="00634D6C">
        <w:rPr>
          <w:rStyle w:val="Corpsdetexte12Car"/>
          <w:iCs/>
        </w:rPr>
        <w:t>re conservatif des r</w:t>
      </w:r>
      <w:r w:rsidRPr="00634D6C">
        <w:rPr>
          <w:rStyle w:val="Corpsdetexte12Car"/>
          <w:rFonts w:hint="eastAsia"/>
          <w:iCs/>
        </w:rPr>
        <w:t>è</w:t>
      </w:r>
      <w:r w:rsidRPr="00634D6C">
        <w:rPr>
          <w:rStyle w:val="Corpsdetexte12Car"/>
          <w:iCs/>
        </w:rPr>
        <w:t>gles usuelles lorsqu</w:t>
      </w:r>
      <w:r w:rsidRPr="00634D6C">
        <w:rPr>
          <w:rStyle w:val="Corpsdetexte12Car"/>
          <w:rFonts w:hint="eastAsia"/>
          <w:iCs/>
        </w:rPr>
        <w:t>’</w:t>
      </w:r>
      <w:r w:rsidRPr="00634D6C">
        <w:rPr>
          <w:rStyle w:val="Corpsdetexte12Car"/>
          <w:iCs/>
        </w:rPr>
        <w:t>elles sont utilis</w:t>
      </w:r>
      <w:r w:rsidRPr="00634D6C">
        <w:rPr>
          <w:rStyle w:val="Corpsdetexte12Car"/>
          <w:rFonts w:hint="eastAsia"/>
          <w:iCs/>
        </w:rPr>
        <w:t>é</w:t>
      </w:r>
      <w:r w:rsidRPr="00634D6C">
        <w:rPr>
          <w:rStyle w:val="Corpsdetexte12Car"/>
          <w:iCs/>
        </w:rPr>
        <w:t>es pour des faibles niveaux de sollicitation</w:t>
      </w:r>
      <w:bookmarkEnd w:id="0"/>
      <w:r w:rsidRPr="00634D6C">
        <w:rPr>
          <w:rStyle w:val="Corpsdetexte12Car"/>
          <w:iCs/>
        </w:rPr>
        <w:t>.</w:t>
      </w:r>
    </w:p>
    <w:p w14:paraId="6A22E54F" w14:textId="57C3F698" w:rsidR="00584D0B" w:rsidRDefault="00584D0B">
      <w:pPr>
        <w:spacing w:after="160" w:line="259" w:lineRule="auto"/>
        <w:rPr>
          <w:rFonts w:ascii="Arial" w:hAnsi="Arial"/>
          <w:sz w:val="24"/>
          <w:lang w:eastAsia="x-none"/>
        </w:rPr>
      </w:pPr>
      <w:r>
        <w:br w:type="page"/>
      </w:r>
    </w:p>
    <w:p w14:paraId="0B62D113" w14:textId="5F7C4D81" w:rsidR="00B84B6D" w:rsidRDefault="00E21FB4" w:rsidP="00B84B6D">
      <w:pPr>
        <w:pStyle w:val="Titre1"/>
        <w:rPr>
          <w:lang w:val="fr-FR"/>
        </w:rPr>
      </w:pPr>
      <w:r>
        <w:rPr>
          <w:lang w:val="fr-FR"/>
        </w:rPr>
        <w:lastRenderedPageBreak/>
        <w:t xml:space="preserve">Modèle p-y pour </w:t>
      </w:r>
      <w:r w:rsidR="004D770E">
        <w:rPr>
          <w:lang w:val="fr-FR"/>
        </w:rPr>
        <w:t xml:space="preserve">un </w:t>
      </w:r>
      <w:r>
        <w:rPr>
          <w:lang w:val="fr-FR"/>
        </w:rPr>
        <w:t xml:space="preserve">pieu </w:t>
      </w:r>
      <w:r w:rsidR="004D770E">
        <w:rPr>
          <w:lang w:val="fr-FR"/>
        </w:rPr>
        <w:t xml:space="preserve">de section circulaire </w:t>
      </w:r>
      <w:r>
        <w:rPr>
          <w:lang w:val="fr-FR"/>
        </w:rPr>
        <w:t>sous charge transversale</w:t>
      </w:r>
    </w:p>
    <w:p w14:paraId="1595D500" w14:textId="16744B06" w:rsidR="00CE595C" w:rsidRPr="00CE595C" w:rsidRDefault="00CE595C" w:rsidP="00CE595C">
      <w:pPr>
        <w:pStyle w:val="Titre1"/>
        <w:numPr>
          <w:ilvl w:val="1"/>
          <w:numId w:val="1"/>
        </w:numPr>
        <w:ind w:left="709"/>
        <w:rPr>
          <w:i/>
          <w:iCs/>
        </w:rPr>
      </w:pPr>
      <w:r>
        <w:rPr>
          <w:i/>
          <w:iCs/>
          <w:lang w:val="fr-FR"/>
        </w:rPr>
        <w:t>Principe du modèle</w:t>
      </w:r>
    </w:p>
    <w:p w14:paraId="2E43C929" w14:textId="32A64C0F" w:rsidR="007361AC" w:rsidRDefault="007361AC" w:rsidP="007361AC">
      <w:pPr>
        <w:pStyle w:val="TexteCourant"/>
        <w:ind w:firstLine="0"/>
        <w:rPr>
          <w:rFonts w:ascii="Arial" w:hAnsi="Arial" w:cs="Arial"/>
          <w:sz w:val="24"/>
          <w:szCs w:val="24"/>
        </w:rPr>
      </w:pPr>
      <w:r w:rsidRPr="00006106">
        <w:rPr>
          <w:rFonts w:ascii="Arial" w:hAnsi="Arial" w:cs="Arial"/>
          <w:sz w:val="24"/>
          <w:szCs w:val="24"/>
        </w:rPr>
        <w:t xml:space="preserve">Lorsqu’un pieu est sollicité par un effort </w:t>
      </w:r>
      <w:r>
        <w:rPr>
          <w:rFonts w:ascii="Arial" w:hAnsi="Arial" w:cs="Arial"/>
          <w:sz w:val="24"/>
          <w:szCs w:val="24"/>
        </w:rPr>
        <w:t xml:space="preserve">transversal </w:t>
      </w:r>
      <w:r w:rsidR="00C14FC7">
        <w:rPr>
          <w:rFonts w:ascii="Arial" w:hAnsi="Arial" w:cs="Arial"/>
          <w:sz w:val="24"/>
          <w:szCs w:val="24"/>
        </w:rPr>
        <w:t>H</w:t>
      </w:r>
      <w:r>
        <w:rPr>
          <w:rFonts w:ascii="Arial" w:hAnsi="Arial" w:cs="Arial"/>
          <w:sz w:val="24"/>
          <w:szCs w:val="24"/>
        </w:rPr>
        <w:t xml:space="preserve"> </w:t>
      </w:r>
      <w:r w:rsidRPr="00006106">
        <w:rPr>
          <w:rFonts w:ascii="Arial" w:hAnsi="Arial" w:cs="Arial"/>
          <w:sz w:val="24"/>
          <w:szCs w:val="24"/>
        </w:rPr>
        <w:t>et/ou un moment</w:t>
      </w:r>
      <w:r>
        <w:rPr>
          <w:rFonts w:ascii="Arial" w:hAnsi="Arial" w:cs="Arial"/>
          <w:sz w:val="24"/>
          <w:szCs w:val="24"/>
        </w:rPr>
        <w:t xml:space="preserve"> M</w:t>
      </w:r>
      <w:r w:rsidRPr="00006106">
        <w:rPr>
          <w:rFonts w:ascii="Arial" w:hAnsi="Arial" w:cs="Arial"/>
          <w:sz w:val="24"/>
          <w:szCs w:val="24"/>
        </w:rPr>
        <w:t xml:space="preserve"> en tête, sa stabilité est assurée par la mobilisation des efforts de réaction transversale du sol sur le fût du pieu</w:t>
      </w:r>
      <w:r>
        <w:rPr>
          <w:rFonts w:ascii="Arial" w:hAnsi="Arial" w:cs="Arial"/>
          <w:sz w:val="24"/>
          <w:szCs w:val="24"/>
        </w:rPr>
        <w:t xml:space="preserve">. En un point donné, la réaction frontale (linéique) du sol P est fonction du déplacement y. La courbe P(y) est </w:t>
      </w:r>
      <w:proofErr w:type="gramStart"/>
      <w:r>
        <w:rPr>
          <w:rFonts w:ascii="Arial" w:hAnsi="Arial" w:cs="Arial"/>
          <w:sz w:val="24"/>
          <w:szCs w:val="24"/>
        </w:rPr>
        <w:t>appelée</w:t>
      </w:r>
      <w:proofErr w:type="gramEnd"/>
      <w:r>
        <w:rPr>
          <w:rFonts w:ascii="Arial" w:hAnsi="Arial" w:cs="Arial"/>
          <w:sz w:val="24"/>
          <w:szCs w:val="24"/>
        </w:rPr>
        <w:t xml:space="preserve"> courbe de réaction du sol. On définit le module de réaction E</w:t>
      </w:r>
      <w:r>
        <w:rPr>
          <w:rFonts w:ascii="Arial" w:hAnsi="Arial" w:cs="Arial"/>
          <w:sz w:val="24"/>
          <w:szCs w:val="24"/>
          <w:vertAlign w:val="subscript"/>
        </w:rPr>
        <w:t>s</w:t>
      </w:r>
      <w:r>
        <w:rPr>
          <w:rFonts w:ascii="Arial" w:hAnsi="Arial" w:cs="Arial"/>
          <w:sz w:val="24"/>
          <w:szCs w:val="24"/>
        </w:rPr>
        <w:t>(y) comme le rapport P/y en un point donné. La méthode des courbes de transfert exploite cette notion de courbe de réaction en assimilant le sol en interaction avec</w:t>
      </w:r>
      <w:r w:rsidR="00DB488F">
        <w:rPr>
          <w:rFonts w:ascii="Arial" w:hAnsi="Arial" w:cs="Arial"/>
          <w:sz w:val="24"/>
          <w:szCs w:val="24"/>
        </w:rPr>
        <w:t xml:space="preserve"> le</w:t>
      </w:r>
      <w:r>
        <w:rPr>
          <w:rFonts w:ascii="Arial" w:hAnsi="Arial" w:cs="Arial"/>
          <w:sz w:val="24"/>
          <w:szCs w:val="24"/>
        </w:rPr>
        <w:t xml:space="preserve"> pieu à une série de ressorts transversaux non-linéaires de raideur E</w:t>
      </w:r>
      <w:r>
        <w:rPr>
          <w:rFonts w:ascii="Arial" w:hAnsi="Arial" w:cs="Arial"/>
          <w:sz w:val="24"/>
          <w:szCs w:val="24"/>
          <w:vertAlign w:val="subscript"/>
        </w:rPr>
        <w:t>s</w:t>
      </w:r>
      <w:r w:rsidR="00EB5262">
        <w:rPr>
          <w:rFonts w:ascii="Arial" w:hAnsi="Arial" w:cs="Arial"/>
          <w:sz w:val="24"/>
          <w:szCs w:val="24"/>
        </w:rPr>
        <w:t xml:space="preserve"> (Figure 1)</w:t>
      </w:r>
      <w:r>
        <w:rPr>
          <w:rFonts w:ascii="Arial" w:hAnsi="Arial" w:cs="Arial"/>
          <w:sz w:val="24"/>
          <w:szCs w:val="24"/>
        </w:rPr>
        <w:t>.</w:t>
      </w:r>
      <w:r w:rsidR="00A159D5">
        <w:rPr>
          <w:rFonts w:ascii="Arial" w:hAnsi="Arial" w:cs="Arial"/>
          <w:sz w:val="24"/>
          <w:szCs w:val="24"/>
        </w:rPr>
        <w:t xml:space="preserve"> Le pieu </w:t>
      </w:r>
      <w:r w:rsidR="0040536D">
        <w:rPr>
          <w:rFonts w:ascii="Arial" w:hAnsi="Arial" w:cs="Arial"/>
          <w:sz w:val="24"/>
          <w:szCs w:val="24"/>
        </w:rPr>
        <w:t>est</w:t>
      </w:r>
      <w:r w:rsidR="00252792">
        <w:rPr>
          <w:rFonts w:ascii="Arial" w:hAnsi="Arial" w:cs="Arial"/>
          <w:sz w:val="24"/>
          <w:szCs w:val="24"/>
        </w:rPr>
        <w:t xml:space="preserve"> </w:t>
      </w:r>
      <w:r w:rsidR="00A159D5">
        <w:rPr>
          <w:rFonts w:ascii="Arial" w:hAnsi="Arial" w:cs="Arial"/>
          <w:sz w:val="24"/>
          <w:szCs w:val="24"/>
        </w:rPr>
        <w:t xml:space="preserve">assimilé à une poutre (mince ou épaisse) travaillant en flexion-cisaillement et caractérisée par un produit d’inertie </w:t>
      </w:r>
      <w:proofErr w:type="spellStart"/>
      <w:r w:rsidR="007301D7">
        <w:rPr>
          <w:rFonts w:ascii="Arial" w:hAnsi="Arial" w:cs="Arial"/>
          <w:sz w:val="24"/>
          <w:szCs w:val="24"/>
        </w:rPr>
        <w:t>E</w:t>
      </w:r>
      <w:r w:rsidR="007301D7">
        <w:rPr>
          <w:rFonts w:ascii="Arial" w:hAnsi="Arial" w:cs="Arial"/>
          <w:sz w:val="24"/>
          <w:szCs w:val="24"/>
          <w:vertAlign w:val="subscript"/>
        </w:rPr>
        <w:t>p</w:t>
      </w:r>
      <w:r w:rsidR="007301D7">
        <w:rPr>
          <w:rFonts w:ascii="Arial" w:hAnsi="Arial" w:cs="Arial"/>
          <w:sz w:val="24"/>
          <w:szCs w:val="24"/>
        </w:rPr>
        <w:t>I</w:t>
      </w:r>
      <w:r w:rsidR="007301D7">
        <w:rPr>
          <w:rFonts w:ascii="Arial" w:hAnsi="Arial" w:cs="Arial"/>
          <w:sz w:val="24"/>
          <w:szCs w:val="24"/>
          <w:vertAlign w:val="subscript"/>
        </w:rPr>
        <w:t>p</w:t>
      </w:r>
      <w:proofErr w:type="spellEnd"/>
      <w:r w:rsidR="00937374">
        <w:rPr>
          <w:rFonts w:ascii="Arial" w:hAnsi="Arial" w:cs="Arial"/>
          <w:sz w:val="24"/>
          <w:szCs w:val="24"/>
        </w:rPr>
        <w:t xml:space="preserve"> (</w:t>
      </w:r>
      <w:r w:rsidR="00A159D5">
        <w:rPr>
          <w:rFonts w:ascii="Arial" w:hAnsi="Arial" w:cs="Arial"/>
          <w:sz w:val="24"/>
          <w:szCs w:val="24"/>
        </w:rPr>
        <w:t xml:space="preserve">et éventuellement une rigidité au cisaillement </w:t>
      </w:r>
      <w:proofErr w:type="spellStart"/>
      <w:r w:rsidR="00A159D5">
        <w:rPr>
          <w:rFonts w:ascii="Arial" w:hAnsi="Arial" w:cs="Arial"/>
          <w:sz w:val="24"/>
          <w:szCs w:val="24"/>
        </w:rPr>
        <w:t>G</w:t>
      </w:r>
      <w:r w:rsidR="007301D7">
        <w:rPr>
          <w:rFonts w:ascii="Arial" w:hAnsi="Arial" w:cs="Arial"/>
          <w:sz w:val="24"/>
          <w:szCs w:val="24"/>
          <w:vertAlign w:val="subscript"/>
        </w:rPr>
        <w:t>p</w:t>
      </w:r>
      <w:r w:rsidR="00A159D5">
        <w:rPr>
          <w:rFonts w:ascii="Arial" w:hAnsi="Arial" w:cs="Arial"/>
          <w:sz w:val="24"/>
          <w:szCs w:val="24"/>
        </w:rPr>
        <w:t>S</w:t>
      </w:r>
      <w:r w:rsidR="007301D7">
        <w:rPr>
          <w:rFonts w:ascii="Arial" w:hAnsi="Arial" w:cs="Arial"/>
          <w:sz w:val="24"/>
          <w:szCs w:val="24"/>
          <w:vertAlign w:val="subscript"/>
        </w:rPr>
        <w:t>p</w:t>
      </w:r>
      <w:proofErr w:type="spellEnd"/>
      <w:r w:rsidR="007301D7">
        <w:rPr>
          <w:rFonts w:ascii="Arial" w:hAnsi="Arial" w:cs="Arial"/>
          <w:sz w:val="24"/>
          <w:szCs w:val="24"/>
          <w:vertAlign w:val="superscript"/>
        </w:rPr>
        <w:t>’</w:t>
      </w:r>
      <w:r w:rsidR="00937374">
        <w:rPr>
          <w:rFonts w:ascii="Arial" w:hAnsi="Arial" w:cs="Arial"/>
          <w:sz w:val="24"/>
          <w:szCs w:val="24"/>
        </w:rPr>
        <w:t>)</w:t>
      </w:r>
      <w:r w:rsidR="00A159D5">
        <w:rPr>
          <w:rFonts w:ascii="Arial" w:hAnsi="Arial" w:cs="Arial"/>
          <w:sz w:val="24"/>
          <w:szCs w:val="24"/>
        </w:rPr>
        <w:t>.</w:t>
      </w:r>
      <w:r w:rsidR="00C14FC7">
        <w:rPr>
          <w:rFonts w:ascii="Arial" w:hAnsi="Arial" w:cs="Arial"/>
          <w:sz w:val="24"/>
          <w:szCs w:val="24"/>
        </w:rPr>
        <w:t xml:space="preserve"> </w:t>
      </w:r>
    </w:p>
    <w:p w14:paraId="0091798B" w14:textId="42AEF4E2" w:rsidR="00487BC4" w:rsidRDefault="00102334" w:rsidP="00487BC4">
      <w:pPr>
        <w:pStyle w:val="TexteCourant"/>
        <w:keepNext/>
        <w:ind w:firstLine="0"/>
        <w:jc w:val="center"/>
      </w:pPr>
      <w:r w:rsidRPr="00102334">
        <w:rPr>
          <w:noProof/>
        </w:rPr>
        <w:drawing>
          <wp:inline distT="0" distB="0" distL="0" distR="0" wp14:anchorId="4CF56A67" wp14:editId="58E333DD">
            <wp:extent cx="5945090" cy="2479853"/>
            <wp:effectExtent l="0" t="0" r="0" b="0"/>
            <wp:docPr id="9" name="Image 15" descr="Une image contenant texte&#10;&#10;Description générée automatiquement">
              <a:extLst xmlns:a="http://schemas.openxmlformats.org/drawingml/2006/main">
                <a:ext uri="{FF2B5EF4-FFF2-40B4-BE49-F238E27FC236}">
                  <a16:creationId xmlns:a16="http://schemas.microsoft.com/office/drawing/2014/main" id="{2D15DD44-3929-4EA4-9587-DA1D7F06E6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5" descr="Une image contenant texte&#10;&#10;Description générée automatiquement">
                      <a:extLst>
                        <a:ext uri="{FF2B5EF4-FFF2-40B4-BE49-F238E27FC236}">
                          <a16:creationId xmlns:a16="http://schemas.microsoft.com/office/drawing/2014/main" id="{2D15DD44-3929-4EA4-9587-DA1D7F06E692}"/>
                        </a:ext>
                      </a:extLst>
                    </pic:cNvPr>
                    <pic:cNvPicPr>
                      <a:picLocks noChangeAspect="1"/>
                    </pic:cNvPicPr>
                  </pic:nvPicPr>
                  <pic:blipFill>
                    <a:blip r:embed="rId8"/>
                    <a:stretch>
                      <a:fillRect/>
                    </a:stretch>
                  </pic:blipFill>
                  <pic:spPr>
                    <a:xfrm>
                      <a:off x="0" y="0"/>
                      <a:ext cx="5995436" cy="2500854"/>
                    </a:xfrm>
                    <a:prstGeom prst="rect">
                      <a:avLst/>
                    </a:prstGeom>
                  </pic:spPr>
                </pic:pic>
              </a:graphicData>
            </a:graphic>
          </wp:inline>
        </w:drawing>
      </w:r>
    </w:p>
    <w:p w14:paraId="2D543987" w14:textId="674AE035" w:rsidR="00487BC4" w:rsidRPr="00412A0F" w:rsidRDefault="00487BC4" w:rsidP="00AD4A54">
      <w:pPr>
        <w:pStyle w:val="Legendefigure"/>
        <w:rPr>
          <w:rFonts w:ascii="Arial" w:hAnsi="Arial" w:cs="Arial"/>
          <w:i w:val="0"/>
          <w:iCs/>
        </w:rPr>
      </w:pPr>
      <w:r w:rsidRPr="00412A0F">
        <w:rPr>
          <w:rFonts w:ascii="Arial" w:hAnsi="Arial" w:cs="Arial"/>
          <w:i w:val="0"/>
          <w:iCs/>
        </w:rPr>
        <w:t>Principe du modèle p-y</w:t>
      </w:r>
    </w:p>
    <w:p w14:paraId="61327F2A" w14:textId="3A5C19CC" w:rsidR="00AD22A5" w:rsidRPr="00CE595C" w:rsidRDefault="00AD22A5" w:rsidP="00AD22A5">
      <w:pPr>
        <w:pStyle w:val="Titre1"/>
        <w:numPr>
          <w:ilvl w:val="1"/>
          <w:numId w:val="1"/>
        </w:numPr>
        <w:ind w:left="709"/>
        <w:rPr>
          <w:i/>
          <w:iCs/>
        </w:rPr>
      </w:pPr>
      <w:r>
        <w:rPr>
          <w:i/>
          <w:iCs/>
          <w:lang w:val="fr-FR"/>
        </w:rPr>
        <w:t>Evaluation du module de réaction E</w:t>
      </w:r>
      <w:r>
        <w:rPr>
          <w:i/>
          <w:iCs/>
          <w:vertAlign w:val="subscript"/>
          <w:lang w:val="fr-FR"/>
        </w:rPr>
        <w:t>s</w:t>
      </w:r>
      <w:r>
        <w:rPr>
          <w:i/>
          <w:iCs/>
          <w:lang w:val="fr-FR"/>
        </w:rPr>
        <w:t xml:space="preserve"> à partir des résultats d’essais in situ</w:t>
      </w:r>
    </w:p>
    <w:p w14:paraId="65BAA208" w14:textId="3071B370" w:rsidR="008961D9" w:rsidRDefault="00C14FC7" w:rsidP="00C14FC7">
      <w:pPr>
        <w:pStyle w:val="Corpsdetexte12retrait5mm"/>
        <w:ind w:firstLine="0"/>
      </w:pPr>
      <w:r>
        <w:t>Dans la</w:t>
      </w:r>
      <w:r w:rsidR="009569CE">
        <w:t xml:space="preserve"> norme d’application de l’Eurocode 7 pour les fondations profondes (NF P 94 262), le module de réaction E</w:t>
      </w:r>
      <w:r w:rsidR="009569CE">
        <w:rPr>
          <w:vertAlign w:val="subscript"/>
        </w:rPr>
        <w:t>s</w:t>
      </w:r>
      <w:r w:rsidR="009569CE">
        <w:t xml:space="preserve"> </w:t>
      </w:r>
      <w:proofErr w:type="gramStart"/>
      <w:r w:rsidR="009569CE">
        <w:t>peut être</w:t>
      </w:r>
      <w:proofErr w:type="gramEnd"/>
      <w:r w:rsidR="009569CE">
        <w:t xml:space="preserve"> </w:t>
      </w:r>
      <w:r w:rsidR="004E225C">
        <w:t xml:space="preserve">relié empiriquement aux résultats d’essais in situ tels le pressiomètre (PMT) ou le pénétromètre statique (CPT). Par exemple, pour un calcul sous sollicitations de longue durée en tête, on a : </w:t>
      </w:r>
    </w:p>
    <w:p w14:paraId="1124E43E" w14:textId="77777777" w:rsidR="00EA7376" w:rsidRDefault="004E225C" w:rsidP="00EA7376">
      <w:pPr>
        <w:pStyle w:val="Corpsdetexte12retrait5mm"/>
        <w:numPr>
          <w:ilvl w:val="0"/>
          <w:numId w:val="9"/>
        </w:numPr>
      </w:pPr>
      <w:proofErr w:type="gramStart"/>
      <w:r>
        <w:t>à</w:t>
      </w:r>
      <w:proofErr w:type="gramEnd"/>
      <w:r>
        <w:t xml:space="preserve"> partir d’essais PMT </w:t>
      </w:r>
      <w:r w:rsidR="00D137CB">
        <w:tab/>
      </w:r>
      <w:r w:rsidR="008961D9">
        <w:t>E</w:t>
      </w:r>
      <w:r w:rsidR="008961D9">
        <w:rPr>
          <w:vertAlign w:val="subscript"/>
        </w:rPr>
        <w:t>s</w:t>
      </w:r>
      <w:r w:rsidR="008961D9">
        <w:t xml:space="preserve"> </w:t>
      </w:r>
      <w:r w:rsidR="00F04175">
        <w:t>~</w:t>
      </w:r>
      <w:r w:rsidR="008961D9">
        <w:t xml:space="preserve"> 2 à 4 E</w:t>
      </w:r>
      <w:r w:rsidR="008961D9">
        <w:rPr>
          <w:vertAlign w:val="subscript"/>
        </w:rPr>
        <w:t>M</w:t>
      </w:r>
      <w:r w:rsidR="00F04175">
        <w:t xml:space="preserve"> </w:t>
      </w:r>
      <w:r w:rsidR="00D758DC">
        <w:tab/>
      </w:r>
    </w:p>
    <w:p w14:paraId="13367954" w14:textId="17A7884E" w:rsidR="008961D9" w:rsidRDefault="004E225C" w:rsidP="00EA7376">
      <w:pPr>
        <w:pStyle w:val="Corpsdetexte12retrait5mm"/>
        <w:numPr>
          <w:ilvl w:val="0"/>
          <w:numId w:val="9"/>
        </w:numPr>
      </w:pPr>
      <w:proofErr w:type="gramStart"/>
      <w:r>
        <w:t>à</w:t>
      </w:r>
      <w:proofErr w:type="gramEnd"/>
      <w:r>
        <w:t xml:space="preserve"> partir d’essais CPT</w:t>
      </w:r>
      <w:r w:rsidR="00D758DC">
        <w:tab/>
      </w:r>
      <w:r w:rsidR="008961D9">
        <w:t>E</w:t>
      </w:r>
      <w:r w:rsidR="008961D9" w:rsidRPr="00EA7376">
        <w:rPr>
          <w:vertAlign w:val="subscript"/>
        </w:rPr>
        <w:t>s</w:t>
      </w:r>
      <w:r w:rsidR="008961D9">
        <w:t xml:space="preserve"> </w:t>
      </w:r>
      <w:r w:rsidR="00F04175">
        <w:t>~</w:t>
      </w:r>
      <w:r w:rsidR="008961D9">
        <w:t xml:space="preserve"> 2 à </w:t>
      </w:r>
      <w:r w:rsidR="00F04175">
        <w:t>6</w:t>
      </w:r>
      <w:r w:rsidR="008961D9">
        <w:t xml:space="preserve"> </w:t>
      </w:r>
      <w:proofErr w:type="spellStart"/>
      <w:r w:rsidR="00F04175">
        <w:t>q</w:t>
      </w:r>
      <w:r w:rsidR="00F04175" w:rsidRPr="00EA7376">
        <w:rPr>
          <w:vertAlign w:val="subscript"/>
        </w:rPr>
        <w:t>c</w:t>
      </w:r>
      <w:proofErr w:type="spellEnd"/>
    </w:p>
    <w:p w14:paraId="15B15F70" w14:textId="6E20D626" w:rsidR="00CE595C" w:rsidRPr="00CE595C" w:rsidRDefault="004764D3" w:rsidP="00CE595C">
      <w:pPr>
        <w:pStyle w:val="Titre1"/>
        <w:numPr>
          <w:ilvl w:val="1"/>
          <w:numId w:val="1"/>
        </w:numPr>
        <w:ind w:left="709"/>
        <w:rPr>
          <w:i/>
          <w:iCs/>
        </w:rPr>
      </w:pPr>
      <w:r>
        <w:rPr>
          <w:i/>
          <w:iCs/>
          <w:lang w:val="fr-FR"/>
        </w:rPr>
        <w:t>Evaluation du rapport E</w:t>
      </w:r>
      <w:r>
        <w:rPr>
          <w:i/>
          <w:iCs/>
          <w:vertAlign w:val="subscript"/>
          <w:lang w:val="fr-FR"/>
        </w:rPr>
        <w:t>s</w:t>
      </w:r>
      <w:r>
        <w:rPr>
          <w:i/>
          <w:iCs/>
          <w:lang w:val="fr-FR"/>
        </w:rPr>
        <w:t>/E en lien avec la théorie de l’élasticité</w:t>
      </w:r>
    </w:p>
    <w:p w14:paraId="18633025" w14:textId="23EE8D5C" w:rsidR="00EA7376" w:rsidRDefault="004E225C" w:rsidP="00001354">
      <w:pPr>
        <w:pStyle w:val="Corpsdetexte12retrait5mm"/>
        <w:ind w:firstLine="0"/>
      </w:pPr>
      <w:r>
        <w:t xml:space="preserve">Comme évoqué en introduction, des études théoriques ont été menées au sein des LCPC </w:t>
      </w:r>
      <w:r w:rsidR="00EA7376">
        <w:t xml:space="preserve">au début des années 80 </w:t>
      </w:r>
      <w:r>
        <w:t>pour estimer le module de réaction à partir du module d’élasticité E (ou le module de cisaillement G)</w:t>
      </w:r>
      <w:r w:rsidR="00953BC9">
        <w:t xml:space="preserve"> </w:t>
      </w:r>
      <w:r w:rsidR="00953BC9">
        <w:fldChar w:fldCharType="begin" w:fldLock="1"/>
      </w:r>
      <w:r w:rsidR="00953BC9">
        <w:instrText>ADDIN CSL_CITATION {"citationItems":[{"id":"ITEM-1","itemData":{"author":[{"dropping-particle":"","family":"Baguelin","given":"François","non-dropping-particle":"","parse-names":false,"suffix":""},{"dropping-particle":"","family":"Carayannacou-Trézos","given":"Stéphania","non-dropping-particle":"","parse-names":false,"suffix":""},{"dropping-particle":"","family":"Frank","given":"Roger","non-dropping-particle":"","parse-names":false,"suffix":""}],"container-title":"Bull. liaison Labo P. et Ch.","id":"ITEM-1","issued":{"date-parts":[["1979"]]},"note":"étude 2D, 3D + effet forme barrette (P_tang contre P_front)","page":"33-47","title":"Réaction latérale des pieux: effets de forme et effets tridimensionnels","type":"article-journal","volume":"104"},"uris":["http://www.mendeley.com/documents/?uuid=60bd1f15-636c-4042-880a-1b9700ce631c"]}],"mendeley":{"formattedCitation":"(Baguelin et al., 1979)","plainTextFormattedCitation":"(Baguelin et al., 1979)"},"properties":{"noteIndex":0},"schema":"https://github.com/citation-style-language/schema/raw/master/csl-citation.json"}</w:instrText>
      </w:r>
      <w:r w:rsidR="00953BC9">
        <w:fldChar w:fldCharType="separate"/>
      </w:r>
      <w:r w:rsidR="00953BC9" w:rsidRPr="00953BC9">
        <w:rPr>
          <w:noProof/>
        </w:rPr>
        <w:t>(Baguelin et al., 1979)</w:t>
      </w:r>
      <w:r w:rsidR="00953BC9">
        <w:fldChar w:fldCharType="end"/>
      </w:r>
      <w:r>
        <w:t xml:space="preserve">. </w:t>
      </w:r>
      <w:r w:rsidR="00156813">
        <w:t xml:space="preserve">Le principe </w:t>
      </w:r>
      <w:r w:rsidR="00EA7376">
        <w:t>de ces études</w:t>
      </w:r>
      <w:r w:rsidR="00156813">
        <w:t xml:space="preserve"> consiste à rechercher </w:t>
      </w:r>
      <w:r>
        <w:t>le rapport E</w:t>
      </w:r>
      <w:r w:rsidRPr="004E225C">
        <w:rPr>
          <w:vertAlign w:val="subscript"/>
        </w:rPr>
        <w:t>s</w:t>
      </w:r>
      <w:r>
        <w:t xml:space="preserve">/E permettant d’obtenir l’égalité </w:t>
      </w:r>
      <w:r w:rsidR="00070C51">
        <w:t>des déplacements en tête</w:t>
      </w:r>
      <w:r>
        <w:t xml:space="preserve"> d</w:t>
      </w:r>
      <w:r w:rsidR="006D4FF4">
        <w:t xml:space="preserve">u pieu </w:t>
      </w:r>
      <w:r w:rsidR="00E3393E">
        <w:t xml:space="preserve">entre deux modélisations : </w:t>
      </w:r>
    </w:p>
    <w:p w14:paraId="0B10ABD6" w14:textId="77777777" w:rsidR="00EA7376" w:rsidRDefault="00EA7376" w:rsidP="00EA7376">
      <w:pPr>
        <w:pStyle w:val="Corpsdetexte12retrait5mm"/>
        <w:numPr>
          <w:ilvl w:val="0"/>
          <w:numId w:val="8"/>
        </w:numPr>
      </w:pPr>
      <w:r>
        <w:t>M</w:t>
      </w:r>
      <w:r w:rsidR="00E3393E">
        <w:t>odèle p-y où le pieu</w:t>
      </w:r>
      <w:r>
        <w:t>, libre en pointe,</w:t>
      </w:r>
      <w:r w:rsidR="00E3393E">
        <w:t xml:space="preserve"> est en interaction avec des ressorts élastiques homogènes de raideur E</w:t>
      </w:r>
      <w:r w:rsidR="00E3393E">
        <w:rPr>
          <w:vertAlign w:val="subscript"/>
        </w:rPr>
        <w:t>s</w:t>
      </w:r>
      <w:r>
        <w:t> ;</w:t>
      </w:r>
    </w:p>
    <w:p w14:paraId="2A03B077" w14:textId="6273F1CC" w:rsidR="00EA7376" w:rsidRDefault="00EA7376" w:rsidP="00EA7376">
      <w:pPr>
        <w:pStyle w:val="Corpsdetexte12retrait5mm"/>
        <w:numPr>
          <w:ilvl w:val="0"/>
          <w:numId w:val="8"/>
        </w:numPr>
      </w:pPr>
      <w:r>
        <w:t>M</w:t>
      </w:r>
      <w:r w:rsidR="00E3393E">
        <w:t>odèle éléments finis 3D où le pieu est en interaction avec un milieu continu isotrope homogène</w:t>
      </w:r>
      <w:r w:rsidR="00127327">
        <w:t>,</w:t>
      </w:r>
      <w:r w:rsidR="00E3393E">
        <w:t xml:space="preserve"> caractérisé par un module d’Young E et un coefficient de Poisson de 0,33.</w:t>
      </w:r>
      <w:r>
        <w:t xml:space="preserve"> Le caractère libre en pointe a été </w:t>
      </w:r>
      <w:r w:rsidR="00127327">
        <w:t xml:space="preserve">simulé </w:t>
      </w:r>
      <w:r>
        <w:t xml:space="preserve">en désactivant le volume </w:t>
      </w:r>
      <w:r w:rsidR="00127327">
        <w:t>élémentaire du</w:t>
      </w:r>
      <w:r>
        <w:t xml:space="preserve"> terrain situé immédiatement sous la base du pieu.</w:t>
      </w:r>
    </w:p>
    <w:p w14:paraId="64A597B5" w14:textId="079D03D5" w:rsidR="00051CCA" w:rsidRDefault="006D4FF4" w:rsidP="00001354">
      <w:pPr>
        <w:pStyle w:val="Corpsdetexte12retrait5mm"/>
        <w:ind w:firstLine="0"/>
      </w:pPr>
      <w:r>
        <w:t xml:space="preserve">Dans les deux modèles, le pieu de diamètre B, </w:t>
      </w:r>
      <w:r w:rsidR="008B0412">
        <w:t>de module E</w:t>
      </w:r>
      <w:r w:rsidR="008B0412">
        <w:rPr>
          <w:vertAlign w:val="subscript"/>
        </w:rPr>
        <w:t>p</w:t>
      </w:r>
      <w:r w:rsidR="008B0412">
        <w:t>,</w:t>
      </w:r>
      <w:r>
        <w:t xml:space="preserve"> et de longueur D, est chargé en tête par une force horizontale unitaire couplée à un moment nul.</w:t>
      </w:r>
      <w:r w:rsidR="00A5788C">
        <w:t xml:space="preserve"> </w:t>
      </w:r>
      <w:r w:rsidR="00001354">
        <w:t>Les résultats obtenus</w:t>
      </w:r>
      <w:r w:rsidR="005F7957">
        <w:t xml:space="preserve"> </w:t>
      </w:r>
      <w:r w:rsidR="005F7957">
        <w:lastRenderedPageBreak/>
        <w:t>(</w:t>
      </w:r>
      <w:r w:rsidR="00EA7376">
        <w:t>F</w:t>
      </w:r>
      <w:r w:rsidR="005F7957">
        <w:t xml:space="preserve">igure </w:t>
      </w:r>
      <w:r w:rsidR="00EB5262">
        <w:t>2</w:t>
      </w:r>
      <w:r w:rsidR="005F7957">
        <w:t>)</w:t>
      </w:r>
      <w:r w:rsidR="00001354">
        <w:t xml:space="preserve"> indiquent</w:t>
      </w:r>
      <w:r w:rsidR="00051CCA">
        <w:t xml:space="preserve"> des rapports </w:t>
      </w:r>
      <w:r w:rsidR="00001354">
        <w:t>E</w:t>
      </w:r>
      <w:r w:rsidR="00001354">
        <w:rPr>
          <w:vertAlign w:val="subscript"/>
        </w:rPr>
        <w:t>s</w:t>
      </w:r>
      <w:r w:rsidR="00001354">
        <w:t xml:space="preserve">/E </w:t>
      </w:r>
      <w:r w:rsidR="00051CCA">
        <w:t xml:space="preserve">allant </w:t>
      </w:r>
      <w:r w:rsidR="00001354">
        <w:t xml:space="preserve">de 1 à 2 selon la </w:t>
      </w:r>
      <w:r w:rsidR="004B2847">
        <w:t>souplesse</w:t>
      </w:r>
      <w:r w:rsidR="00001354">
        <w:t xml:space="preserve"> relative du pieu par rapport au sol</w:t>
      </w:r>
      <w:r w:rsidR="00127327">
        <w:t>,</w:t>
      </w:r>
      <w:r w:rsidR="00001354">
        <w:t xml:space="preserve"> représentée ici par le rapport D/l</w:t>
      </w:r>
      <w:r w:rsidR="00001354">
        <w:rPr>
          <w:vertAlign w:val="subscript"/>
        </w:rPr>
        <w:t>0</w:t>
      </w:r>
      <w:r w:rsidR="00001354">
        <w:t>*</w:t>
      </w:r>
      <w:r w:rsidR="00127327">
        <w:t>,</w:t>
      </w:r>
      <w:r w:rsidR="00001354">
        <w:t xml:space="preserve"> </w:t>
      </w:r>
      <w:r>
        <w:t xml:space="preserve">où </w:t>
      </w:r>
      <m:oMath>
        <m:sSubSup>
          <m:sSubSupPr>
            <m:ctrlPr>
              <w:rPr>
                <w:rFonts w:ascii="Cambria Math" w:hAnsi="Cambria Math" w:cs="Cambria Math"/>
                <w:iCs/>
              </w:rPr>
            </m:ctrlPr>
          </m:sSubSupPr>
          <m:e>
            <m:r>
              <m:rPr>
                <m:sty m:val="p"/>
              </m:rPr>
              <w:rPr>
                <w:rFonts w:ascii="Cambria Math" w:hAnsi="Cambria Math" w:cs="Cambria Math"/>
              </w:rPr>
              <m:t>l</m:t>
            </m:r>
          </m:e>
          <m:sub>
            <m:r>
              <m:rPr>
                <m:sty m:val="p"/>
              </m:rPr>
              <w:rPr>
                <w:rFonts w:ascii="Cambria Math" w:hAnsi="Cambria Math" w:cs="Cambria Math"/>
              </w:rPr>
              <m:t>0</m:t>
            </m:r>
          </m:sub>
          <m:sup>
            <m:r>
              <m:rPr>
                <m:sty m:val="p"/>
              </m:rPr>
              <w:rPr>
                <w:rFonts w:ascii="Cambria Math" w:hAnsi="Cambria Math" w:cs="Cambria Math"/>
              </w:rPr>
              <m:t>*</m:t>
            </m:r>
          </m:sup>
        </m:sSubSup>
      </m:oMath>
      <w:r w:rsidR="00051CCA">
        <w:t xml:space="preserve"> </w:t>
      </w:r>
      <w:r>
        <w:t>est l</w:t>
      </w:r>
      <w:r w:rsidR="00001354">
        <w:t>a longueur de transfert</w:t>
      </w:r>
      <w:r>
        <w:t xml:space="preserve"> du pieu</w:t>
      </w:r>
      <w:r w:rsidR="00051CCA">
        <w:t xml:space="preserve"> </w:t>
      </w:r>
      <w:r w:rsidR="00236098">
        <w:t xml:space="preserve">définie </w:t>
      </w:r>
      <w:r w:rsidR="00051CCA">
        <w:t>par :</w:t>
      </w:r>
    </w:p>
    <w:p w14:paraId="3B9AD8B9" w14:textId="33FEFBF7" w:rsidR="00001354" w:rsidRPr="007301D7" w:rsidRDefault="00EB5262" w:rsidP="007301D7">
      <w:pPr>
        <w:pStyle w:val="Corpsdetexte12retrait5mm"/>
        <w:ind w:firstLine="0"/>
        <w:jc w:val="center"/>
      </w:pPr>
      <w:bookmarkStart w:id="1" w:name="_Hlk96006840"/>
      <m:oMathPara>
        <m:oMath>
          <m:r>
            <w:rPr>
              <w:rFonts w:ascii="Cambria Math" w:hAnsi="Cambria Math" w:cs="Cambria Math"/>
            </w:rPr>
            <m:t xml:space="preserve">            </m:t>
          </m:r>
          <m:sSubSup>
            <m:sSubSupPr>
              <m:ctrlPr>
                <w:rPr>
                  <w:rFonts w:ascii="Cambria Math" w:hAnsi="Cambria Math" w:cs="Cambria Math"/>
                  <w:iCs/>
                </w:rPr>
              </m:ctrlPr>
            </m:sSubSupPr>
            <m:e>
              <m:r>
                <m:rPr>
                  <m:sty m:val="p"/>
                </m:rPr>
                <w:rPr>
                  <w:rFonts w:ascii="Cambria Math" w:hAnsi="Cambria Math" w:cs="Cambria Math"/>
                </w:rPr>
                <m:t>l</m:t>
              </m:r>
            </m:e>
            <m:sub>
              <m:r>
                <m:rPr>
                  <m:sty m:val="p"/>
                </m:rPr>
                <w:rPr>
                  <w:rFonts w:ascii="Cambria Math" w:hAnsi="Cambria Math" w:cs="Cambria Math"/>
                </w:rPr>
                <m:t>0</m:t>
              </m:r>
            </m:sub>
            <m:sup>
              <m:r>
                <m:rPr>
                  <m:sty m:val="p"/>
                </m:rPr>
                <w:rPr>
                  <w:rFonts w:ascii="Cambria Math" w:hAnsi="Cambria Math" w:cs="Cambria Math"/>
                </w:rPr>
                <m:t>*</m:t>
              </m:r>
            </m:sup>
          </m:sSubSup>
          <w:bookmarkEnd w:id="1"/>
          <m:r>
            <m:rPr>
              <m:sty m:val="p"/>
            </m:rPr>
            <w:rPr>
              <w:rFonts w:ascii="Cambria Math" w:hAnsi="Cambria Math" w:cs="Cambria Math"/>
            </w:rPr>
            <m:t>=</m:t>
          </m:r>
          <m:rad>
            <m:radPr>
              <m:ctrlPr>
                <w:rPr>
                  <w:rFonts w:ascii="Cambria Math" w:hAnsi="Cambria Math"/>
                  <w:i/>
                </w:rPr>
              </m:ctrlPr>
            </m:radPr>
            <m:deg>
              <m:r>
                <w:rPr>
                  <w:rFonts w:ascii="Cambria Math" w:hAnsi="Cambria Math"/>
                </w:rPr>
                <m:t>4</m:t>
              </m:r>
            </m:deg>
            <m:e>
              <m:f>
                <m:fPr>
                  <m:ctrlPr>
                    <w:rPr>
                      <w:rFonts w:ascii="Cambria Math" w:hAnsi="Cambria Math"/>
                    </w:rPr>
                  </m:ctrlPr>
                </m:fPr>
                <m:num>
                  <m:r>
                    <m:rPr>
                      <m:sty m:val="p"/>
                    </m:rPr>
                    <w:rPr>
                      <w:rFonts w:ascii="Cambria Math" w:hAnsi="Cambria Math"/>
                    </w:rPr>
                    <m:t>4</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p</m:t>
                      </m:r>
                    </m:sub>
                  </m:sSub>
                  <m:sSub>
                    <m:sSubPr>
                      <m:ctrlPr>
                        <w:rPr>
                          <w:rFonts w:ascii="Cambria Math" w:hAnsi="Cambria Math"/>
                        </w:rPr>
                      </m:ctrlPr>
                    </m:sSubPr>
                    <m:e>
                      <m:r>
                        <m:rPr>
                          <m:sty m:val="p"/>
                        </m:rPr>
                        <w:rPr>
                          <w:rFonts w:ascii="Cambria Math" w:hAnsi="Cambria Math"/>
                        </w:rPr>
                        <m:t>I</m:t>
                      </m:r>
                    </m:e>
                    <m:sub>
                      <m:r>
                        <m:rPr>
                          <m:sty m:val="p"/>
                        </m:rPr>
                        <w:rPr>
                          <w:rFonts w:ascii="Cambria Math" w:hAnsi="Cambria Math"/>
                        </w:rPr>
                        <m:t>p</m:t>
                      </m:r>
                    </m:sub>
                  </m:sSub>
                </m:num>
                <m:den>
                  <m:r>
                    <m:rPr>
                      <m:sty m:val="p"/>
                    </m:rPr>
                    <w:rPr>
                      <w:rFonts w:ascii="Cambria Math" w:hAnsi="Cambria Math"/>
                    </w:rPr>
                    <m:t>E</m:t>
                  </m:r>
                </m:den>
              </m:f>
            </m:e>
          </m:rad>
          <m:r>
            <w:rPr>
              <w:rFonts w:ascii="Cambria Math" w:hAnsi="Cambria Math"/>
            </w:rPr>
            <m:t>=</m:t>
          </m:r>
          <m:f>
            <m:fPr>
              <m:ctrlPr>
                <w:rPr>
                  <w:rFonts w:ascii="Cambria Math" w:hAnsi="Cambria Math"/>
                  <w:iCs/>
                </w:rPr>
              </m:ctrlPr>
            </m:fPr>
            <m:num>
              <m:r>
                <m:rPr>
                  <m:sty m:val="p"/>
                </m:rPr>
                <w:rPr>
                  <w:rFonts w:ascii="Cambria Math" w:hAnsi="Cambria Math"/>
                </w:rPr>
                <m:t>B</m:t>
              </m:r>
            </m:num>
            <m:den>
              <m:r>
                <m:rPr>
                  <m:sty m:val="p"/>
                </m:rPr>
                <w:rPr>
                  <w:rFonts w:ascii="Cambria Math" w:hAnsi="Cambria Math"/>
                </w:rPr>
                <m:t>2</m:t>
              </m:r>
            </m:den>
          </m:f>
          <m:rad>
            <m:radPr>
              <m:ctrlPr>
                <w:rPr>
                  <w:rFonts w:ascii="Cambria Math" w:hAnsi="Cambria Math"/>
                  <w:iCs/>
                </w:rPr>
              </m:ctrlPr>
            </m:radPr>
            <m:deg>
              <m:r>
                <m:rPr>
                  <m:sty m:val="p"/>
                </m:rPr>
                <w:rPr>
                  <w:rFonts w:ascii="Cambria Math" w:hAnsi="Cambria Math"/>
                </w:rPr>
                <m:t>4</m:t>
              </m:r>
            </m:deg>
            <m:e>
              <m:f>
                <m:fPr>
                  <m:ctrlPr>
                    <w:rPr>
                      <w:rFonts w:ascii="Cambria Math" w:hAnsi="Cambria Math"/>
                      <w:iCs/>
                    </w:rPr>
                  </m:ctrlPr>
                </m:fPr>
                <m:num>
                  <m:r>
                    <m:rPr>
                      <m:sty m:val="p"/>
                    </m:rPr>
                    <w:rPr>
                      <w:rFonts w:ascii="Cambria Math" w:hAnsi="Cambria Math"/>
                    </w:rPr>
                    <m:t>π</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p</m:t>
                      </m:r>
                    </m:sub>
                  </m:sSub>
                </m:num>
                <m:den>
                  <m:r>
                    <m:rPr>
                      <m:sty m:val="p"/>
                    </m:rPr>
                    <w:rPr>
                      <w:rFonts w:ascii="Cambria Math" w:hAnsi="Cambria Math"/>
                    </w:rPr>
                    <m:t>E</m:t>
                  </m:r>
                </m:den>
              </m:f>
            </m:e>
          </m:rad>
          <m:r>
            <w:rPr>
              <w:rFonts w:ascii="Cambria Math" w:hAnsi="Cambria Math"/>
            </w:rPr>
            <m:t xml:space="preserve">                   (1)</m:t>
          </m:r>
        </m:oMath>
      </m:oMathPara>
    </w:p>
    <w:p w14:paraId="4EE7F3BD" w14:textId="03FC4F97" w:rsidR="00001354" w:rsidRPr="006E7B01" w:rsidRDefault="00256B1C" w:rsidP="00471832">
      <w:pPr>
        <w:pStyle w:val="Corpsdetexte12retrait5mm"/>
        <w:ind w:firstLine="0"/>
      </w:pPr>
      <w:r>
        <w:t xml:space="preserve">La figure </w:t>
      </w:r>
      <w:r w:rsidR="00EB5262">
        <w:t>2</w:t>
      </w:r>
      <w:r>
        <w:t xml:space="preserve"> permet de distinguer deux types de comportement. Un comportement « </w:t>
      </w:r>
      <w:r w:rsidR="00236098">
        <w:t>peu flexible </w:t>
      </w:r>
      <w:r>
        <w:t xml:space="preserve">» du pieu par rapport au sol correspondant à </w:t>
      </w:r>
      <w:r w:rsidR="004B2847">
        <w:t>D/l</w:t>
      </w:r>
      <w:r w:rsidR="004B2847">
        <w:rPr>
          <w:vertAlign w:val="subscript"/>
        </w:rPr>
        <w:t>0</w:t>
      </w:r>
      <w:r w:rsidR="004B2847">
        <w:t>* inférieur à 2</w:t>
      </w:r>
      <w:r w:rsidR="008D14B0">
        <w:t> :</w:t>
      </w:r>
      <w:r w:rsidR="004B2847">
        <w:t xml:space="preserve"> la réaction du sol est alors mobilisée sur toute la hauteur du pieu et le module de réaction du sol</w:t>
      </w:r>
      <w:r w:rsidR="008D14B0">
        <w:t xml:space="preserve"> varie peu avec le rapport D/l</w:t>
      </w:r>
      <w:r w:rsidR="008D14B0">
        <w:rPr>
          <w:vertAlign w:val="subscript"/>
        </w:rPr>
        <w:t>0</w:t>
      </w:r>
      <w:r w:rsidR="008D14B0">
        <w:t>*</w:t>
      </w:r>
      <w:r w:rsidR="00D80C96">
        <w:t xml:space="preserve"> ; </w:t>
      </w:r>
      <w:r w:rsidR="008D14B0">
        <w:t>Un comportement « flexible » du pieu</w:t>
      </w:r>
      <w:r w:rsidR="004B2847">
        <w:t xml:space="preserve"> par rapport au sol </w:t>
      </w:r>
      <w:r w:rsidR="008D14B0">
        <w:t>correspondant à D/l</w:t>
      </w:r>
      <w:r w:rsidR="008D14B0">
        <w:rPr>
          <w:vertAlign w:val="subscript"/>
        </w:rPr>
        <w:t>0</w:t>
      </w:r>
      <w:r w:rsidR="008D14B0">
        <w:t xml:space="preserve">* supérieur à </w:t>
      </w:r>
      <w:r w:rsidR="00A87BF8">
        <w:t>3</w:t>
      </w:r>
      <w:r w:rsidR="008D14B0">
        <w:t> :</w:t>
      </w:r>
      <w:r w:rsidR="004B2847">
        <w:t xml:space="preserve"> la réaction du sol est alors mobilisée sur une fraction limitée de D</w:t>
      </w:r>
      <w:r w:rsidR="001F333D">
        <w:t xml:space="preserve"> et</w:t>
      </w:r>
      <w:r w:rsidR="004B2847">
        <w:t xml:space="preserve"> </w:t>
      </w:r>
      <w:r w:rsidR="00A87BF8">
        <w:t>le module de réaction augmente linéairement avec le rapport D/l</w:t>
      </w:r>
      <w:r w:rsidR="00A87BF8">
        <w:rPr>
          <w:vertAlign w:val="subscript"/>
        </w:rPr>
        <w:t>0</w:t>
      </w:r>
      <w:r w:rsidR="00A87BF8">
        <w:t>*</w:t>
      </w:r>
      <w:r w:rsidR="004B2847">
        <w:t xml:space="preserve">. </w:t>
      </w:r>
      <w:r w:rsidR="008B0412">
        <w:t xml:space="preserve">Il est intéressant de </w:t>
      </w:r>
      <w:r w:rsidR="00DE3D85">
        <w:t xml:space="preserve">rappeler que pour un pieu en béton, </w:t>
      </w:r>
      <w:r w:rsidR="008B0412">
        <w:t>la longueur de transfert l</w:t>
      </w:r>
      <w:r w:rsidR="008B0412">
        <w:rPr>
          <w:vertAlign w:val="subscript"/>
        </w:rPr>
        <w:t>0</w:t>
      </w:r>
      <w:r w:rsidR="008B0412">
        <w:t xml:space="preserve">* varie </w:t>
      </w:r>
      <w:r w:rsidR="00156813">
        <w:t xml:space="preserve">généralement </w:t>
      </w:r>
      <w:r w:rsidR="008B0412">
        <w:t xml:space="preserve">entre 2B et </w:t>
      </w:r>
      <w:r w:rsidR="00DE3D85">
        <w:t>4B et que pour les ratios D/B usuels (10 à 20), D/l</w:t>
      </w:r>
      <w:r w:rsidR="00DE3D85">
        <w:rPr>
          <w:vertAlign w:val="subscript"/>
        </w:rPr>
        <w:t>0</w:t>
      </w:r>
      <w:r w:rsidR="00DE3D85">
        <w:t xml:space="preserve">* est généralement supérieur à 3. </w:t>
      </w:r>
      <w:r w:rsidR="006E7B01">
        <w:t>Le cas D/l</w:t>
      </w:r>
      <w:r w:rsidR="006E7B01">
        <w:rPr>
          <w:vertAlign w:val="subscript"/>
        </w:rPr>
        <w:t>0</w:t>
      </w:r>
      <w:r w:rsidR="006E7B01">
        <w:t xml:space="preserve">* &lt; 2 étant réservé aux puits et </w:t>
      </w:r>
      <w:r w:rsidR="000F24F6">
        <w:t>aux barrettes de forte inertie.</w:t>
      </w:r>
    </w:p>
    <w:p w14:paraId="4F24D79B" w14:textId="75722A04" w:rsidR="00C066AA" w:rsidRDefault="00C066AA" w:rsidP="00C066AA">
      <w:pPr>
        <w:pStyle w:val="Corpsdetexte12retrait5mm"/>
        <w:ind w:firstLine="0"/>
        <w:jc w:val="center"/>
      </w:pPr>
      <w:r w:rsidRPr="00C066AA">
        <w:rPr>
          <w:noProof/>
          <w:lang w:eastAsia="fr-FR"/>
        </w:rPr>
        <w:drawing>
          <wp:inline distT="0" distB="0" distL="0" distR="0" wp14:anchorId="37C2C3E7" wp14:editId="29AF4C38">
            <wp:extent cx="4482734" cy="2038350"/>
            <wp:effectExtent l="0" t="0" r="0" b="0"/>
            <wp:docPr id="10" name="Image 9">
              <a:extLst xmlns:a="http://schemas.openxmlformats.org/drawingml/2006/main">
                <a:ext uri="{FF2B5EF4-FFF2-40B4-BE49-F238E27FC236}">
                  <a16:creationId xmlns:a16="http://schemas.microsoft.com/office/drawing/2014/main" id="{D82DE4E5-5FCB-4D18-8006-3B6C00C963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D82DE4E5-5FCB-4D18-8006-3B6C00C963F2}"/>
                        </a:ext>
                      </a:extLst>
                    </pic:cNvPr>
                    <pic:cNvPicPr>
                      <a:picLocks noChangeAspect="1"/>
                    </pic:cNvPicPr>
                  </pic:nvPicPr>
                  <pic:blipFill rotWithShape="1">
                    <a:blip r:embed="rId9"/>
                    <a:srcRect t="-4476"/>
                    <a:stretch/>
                  </pic:blipFill>
                  <pic:spPr bwMode="auto">
                    <a:xfrm>
                      <a:off x="0" y="0"/>
                      <a:ext cx="4588151" cy="2086284"/>
                    </a:xfrm>
                    <a:prstGeom prst="rect">
                      <a:avLst/>
                    </a:prstGeom>
                    <a:ln>
                      <a:noFill/>
                    </a:ln>
                    <a:extLst>
                      <a:ext uri="{53640926-AAD7-44D8-BBD7-CCE9431645EC}">
                        <a14:shadowObscured xmlns:a14="http://schemas.microsoft.com/office/drawing/2010/main"/>
                      </a:ext>
                    </a:extLst>
                  </pic:spPr>
                </pic:pic>
              </a:graphicData>
            </a:graphic>
          </wp:inline>
        </w:drawing>
      </w:r>
    </w:p>
    <w:p w14:paraId="6080CDA9" w14:textId="04677673" w:rsidR="00C066AA" w:rsidRPr="00412A0F" w:rsidRDefault="006D4FF4" w:rsidP="00C066AA">
      <w:pPr>
        <w:pStyle w:val="Legendefigure"/>
        <w:rPr>
          <w:rFonts w:ascii="Arial" w:hAnsi="Arial" w:cs="Arial"/>
          <w:i w:val="0"/>
          <w:iCs/>
        </w:rPr>
      </w:pPr>
      <w:r w:rsidRPr="00412A0F">
        <w:rPr>
          <w:rFonts w:ascii="Arial" w:hAnsi="Arial" w:cs="Arial"/>
          <w:i w:val="0"/>
          <w:iCs/>
        </w:rPr>
        <w:t>Rapport entre le module de réaction E</w:t>
      </w:r>
      <w:r w:rsidRPr="00412A0F">
        <w:rPr>
          <w:rFonts w:ascii="Arial" w:hAnsi="Arial" w:cs="Arial"/>
          <w:i w:val="0"/>
          <w:iCs/>
          <w:vertAlign w:val="subscript"/>
        </w:rPr>
        <w:t>s</w:t>
      </w:r>
      <w:r w:rsidRPr="00412A0F">
        <w:rPr>
          <w:rFonts w:ascii="Arial" w:hAnsi="Arial" w:cs="Arial"/>
          <w:i w:val="0"/>
          <w:iCs/>
        </w:rPr>
        <w:t xml:space="preserve"> et le module </w:t>
      </w:r>
      <w:r w:rsidR="008A239E" w:rsidRPr="00412A0F">
        <w:rPr>
          <w:rFonts w:ascii="Arial" w:hAnsi="Arial" w:cs="Arial"/>
          <w:i w:val="0"/>
          <w:iCs/>
        </w:rPr>
        <w:t>d’élasticité du sol E</w:t>
      </w:r>
    </w:p>
    <w:p w14:paraId="79B94EF6" w14:textId="176E6A06" w:rsidR="0003711A" w:rsidRDefault="0003711A" w:rsidP="0003711A">
      <w:pPr>
        <w:pStyle w:val="Titre1"/>
        <w:rPr>
          <w:lang w:val="fr-FR"/>
        </w:rPr>
      </w:pPr>
      <w:r>
        <w:rPr>
          <w:lang w:val="fr-FR"/>
        </w:rPr>
        <w:t>Traitement du cas particulier des barrettes</w:t>
      </w:r>
    </w:p>
    <w:p w14:paraId="23F45B4F" w14:textId="52388798" w:rsidR="00652734" w:rsidRDefault="003D5FCA" w:rsidP="00652734">
      <w:pPr>
        <w:pStyle w:val="Titre1"/>
        <w:numPr>
          <w:ilvl w:val="1"/>
          <w:numId w:val="1"/>
        </w:numPr>
        <w:ind w:left="709"/>
        <w:rPr>
          <w:i/>
          <w:iCs/>
          <w:lang w:val="fr-FR"/>
        </w:rPr>
      </w:pPr>
      <w:r>
        <w:rPr>
          <w:i/>
          <w:iCs/>
          <w:lang w:val="fr-FR"/>
        </w:rPr>
        <w:t xml:space="preserve">Approche </w:t>
      </w:r>
      <w:r w:rsidR="00177D47">
        <w:rPr>
          <w:i/>
          <w:iCs/>
          <w:lang w:val="fr-FR"/>
        </w:rPr>
        <w:t>forfaitaire</w:t>
      </w:r>
      <w:r>
        <w:rPr>
          <w:i/>
          <w:iCs/>
          <w:lang w:val="fr-FR"/>
        </w:rPr>
        <w:t xml:space="preserve"> de la NF P 94 262</w:t>
      </w:r>
    </w:p>
    <w:p w14:paraId="552C14ED" w14:textId="57ACE573" w:rsidR="00652734" w:rsidRDefault="00C23F03" w:rsidP="00652734">
      <w:pPr>
        <w:pStyle w:val="Corpsdetexte12"/>
      </w:pPr>
      <w:r>
        <w:t xml:space="preserve">La norme NF P 94-262 propose une approche </w:t>
      </w:r>
      <w:r w:rsidR="00177D47">
        <w:t>forfaitaire</w:t>
      </w:r>
      <w:r>
        <w:t xml:space="preserve"> pour traiter le cas particulier d’une barrette de largeur frontale B et de longueur L &gt; B</w:t>
      </w:r>
      <w:r w:rsidR="00D832A8">
        <w:t xml:space="preserve"> (</w:t>
      </w:r>
      <w:r w:rsidR="00A5788C">
        <w:t>F</w:t>
      </w:r>
      <w:r w:rsidR="00D832A8">
        <w:t xml:space="preserve">igure </w:t>
      </w:r>
      <w:r w:rsidR="00CE088E">
        <w:t>3</w:t>
      </w:r>
      <w:r w:rsidR="00D832A8">
        <w:t>)</w:t>
      </w:r>
      <w:r w:rsidR="00177D47">
        <w:t> :</w:t>
      </w:r>
    </w:p>
    <w:p w14:paraId="2F3D2FBC" w14:textId="77777777" w:rsidR="00EA7376" w:rsidRDefault="0071285A" w:rsidP="00EA7376">
      <w:pPr>
        <w:pStyle w:val="Corpsdetexte12retrait5mm"/>
        <w:numPr>
          <w:ilvl w:val="0"/>
          <w:numId w:val="8"/>
        </w:numPr>
      </w:pPr>
      <w:r>
        <w:t xml:space="preserve">La réaction transversale P est prise égale à la somme d’une réaction frontale </w:t>
      </w:r>
      <w:proofErr w:type="spellStart"/>
      <w:r>
        <w:t>P</w:t>
      </w:r>
      <w:r>
        <w:rPr>
          <w:vertAlign w:val="subscript"/>
        </w:rPr>
        <w:t>front</w:t>
      </w:r>
      <w:proofErr w:type="spellEnd"/>
      <w:r>
        <w:t xml:space="preserve"> et d’une réaction tangentielle </w:t>
      </w:r>
      <w:proofErr w:type="spellStart"/>
      <w:r>
        <w:t>P</w:t>
      </w:r>
      <w:r>
        <w:rPr>
          <w:vertAlign w:val="subscript"/>
        </w:rPr>
        <w:t>tang</w:t>
      </w:r>
      <w:proofErr w:type="spellEnd"/>
      <w:r>
        <w:t xml:space="preserve"> dotée chacune d’une loi de mobilisation avec un module de réaction et un palier plastique ;</w:t>
      </w:r>
    </w:p>
    <w:p w14:paraId="3890A7EC" w14:textId="6CE4917E" w:rsidR="00EA7376" w:rsidRDefault="0071285A" w:rsidP="00EA7376">
      <w:pPr>
        <w:pStyle w:val="Corpsdetexte12retrait5mm"/>
        <w:numPr>
          <w:ilvl w:val="0"/>
          <w:numId w:val="8"/>
        </w:numPr>
      </w:pPr>
      <w:r>
        <w:t xml:space="preserve">Pour la réaction frontale, le module de réaction </w:t>
      </w:r>
      <w:proofErr w:type="spellStart"/>
      <w:r>
        <w:t>E</w:t>
      </w:r>
      <w:r w:rsidRPr="00EA7376">
        <w:rPr>
          <w:vertAlign w:val="subscript"/>
        </w:rPr>
        <w:t>s,front</w:t>
      </w:r>
      <w:proofErr w:type="spellEnd"/>
      <w:r>
        <w:t xml:space="preserve"> est pris égal à celui d’un pieu circulaire de diamètre B</w:t>
      </w:r>
      <w:r w:rsidR="00E5428D">
        <w:t xml:space="preserve"> : </w:t>
      </w:r>
      <w:proofErr w:type="spellStart"/>
      <w:r w:rsidR="00E5428D">
        <w:t>E</w:t>
      </w:r>
      <w:r w:rsidR="00E5428D" w:rsidRPr="00EA7376">
        <w:rPr>
          <w:vertAlign w:val="subscript"/>
        </w:rPr>
        <w:t>s,front</w:t>
      </w:r>
      <w:proofErr w:type="spellEnd"/>
      <w:r w:rsidR="00E5428D">
        <w:t xml:space="preserve"> ~ </w:t>
      </w:r>
      <w:proofErr w:type="spellStart"/>
      <w:r w:rsidR="00E5428D">
        <w:t>E</w:t>
      </w:r>
      <w:r w:rsidR="00E5428D" w:rsidRPr="00EA7376">
        <w:rPr>
          <w:vertAlign w:val="subscript"/>
        </w:rPr>
        <w:t>s,pieu</w:t>
      </w:r>
      <w:proofErr w:type="spellEnd"/>
      <w:r w:rsidR="00E5428D">
        <w:t xml:space="preserve"> </w:t>
      </w:r>
      <w:r>
        <w:t>. Sous chargement de longue ou de courte durée, cette réaction est plafonnée à</w:t>
      </w:r>
      <w:r w:rsidR="004D754B">
        <w:t xml:space="preserve"> </w:t>
      </w:r>
      <w:proofErr w:type="spellStart"/>
      <w:r w:rsidR="004D754B">
        <w:t>P</w:t>
      </w:r>
      <w:r w:rsidR="004D754B" w:rsidRPr="00EA7376">
        <w:rPr>
          <w:vertAlign w:val="subscript"/>
        </w:rPr>
        <w:t>F</w:t>
      </w:r>
      <w:r w:rsidR="004D754B" w:rsidRPr="00EA7376">
        <w:rPr>
          <w:vertAlign w:val="superscript"/>
        </w:rPr>
        <w:t>front</w:t>
      </w:r>
      <w:proofErr w:type="spellEnd"/>
      <w:r w:rsidRPr="00EA7376">
        <w:rPr>
          <w:vertAlign w:val="subscript"/>
        </w:rPr>
        <w:t xml:space="preserve">, </w:t>
      </w:r>
      <w:r>
        <w:t>avec par exemple,</w:t>
      </w:r>
      <w:r w:rsidR="004D754B" w:rsidRPr="004D754B">
        <w:t xml:space="preserve"> </w:t>
      </w:r>
      <w:proofErr w:type="spellStart"/>
      <w:r w:rsidR="004D754B">
        <w:t>P</w:t>
      </w:r>
      <w:r w:rsidR="004D754B" w:rsidRPr="00EA7376">
        <w:rPr>
          <w:vertAlign w:val="subscript"/>
        </w:rPr>
        <w:t>F</w:t>
      </w:r>
      <w:r w:rsidR="004D754B" w:rsidRPr="00EA7376">
        <w:rPr>
          <w:vertAlign w:val="superscript"/>
        </w:rPr>
        <w:t>front</w:t>
      </w:r>
      <w:proofErr w:type="spellEnd"/>
      <w:r w:rsidR="004D754B">
        <w:t xml:space="preserve"> = p</w:t>
      </w:r>
      <w:r w:rsidR="004D754B" w:rsidRPr="00EA7376">
        <w:rPr>
          <w:vertAlign w:val="subscript"/>
        </w:rPr>
        <w:t>f</w:t>
      </w:r>
      <w:r w:rsidR="004D754B">
        <w:t>*B</w:t>
      </w:r>
      <w:r>
        <w:t xml:space="preserve"> en cas d’utilisation de l’essai pressiométrique (auquel cas </w:t>
      </w:r>
      <w:r w:rsidR="004D754B">
        <w:t>p</w:t>
      </w:r>
      <w:r w:rsidR="004D754B" w:rsidRPr="00EA7376">
        <w:rPr>
          <w:vertAlign w:val="subscript"/>
        </w:rPr>
        <w:t>f</w:t>
      </w:r>
      <w:r w:rsidR="004D754B">
        <w:t>*</w:t>
      </w:r>
      <w:r>
        <w:t xml:space="preserve"> en désigne la pression de fluage) ;</w:t>
      </w:r>
    </w:p>
    <w:p w14:paraId="0432E858" w14:textId="5719D97C" w:rsidR="005A7B85" w:rsidRPr="005A7B85" w:rsidRDefault="0071285A" w:rsidP="005A7B85">
      <w:pPr>
        <w:pStyle w:val="Corpsdetexte12retrait5mm"/>
        <w:numPr>
          <w:ilvl w:val="0"/>
          <w:numId w:val="8"/>
        </w:numPr>
      </w:pPr>
      <w:r>
        <w:t xml:space="preserve">Pour la réaction tangentielle, le module de réaction </w:t>
      </w:r>
      <w:proofErr w:type="spellStart"/>
      <w:r w:rsidR="005A7B85">
        <w:t>E</w:t>
      </w:r>
      <w:r w:rsidR="005A7B85" w:rsidRPr="00EA7376">
        <w:rPr>
          <w:vertAlign w:val="subscript"/>
        </w:rPr>
        <w:t>s,tang</w:t>
      </w:r>
      <w:proofErr w:type="spellEnd"/>
      <w:r w:rsidR="005A7B85">
        <w:t xml:space="preserve"> </w:t>
      </w:r>
      <w:r>
        <w:t>est pris forfaitairement égal à</w:t>
      </w:r>
      <w:r w:rsidR="001058E1">
        <w:t xml:space="preserve"> celui de la réaction frontale</w:t>
      </w:r>
      <w:r w:rsidR="00FD3C3D">
        <w:t> :</w:t>
      </w:r>
      <w:r>
        <w:t xml:space="preserve"> </w:t>
      </w:r>
      <w:proofErr w:type="spellStart"/>
      <w:r w:rsidR="00FD3C3D">
        <w:t>E</w:t>
      </w:r>
      <w:r w:rsidR="00FD3C3D" w:rsidRPr="00EA7376">
        <w:rPr>
          <w:vertAlign w:val="subscript"/>
        </w:rPr>
        <w:t>s,</w:t>
      </w:r>
      <w:r w:rsidR="0030231B" w:rsidRPr="00EA7376">
        <w:rPr>
          <w:vertAlign w:val="subscript"/>
        </w:rPr>
        <w:t>tang</w:t>
      </w:r>
      <w:proofErr w:type="spellEnd"/>
      <w:r w:rsidR="00FD3C3D">
        <w:t xml:space="preserve"> </w:t>
      </w:r>
      <w:r w:rsidR="0030231B">
        <w:t>=</w:t>
      </w:r>
      <w:r w:rsidR="00FD3C3D">
        <w:t xml:space="preserve"> </w:t>
      </w:r>
      <w:proofErr w:type="spellStart"/>
      <w:r w:rsidR="00FD3C3D">
        <w:t>E</w:t>
      </w:r>
      <w:r w:rsidR="00FD3C3D" w:rsidRPr="00EA7376">
        <w:rPr>
          <w:vertAlign w:val="subscript"/>
        </w:rPr>
        <w:t>s,</w:t>
      </w:r>
      <w:r w:rsidR="0030231B" w:rsidRPr="00EA7376">
        <w:rPr>
          <w:vertAlign w:val="subscript"/>
        </w:rPr>
        <w:t>front</w:t>
      </w:r>
      <w:proofErr w:type="spellEnd"/>
      <w:r w:rsidR="0030231B">
        <w:t xml:space="preserve"> ~</w:t>
      </w:r>
      <w:r w:rsidR="0030231B" w:rsidRPr="0030231B">
        <w:t xml:space="preserve"> </w:t>
      </w:r>
      <w:proofErr w:type="spellStart"/>
      <w:r w:rsidR="0030231B">
        <w:t>E</w:t>
      </w:r>
      <w:r w:rsidR="0030231B" w:rsidRPr="00EA7376">
        <w:rPr>
          <w:vertAlign w:val="subscript"/>
        </w:rPr>
        <w:t>s,pieu</w:t>
      </w:r>
      <w:proofErr w:type="spellEnd"/>
      <w:r w:rsidR="0030231B">
        <w:t>.</w:t>
      </w:r>
      <w:r w:rsidR="00FD3C3D">
        <w:t xml:space="preserve"> </w:t>
      </w:r>
      <w:r>
        <w:t xml:space="preserve">Cette réaction est plafonnée </w:t>
      </w:r>
      <w:r w:rsidRPr="00177D47">
        <w:t>à</w:t>
      </w:r>
      <w:r w:rsidR="00974F4D">
        <w:t xml:space="preserve"> </w:t>
      </w:r>
      <w:proofErr w:type="spellStart"/>
      <w:r w:rsidR="00974F4D">
        <w:t>P</w:t>
      </w:r>
      <w:r w:rsidR="00974F4D" w:rsidRPr="00EA7376">
        <w:rPr>
          <w:vertAlign w:val="subscript"/>
        </w:rPr>
        <w:t>L</w:t>
      </w:r>
      <w:r w:rsidR="00974F4D" w:rsidRPr="00EA7376">
        <w:rPr>
          <w:vertAlign w:val="superscript"/>
        </w:rPr>
        <w:t>tang</w:t>
      </w:r>
      <w:proofErr w:type="spellEnd"/>
      <w:r w:rsidRPr="00177D47">
        <w:t xml:space="preserve"> </w:t>
      </w:r>
      <w:r w:rsidR="00974F4D">
        <w:t>= 2q</w:t>
      </w:r>
      <w:r w:rsidR="00974F4D" w:rsidRPr="00EA7376">
        <w:rPr>
          <w:vertAlign w:val="subscript"/>
        </w:rPr>
        <w:t>s</w:t>
      </w:r>
      <w:r w:rsidR="00974F4D">
        <w:t>L</w:t>
      </w:r>
      <w:r w:rsidR="00974F4D" w:rsidRPr="00EA7376">
        <w:rPr>
          <w:vertAlign w:val="subscript"/>
        </w:rPr>
        <w:t>s</w:t>
      </w:r>
      <w:r w:rsidR="00974F4D">
        <w:t>=</w:t>
      </w:r>
      <w:r w:rsidR="00974F4D" w:rsidRPr="00974F4D">
        <w:t>2q</w:t>
      </w:r>
      <w:r w:rsidR="00974F4D" w:rsidRPr="00EA7376">
        <w:rPr>
          <w:vertAlign w:val="subscript"/>
        </w:rPr>
        <w:t>s</w:t>
      </w:r>
      <w:r w:rsidR="00974F4D">
        <w:t>(</w:t>
      </w:r>
      <w:r w:rsidR="00974F4D" w:rsidRPr="00974F4D">
        <w:t>L</w:t>
      </w:r>
      <w:r w:rsidR="00974F4D">
        <w:t xml:space="preserve">-B) </w:t>
      </w:r>
      <w:r w:rsidRPr="00177D47">
        <w:t xml:space="preserve">où </w:t>
      </w:r>
      <w:proofErr w:type="spellStart"/>
      <w:r w:rsidRPr="00177D47">
        <w:t>q</w:t>
      </w:r>
      <w:r w:rsidRPr="00EA7376">
        <w:rPr>
          <w:vertAlign w:val="subscript"/>
        </w:rPr>
        <w:t>s</w:t>
      </w:r>
      <w:proofErr w:type="spellEnd"/>
      <w:r w:rsidRPr="00177D47">
        <w:t xml:space="preserve"> désigne</w:t>
      </w:r>
      <w:r>
        <w:t xml:space="preserve"> la valeur limite du frottement latéral. </w:t>
      </w:r>
    </w:p>
    <w:p w14:paraId="3E5CF85F" w14:textId="7F962B41" w:rsidR="00E86AE6" w:rsidRDefault="00EA7376" w:rsidP="00EA7376">
      <w:pPr>
        <w:pStyle w:val="Corpsdetexte12retrait5mm"/>
        <w:ind w:firstLine="0"/>
      </w:pPr>
      <w:r>
        <w:t xml:space="preserve">L’application de cette approche implique en particulier que le module de réaction « total » (pour des faibles niveaux de chargement) d’une barrette B x L est égal à deux fois le module de réaction d’un pieu de diamètre B :  </w:t>
      </w:r>
      <w:proofErr w:type="spellStart"/>
      <w:r w:rsidR="00BD4BD2">
        <w:t>E</w:t>
      </w:r>
      <w:r w:rsidR="00BD4BD2">
        <w:rPr>
          <w:vertAlign w:val="subscript"/>
        </w:rPr>
        <w:t>S,barrette</w:t>
      </w:r>
      <w:proofErr w:type="spellEnd"/>
      <w:r w:rsidR="00BD4BD2">
        <w:t xml:space="preserve"> </w:t>
      </w:r>
      <w:r>
        <w:t xml:space="preserve">= </w:t>
      </w:r>
      <w:proofErr w:type="spellStart"/>
      <w:r>
        <w:t>E</w:t>
      </w:r>
      <w:r>
        <w:rPr>
          <w:vertAlign w:val="subscript"/>
        </w:rPr>
        <w:t>s,front</w:t>
      </w:r>
      <w:proofErr w:type="spellEnd"/>
      <w:r>
        <w:t xml:space="preserve"> + </w:t>
      </w:r>
      <w:proofErr w:type="spellStart"/>
      <w:r>
        <w:t>E</w:t>
      </w:r>
      <w:r>
        <w:rPr>
          <w:vertAlign w:val="subscript"/>
        </w:rPr>
        <w:t>s,tang</w:t>
      </w:r>
      <w:proofErr w:type="spellEnd"/>
      <w:r>
        <w:t xml:space="preserve"> = 2E</w:t>
      </w:r>
      <w:r>
        <w:rPr>
          <w:vertAlign w:val="subscript"/>
        </w:rPr>
        <w:t>s,pieu</w:t>
      </w:r>
      <w:r>
        <w:t>, quel</w:t>
      </w:r>
      <w:r w:rsidR="00252792">
        <w:t xml:space="preserve">le </w:t>
      </w:r>
      <w:r>
        <w:t xml:space="preserve">que soit la valeur du rapport L/B. Les </w:t>
      </w:r>
      <w:r w:rsidR="00437130">
        <w:t>développements présentés en §3.2 et §3.3</w:t>
      </w:r>
      <w:r>
        <w:t xml:space="preserve"> clarifient la validité de cette approche forfaitaire pour différentes valeurs du rapport L/B. Par ailleurs, l’utilisation de l’approche p-y pour des barrettes de forte inertie pose la question de l’effet de la réaction </w:t>
      </w:r>
      <w:r>
        <w:lastRenderedPageBreak/>
        <w:t xml:space="preserve">à la base de la fondation et la façon dont </w:t>
      </w:r>
      <w:r w:rsidR="00252792">
        <w:t xml:space="preserve">il </w:t>
      </w:r>
      <w:r>
        <w:t>peut être caractérisé dans la pratique. Le paragraphe §</w:t>
      </w:r>
      <w:r w:rsidR="00437130">
        <w:t>3.4</w:t>
      </w:r>
      <w:r>
        <w:t xml:space="preserve"> présente quelques considérations pratiques sur ce point bien précis. </w:t>
      </w:r>
    </w:p>
    <w:p w14:paraId="46E6777F" w14:textId="6495583D" w:rsidR="00E12F1C" w:rsidRDefault="00177D47" w:rsidP="00D832A8">
      <w:pPr>
        <w:pStyle w:val="Corpsdetexte12retrait5mm"/>
        <w:ind w:firstLine="0"/>
      </w:pPr>
      <w:r>
        <w:rPr>
          <w:noProof/>
          <w:lang w:eastAsia="fr-FR"/>
        </w:rPr>
        <w:drawing>
          <wp:inline distT="0" distB="0" distL="0" distR="0" wp14:anchorId="4A56F03F" wp14:editId="068BE510">
            <wp:extent cx="3762375" cy="2177876"/>
            <wp:effectExtent l="0" t="0" r="0" b="0"/>
            <wp:docPr id="26" name="Graphiqu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96DAC541-7B7A-43D3-8B79-37D633B846F1}">
                          <asvg:svgBlip xmlns:asvg="http://schemas.microsoft.com/office/drawing/2016/SVG/main" r:embed="rId11"/>
                        </a:ext>
                      </a:extLst>
                    </a:blip>
                    <a:srcRect l="2835" t="-1248" b="-1"/>
                    <a:stretch/>
                  </pic:blipFill>
                  <pic:spPr bwMode="auto">
                    <a:xfrm>
                      <a:off x="0" y="0"/>
                      <a:ext cx="3786550" cy="2191870"/>
                    </a:xfrm>
                    <a:prstGeom prst="rect">
                      <a:avLst/>
                    </a:prstGeom>
                    <a:ln>
                      <a:noFill/>
                    </a:ln>
                    <a:extLst>
                      <a:ext uri="{53640926-AAD7-44D8-BBD7-CCE9431645EC}">
                        <a14:shadowObscured xmlns:a14="http://schemas.microsoft.com/office/drawing/2010/main"/>
                      </a:ext>
                    </a:extLst>
                  </pic:spPr>
                </pic:pic>
              </a:graphicData>
            </a:graphic>
          </wp:inline>
        </w:drawing>
      </w:r>
      <w:r w:rsidR="00E12F1C">
        <w:t xml:space="preserve">    </w:t>
      </w:r>
      <w:r w:rsidR="00BB6C5B" w:rsidRPr="00BB6C5B">
        <w:rPr>
          <w:noProof/>
          <w:lang w:eastAsia="fr-FR"/>
        </w:rPr>
        <w:drawing>
          <wp:inline distT="0" distB="0" distL="0" distR="0" wp14:anchorId="506702BC" wp14:editId="5C1DBE61">
            <wp:extent cx="1977682" cy="1601470"/>
            <wp:effectExtent l="0" t="0" r="3810" b="0"/>
            <wp:docPr id="71" name="Image 70">
              <a:extLst xmlns:a="http://schemas.openxmlformats.org/drawingml/2006/main">
                <a:ext uri="{FF2B5EF4-FFF2-40B4-BE49-F238E27FC236}">
                  <a16:creationId xmlns:a16="http://schemas.microsoft.com/office/drawing/2014/main" id="{463AC22D-8E01-4FFB-B918-548BAB06FC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0">
                      <a:extLst>
                        <a:ext uri="{FF2B5EF4-FFF2-40B4-BE49-F238E27FC236}">
                          <a16:creationId xmlns:a16="http://schemas.microsoft.com/office/drawing/2014/main" id="{463AC22D-8E01-4FFB-B918-548BAB06FCC0}"/>
                        </a:ext>
                      </a:extLst>
                    </pic:cNvPr>
                    <pic:cNvPicPr>
                      <a:picLocks noChangeAspect="1"/>
                    </pic:cNvPicPr>
                  </pic:nvPicPr>
                  <pic:blipFill rotWithShape="1">
                    <a:blip r:embed="rId12"/>
                    <a:srcRect l="1996" t="1" r="3068" b="-36027"/>
                    <a:stretch/>
                  </pic:blipFill>
                  <pic:spPr bwMode="auto">
                    <a:xfrm>
                      <a:off x="0" y="0"/>
                      <a:ext cx="2006878" cy="1625112"/>
                    </a:xfrm>
                    <a:prstGeom prst="rect">
                      <a:avLst/>
                    </a:prstGeom>
                    <a:ln>
                      <a:noFill/>
                    </a:ln>
                    <a:extLst>
                      <a:ext uri="{53640926-AAD7-44D8-BBD7-CCE9431645EC}">
                        <a14:shadowObscured xmlns:a14="http://schemas.microsoft.com/office/drawing/2010/main"/>
                      </a:ext>
                    </a:extLst>
                  </pic:spPr>
                </pic:pic>
              </a:graphicData>
            </a:graphic>
          </wp:inline>
        </w:drawing>
      </w:r>
    </w:p>
    <w:p w14:paraId="25069739" w14:textId="0A2E5519" w:rsidR="00177D47" w:rsidRPr="00412A0F" w:rsidRDefault="00177D47" w:rsidP="00177D47">
      <w:pPr>
        <w:pStyle w:val="Legendefigure"/>
        <w:rPr>
          <w:rFonts w:ascii="Arial" w:hAnsi="Arial" w:cs="Arial"/>
          <w:i w:val="0"/>
          <w:iCs/>
        </w:rPr>
      </w:pPr>
      <w:r w:rsidRPr="00412A0F">
        <w:rPr>
          <w:rFonts w:ascii="Arial" w:hAnsi="Arial" w:cs="Arial"/>
          <w:i w:val="0"/>
          <w:iCs/>
        </w:rPr>
        <w:t xml:space="preserve">Principe de la méthode forfaitaire de la </w:t>
      </w:r>
      <w:r w:rsidR="00252792">
        <w:rPr>
          <w:rFonts w:ascii="Arial" w:hAnsi="Arial" w:cs="Arial"/>
          <w:i w:val="0"/>
          <w:iCs/>
        </w:rPr>
        <w:t xml:space="preserve">norme </w:t>
      </w:r>
      <w:r w:rsidRPr="00412A0F">
        <w:rPr>
          <w:rFonts w:ascii="Arial" w:hAnsi="Arial" w:cs="Arial"/>
          <w:i w:val="0"/>
          <w:iCs/>
        </w:rPr>
        <w:t>NF P 94</w:t>
      </w:r>
      <w:r w:rsidR="00A63739" w:rsidRPr="00412A0F">
        <w:rPr>
          <w:rFonts w:ascii="Arial" w:hAnsi="Arial" w:cs="Arial"/>
          <w:i w:val="0"/>
          <w:iCs/>
        </w:rPr>
        <w:t> </w:t>
      </w:r>
      <w:r w:rsidRPr="00412A0F">
        <w:rPr>
          <w:rFonts w:ascii="Arial" w:hAnsi="Arial" w:cs="Arial"/>
          <w:i w:val="0"/>
          <w:iCs/>
        </w:rPr>
        <w:t>262</w:t>
      </w:r>
    </w:p>
    <w:p w14:paraId="78FA6F01" w14:textId="7858EC62" w:rsidR="00A63739" w:rsidRDefault="00437130" w:rsidP="00652734">
      <w:pPr>
        <w:pStyle w:val="Titre1"/>
        <w:numPr>
          <w:ilvl w:val="1"/>
          <w:numId w:val="1"/>
        </w:numPr>
        <w:ind w:left="709"/>
        <w:rPr>
          <w:i/>
          <w:iCs/>
          <w:lang w:val="fr-FR"/>
        </w:rPr>
      </w:pPr>
      <w:r>
        <w:rPr>
          <w:i/>
          <w:iCs/>
          <w:lang w:val="fr-FR"/>
        </w:rPr>
        <w:t>Influence de la forme de la barrette sur le module de réaction E</w:t>
      </w:r>
      <w:r>
        <w:rPr>
          <w:i/>
          <w:iCs/>
          <w:vertAlign w:val="subscript"/>
          <w:lang w:val="fr-FR"/>
        </w:rPr>
        <w:t>s</w:t>
      </w:r>
    </w:p>
    <w:p w14:paraId="2FA883F4" w14:textId="3D4544E6" w:rsidR="00A5788C" w:rsidRPr="00567147" w:rsidRDefault="00A5788C" w:rsidP="00A5788C">
      <w:pPr>
        <w:pStyle w:val="Corpsdetexte12retrait5mm"/>
        <w:ind w:firstLine="0"/>
      </w:pPr>
      <w:r>
        <w:t>Dans la continuité des travaux menés par Frank (1984), l’exercice de calage numérique présenté en §2.</w:t>
      </w:r>
      <w:r w:rsidR="00236098">
        <w:t>3</w:t>
      </w:r>
      <w:r>
        <w:t xml:space="preserve"> </w:t>
      </w:r>
      <w:r w:rsidR="00252792">
        <w:t xml:space="preserve">a été reconduit </w:t>
      </w:r>
      <w:r>
        <w:t xml:space="preserve">en comparant le module de réaction équivalent </w:t>
      </w:r>
      <w:proofErr w:type="spellStart"/>
      <w:proofErr w:type="gramStart"/>
      <w:r>
        <w:t>E</w:t>
      </w:r>
      <w:r>
        <w:rPr>
          <w:vertAlign w:val="subscript"/>
        </w:rPr>
        <w:t>S,pieu</w:t>
      </w:r>
      <w:proofErr w:type="spellEnd"/>
      <w:proofErr w:type="gramEnd"/>
      <w:r>
        <w:t xml:space="preserve"> pour un pieu de diamètre B</w:t>
      </w:r>
      <w:r w:rsidR="00CA2FF5">
        <w:t>,</w:t>
      </w:r>
      <w:r>
        <w:t xml:space="preserve"> et le module de réaction équivalent </w:t>
      </w:r>
      <w:proofErr w:type="spellStart"/>
      <w:r>
        <w:t>E</w:t>
      </w:r>
      <w:r>
        <w:rPr>
          <w:vertAlign w:val="subscript"/>
        </w:rPr>
        <w:t>S,barrette</w:t>
      </w:r>
      <w:proofErr w:type="spellEnd"/>
      <w:r>
        <w:t xml:space="preserve"> pour une barrette de section L x B.</w:t>
      </w:r>
      <w:r w:rsidR="00567147">
        <w:t xml:space="preserve"> </w:t>
      </w:r>
      <w:r w:rsidR="00710EC2">
        <w:t xml:space="preserve">Pour chaque cas, le </w:t>
      </w:r>
      <w:r w:rsidR="00A578F7">
        <w:t>rapport E</w:t>
      </w:r>
      <w:r w:rsidR="00A578F7">
        <w:rPr>
          <w:vertAlign w:val="subscript"/>
        </w:rPr>
        <w:t>s</w:t>
      </w:r>
      <w:r w:rsidR="00A578F7">
        <w:t>/E e</w:t>
      </w:r>
      <w:r w:rsidR="00710EC2">
        <w:t xml:space="preserve">st obtenu </w:t>
      </w:r>
      <w:r w:rsidR="00A578F7">
        <w:t xml:space="preserve">en égalisant le déplacement en tête entre </w:t>
      </w:r>
      <w:r w:rsidR="00710EC2">
        <w:t>un modèle p-y représentatif du pieu ou de la barrette</w:t>
      </w:r>
      <w:r w:rsidR="00A578F7">
        <w:t xml:space="preserve"> et un </w:t>
      </w:r>
      <w:r w:rsidR="00710EC2">
        <w:t>modèle éléments finis 3D</w:t>
      </w:r>
      <w:r w:rsidR="00A66D8A">
        <w:t xml:space="preserve"> (ici à l’aide du logiciel PLAXIS 3D)</w:t>
      </w:r>
      <w:r w:rsidR="00710EC2">
        <w:t>.</w:t>
      </w:r>
      <w:r w:rsidR="00BA53BC">
        <w:t xml:space="preserve"> </w:t>
      </w:r>
      <w:r w:rsidR="00567147">
        <w:t xml:space="preserve">On établit ensuite le rapport </w:t>
      </w:r>
      <w:proofErr w:type="spellStart"/>
      <w:proofErr w:type="gramStart"/>
      <w:r w:rsidR="00567147">
        <w:t>E</w:t>
      </w:r>
      <w:r w:rsidR="00567147">
        <w:rPr>
          <w:vertAlign w:val="subscript"/>
        </w:rPr>
        <w:t>S,barrette</w:t>
      </w:r>
      <w:proofErr w:type="spellEnd"/>
      <w:proofErr w:type="gramEnd"/>
      <w:r w:rsidR="00567147">
        <w:t>/</w:t>
      </w:r>
      <w:proofErr w:type="spellStart"/>
      <w:r w:rsidR="00567147">
        <w:t>E</w:t>
      </w:r>
      <w:r w:rsidR="00567147">
        <w:rPr>
          <w:vertAlign w:val="subscript"/>
        </w:rPr>
        <w:t>S,pieu</w:t>
      </w:r>
      <w:proofErr w:type="spellEnd"/>
      <w:r w:rsidR="00567147">
        <w:t xml:space="preserve"> qui permet d’apprécier l’influence de la forme de la barrette sur le module de réaction par rapport à celui qui serait considéré pour un pieu</w:t>
      </w:r>
      <w:r w:rsidR="00236098">
        <w:t xml:space="preserve"> de section</w:t>
      </w:r>
      <w:r w:rsidR="00567147">
        <w:t xml:space="preserve"> circulaire. L’exercice est mené pour </w:t>
      </w:r>
      <w:r w:rsidR="00666DEA">
        <w:t>des</w:t>
      </w:r>
      <w:r w:rsidR="00567147">
        <w:t xml:space="preserve"> </w:t>
      </w:r>
      <w:r w:rsidR="00666DEA">
        <w:t xml:space="preserve">élancements </w:t>
      </w:r>
      <w:r w:rsidR="00567147">
        <w:t>L/B</w:t>
      </w:r>
      <w:r w:rsidR="00666DEA">
        <w:t xml:space="preserve"> allant de 3 à 9</w:t>
      </w:r>
      <w:r w:rsidR="00567147">
        <w:t xml:space="preserve"> et différentes </w:t>
      </w:r>
      <w:r w:rsidR="00666DEA">
        <w:t>souplesses relatives</w:t>
      </w:r>
      <w:r w:rsidR="00567147">
        <w:t xml:space="preserve"> D/l</w:t>
      </w:r>
      <w:r w:rsidR="00567147">
        <w:rPr>
          <w:vertAlign w:val="subscript"/>
        </w:rPr>
        <w:t>0</w:t>
      </w:r>
      <w:r w:rsidR="00567147">
        <w:t>*</w:t>
      </w:r>
      <w:r w:rsidR="00666DEA">
        <w:t xml:space="preserve"> allant de 0,5 à 3</w:t>
      </w:r>
      <w:r w:rsidR="00567147">
        <w:t xml:space="preserve"> (l</w:t>
      </w:r>
      <w:r w:rsidR="00567147">
        <w:rPr>
          <w:vertAlign w:val="subscript"/>
        </w:rPr>
        <w:t>0</w:t>
      </w:r>
      <w:r w:rsidR="00567147">
        <w:t xml:space="preserve">* est calculé ici à partir de l’inertie de la barrette étudiée). Les résultats sont présentés sur la figure </w:t>
      </w:r>
      <w:r w:rsidR="00D55ED1">
        <w:t>4</w:t>
      </w:r>
      <w:r w:rsidR="00567147">
        <w:t xml:space="preserve">. </w:t>
      </w:r>
    </w:p>
    <w:p w14:paraId="1BF8A360" w14:textId="6B0FCA52" w:rsidR="00A5788C" w:rsidRDefault="00BA53BC" w:rsidP="00C60FFD">
      <w:pPr>
        <w:pStyle w:val="Corpsdetexte12retrait5mm"/>
        <w:jc w:val="center"/>
      </w:pPr>
      <w:r w:rsidRPr="00BA53BC">
        <w:rPr>
          <w:noProof/>
          <w:lang w:eastAsia="fr-FR"/>
        </w:rPr>
        <w:drawing>
          <wp:inline distT="0" distB="0" distL="0" distR="0" wp14:anchorId="31526F27" wp14:editId="1659060D">
            <wp:extent cx="4997020" cy="2443277"/>
            <wp:effectExtent l="0" t="0" r="0" b="0"/>
            <wp:docPr id="3" name="Image 6">
              <a:extLst xmlns:a="http://schemas.openxmlformats.org/drawingml/2006/main">
                <a:ext uri="{FF2B5EF4-FFF2-40B4-BE49-F238E27FC236}">
                  <a16:creationId xmlns:a16="http://schemas.microsoft.com/office/drawing/2014/main" id="{823EB602-4DBD-4450-BBB8-A546AC8B69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823EB602-4DBD-4450-BBB8-A546AC8B69C1}"/>
                        </a:ext>
                      </a:extLst>
                    </pic:cNvPr>
                    <pic:cNvPicPr>
                      <a:picLocks noChangeAspect="1"/>
                    </pic:cNvPicPr>
                  </pic:nvPicPr>
                  <pic:blipFill rotWithShape="1">
                    <a:blip r:embed="rId13"/>
                    <a:srcRect t="-2581" b="-1"/>
                    <a:stretch/>
                  </pic:blipFill>
                  <pic:spPr bwMode="auto">
                    <a:xfrm>
                      <a:off x="0" y="0"/>
                      <a:ext cx="5052295" cy="2470304"/>
                    </a:xfrm>
                    <a:prstGeom prst="rect">
                      <a:avLst/>
                    </a:prstGeom>
                    <a:ln>
                      <a:noFill/>
                    </a:ln>
                    <a:extLst>
                      <a:ext uri="{53640926-AAD7-44D8-BBD7-CCE9431645EC}">
                        <a14:shadowObscured xmlns:a14="http://schemas.microsoft.com/office/drawing/2010/main"/>
                      </a:ext>
                    </a:extLst>
                  </pic:spPr>
                </pic:pic>
              </a:graphicData>
            </a:graphic>
          </wp:inline>
        </w:drawing>
      </w:r>
    </w:p>
    <w:p w14:paraId="57D19F41" w14:textId="7798FDB9" w:rsidR="00BA53BC" w:rsidRPr="00412A0F" w:rsidRDefault="00BA53BC" w:rsidP="00BA53BC">
      <w:pPr>
        <w:pStyle w:val="Legendefigure"/>
        <w:rPr>
          <w:rFonts w:ascii="Arial" w:hAnsi="Arial" w:cs="Arial"/>
          <w:i w:val="0"/>
          <w:iCs/>
        </w:rPr>
      </w:pPr>
      <w:r w:rsidRPr="00412A0F">
        <w:rPr>
          <w:rFonts w:ascii="Arial" w:hAnsi="Arial" w:cs="Arial"/>
          <w:i w:val="0"/>
          <w:iCs/>
        </w:rPr>
        <w:t>Module de réaction d’une barrette de section rectangulaire : effet de forme</w:t>
      </w:r>
    </w:p>
    <w:p w14:paraId="3ABD20DA" w14:textId="50D1488E" w:rsidR="00214723" w:rsidRDefault="00214723" w:rsidP="00BA53BC">
      <w:pPr>
        <w:pStyle w:val="Corpsdetexte12retrait5mm"/>
        <w:ind w:firstLine="0"/>
      </w:pPr>
      <w:r>
        <w:t xml:space="preserve">On constate que la forme de la barrette a un impact limité sur le module de réaction (total) par rapport à celui d’un pieu de section circulaire. Le rapport </w:t>
      </w:r>
      <w:proofErr w:type="spellStart"/>
      <w:proofErr w:type="gramStart"/>
      <w:r>
        <w:t>E</w:t>
      </w:r>
      <w:r>
        <w:rPr>
          <w:vertAlign w:val="subscript"/>
        </w:rPr>
        <w:t>S,barrette</w:t>
      </w:r>
      <w:proofErr w:type="spellEnd"/>
      <w:proofErr w:type="gramEnd"/>
      <w:r>
        <w:t>/</w:t>
      </w:r>
      <w:proofErr w:type="spellStart"/>
      <w:r>
        <w:t>E</w:t>
      </w:r>
      <w:r>
        <w:rPr>
          <w:vertAlign w:val="subscript"/>
        </w:rPr>
        <w:t>S,pieu</w:t>
      </w:r>
      <w:proofErr w:type="spellEnd"/>
      <w:r>
        <w:t xml:space="preserve"> varie entre 1,0 pour une barrette flexible (par rapport au terrain) et 1,5 pour une barrette </w:t>
      </w:r>
      <w:r w:rsidR="00C00A34">
        <w:t>peu déformable.</w:t>
      </w:r>
      <w:r>
        <w:t xml:space="preserve"> Cela montre en particulier que l’approche forfaitaire de la NF P 94 262 </w:t>
      </w:r>
      <w:proofErr w:type="spellStart"/>
      <w:proofErr w:type="gramStart"/>
      <w:r w:rsidR="00BD4BD2">
        <w:t>E</w:t>
      </w:r>
      <w:r w:rsidR="00BD4BD2">
        <w:rPr>
          <w:vertAlign w:val="subscript"/>
        </w:rPr>
        <w:t>S,barrette</w:t>
      </w:r>
      <w:proofErr w:type="spellEnd"/>
      <w:proofErr w:type="gramEnd"/>
      <w:r w:rsidR="00BD4BD2">
        <w:t xml:space="preserve"> </w:t>
      </w:r>
      <w:r w:rsidR="00D55ED1">
        <w:t>= 2E</w:t>
      </w:r>
      <w:r w:rsidR="00D55ED1">
        <w:rPr>
          <w:vertAlign w:val="subscript"/>
        </w:rPr>
        <w:t>s,pieu</w:t>
      </w:r>
      <w:r w:rsidR="00D55ED1">
        <w:t xml:space="preserve"> </w:t>
      </w:r>
      <w:r>
        <w:t>conduit à une estimation par excès du module de réaction total pour une barrette de section rectangulaire (lorsque l’on tient compte du cumul des réactions frontale et tangentielle).</w:t>
      </w:r>
    </w:p>
    <w:p w14:paraId="11CE4FC4" w14:textId="0DC431F4" w:rsidR="00666DEA" w:rsidRDefault="00AC5ABE" w:rsidP="00BA53BC">
      <w:pPr>
        <w:pStyle w:val="Corpsdetexte12retrait5mm"/>
        <w:ind w:firstLine="0"/>
      </w:pPr>
      <w:r>
        <w:lastRenderedPageBreak/>
        <w:t xml:space="preserve">A noter que dans les modèles numériques ayant servi de base de calage, le terrain est considéré comme élastique, homogène et isotrope, avec un module d’Young uniforme E et un coefficient de Poisson de 0,33. Dans tous ces modèles, la </w:t>
      </w:r>
      <w:r w:rsidR="00BA53BC">
        <w:t xml:space="preserve">pointe des pieux et des barrettes a été </w:t>
      </w:r>
      <w:r w:rsidR="0083400D">
        <w:t>« </w:t>
      </w:r>
      <w:r w:rsidR="00BA53BC">
        <w:t>libérée</w:t>
      </w:r>
      <w:r w:rsidR="0083400D">
        <w:t> »,</w:t>
      </w:r>
      <w:r w:rsidR="00BA53BC">
        <w:t xml:space="preserve"> en désactivant les éléments de sol situés immédiatement sous la pointe de la fondation.</w:t>
      </w:r>
    </w:p>
    <w:p w14:paraId="43DFE439" w14:textId="692A2B42" w:rsidR="00652734" w:rsidRDefault="000441D4" w:rsidP="00652734">
      <w:pPr>
        <w:pStyle w:val="Titre1"/>
        <w:numPr>
          <w:ilvl w:val="1"/>
          <w:numId w:val="1"/>
        </w:numPr>
        <w:ind w:left="709"/>
        <w:rPr>
          <w:i/>
          <w:iCs/>
          <w:lang w:val="fr-FR"/>
        </w:rPr>
      </w:pPr>
      <w:r>
        <w:rPr>
          <w:i/>
          <w:iCs/>
          <w:lang w:val="fr-FR"/>
        </w:rPr>
        <w:t>Contributions relatives des réactions frontales et tangentielles</w:t>
      </w:r>
    </w:p>
    <w:p w14:paraId="118B070C" w14:textId="7D2D96BF" w:rsidR="00E31E8D" w:rsidRDefault="00D0055F" w:rsidP="00652734">
      <w:pPr>
        <w:pStyle w:val="Corpsdetexte12"/>
      </w:pPr>
      <w:r>
        <w:t>Le but de ce paragraphe est d</w:t>
      </w:r>
      <w:r w:rsidR="00354204">
        <w:t xml:space="preserve">’évaluer les contributions relatives des réactions frontales et tangentielles. </w:t>
      </w:r>
      <w:r w:rsidR="00A66D8A">
        <w:t xml:space="preserve">L’étude est menée à l’aide d’un modèle numérique 2D (logiciel PLAXIS 2D) représentant le comportement </w:t>
      </w:r>
      <w:r w:rsidR="00A66D8A" w:rsidRPr="008E1BD7">
        <w:rPr>
          <w:u w:val="single"/>
        </w:rPr>
        <w:t>en plan</w:t>
      </w:r>
      <w:r w:rsidR="00A66D8A">
        <w:t xml:space="preserve"> d’une barrette de section rectangulaire soumise à un chargement transversal comme le montre la figure</w:t>
      </w:r>
      <w:r w:rsidR="00D55ED1">
        <w:t>5</w:t>
      </w:r>
      <w:r w:rsidR="008E1BD7">
        <w:t>.</w:t>
      </w:r>
      <w:r w:rsidR="0060670A">
        <w:t xml:space="preserve"> </w:t>
      </w:r>
      <w:r w:rsidR="00E86AE6">
        <w:t xml:space="preserve">Dans ce modèle, le terrain est </w:t>
      </w:r>
      <w:r w:rsidR="00D55ED1">
        <w:t xml:space="preserve">ici également </w:t>
      </w:r>
      <w:r w:rsidR="00E86AE6">
        <w:t>considéré comme élastique, homogène et isotrope avec un coefficient de Poisson de 0,33. La section de la barrette est représentée par un volume rectangulaire rigide, soumis à une force horizontale unitaire.</w:t>
      </w:r>
    </w:p>
    <w:p w14:paraId="72A732F5" w14:textId="77777777" w:rsidR="00E31E8D" w:rsidRDefault="00E31E8D" w:rsidP="00E31E8D">
      <w:pPr>
        <w:pStyle w:val="Corpsdetexte12retrait5mm"/>
        <w:ind w:firstLine="0"/>
        <w:jc w:val="center"/>
      </w:pPr>
      <w:r w:rsidRPr="008E1BD7">
        <w:rPr>
          <w:noProof/>
          <w:lang w:eastAsia="fr-FR"/>
        </w:rPr>
        <w:drawing>
          <wp:inline distT="0" distB="0" distL="0" distR="0" wp14:anchorId="2064A13E" wp14:editId="38F009FF">
            <wp:extent cx="4916176" cy="2780665"/>
            <wp:effectExtent l="0" t="0" r="0" b="635"/>
            <wp:docPr id="82" name="Image 81">
              <a:extLst xmlns:a="http://schemas.openxmlformats.org/drawingml/2006/main">
                <a:ext uri="{FF2B5EF4-FFF2-40B4-BE49-F238E27FC236}">
                  <a16:creationId xmlns:a16="http://schemas.microsoft.com/office/drawing/2014/main" id="{1472F82F-68B1-4092-8488-866708DBF7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1">
                      <a:extLst>
                        <a:ext uri="{FF2B5EF4-FFF2-40B4-BE49-F238E27FC236}">
                          <a16:creationId xmlns:a16="http://schemas.microsoft.com/office/drawing/2014/main" id="{1472F82F-68B1-4092-8488-866708DBF71F}"/>
                        </a:ext>
                      </a:extLst>
                    </pic:cNvPr>
                    <pic:cNvPicPr>
                      <a:picLocks noChangeAspect="1"/>
                    </pic:cNvPicPr>
                  </pic:nvPicPr>
                  <pic:blipFill rotWithShape="1">
                    <a:blip r:embed="rId14"/>
                    <a:srcRect t="-850" r="5230" b="6150"/>
                    <a:stretch/>
                  </pic:blipFill>
                  <pic:spPr bwMode="auto">
                    <a:xfrm>
                      <a:off x="0" y="0"/>
                      <a:ext cx="4975243" cy="2814074"/>
                    </a:xfrm>
                    <a:prstGeom prst="rect">
                      <a:avLst/>
                    </a:prstGeom>
                    <a:ln>
                      <a:noFill/>
                    </a:ln>
                    <a:extLst>
                      <a:ext uri="{53640926-AAD7-44D8-BBD7-CCE9431645EC}">
                        <a14:shadowObscured xmlns:a14="http://schemas.microsoft.com/office/drawing/2010/main"/>
                      </a:ext>
                    </a:extLst>
                  </pic:spPr>
                </pic:pic>
              </a:graphicData>
            </a:graphic>
          </wp:inline>
        </w:drawing>
      </w:r>
    </w:p>
    <w:p w14:paraId="135AE089" w14:textId="7256DAAC" w:rsidR="00E31E8D" w:rsidRPr="00412A0F" w:rsidRDefault="00E31E8D" w:rsidP="00E31E8D">
      <w:pPr>
        <w:pStyle w:val="Legendefigure"/>
        <w:rPr>
          <w:rFonts w:ascii="Arial" w:hAnsi="Arial" w:cs="Arial"/>
          <w:i w:val="0"/>
          <w:iCs/>
        </w:rPr>
      </w:pPr>
      <w:r w:rsidRPr="00412A0F">
        <w:rPr>
          <w:rFonts w:ascii="Arial" w:hAnsi="Arial" w:cs="Arial"/>
          <w:i w:val="0"/>
          <w:iCs/>
        </w:rPr>
        <w:t>Modélisation simplifiée du comportement en plan d’une barrette</w:t>
      </w:r>
      <w:r w:rsidR="00753D13" w:rsidRPr="00412A0F">
        <w:rPr>
          <w:rFonts w:ascii="Arial" w:hAnsi="Arial" w:cs="Arial"/>
          <w:i w:val="0"/>
          <w:iCs/>
        </w:rPr>
        <w:t xml:space="preserve"> isolée</w:t>
      </w:r>
    </w:p>
    <w:p w14:paraId="555B6B2D" w14:textId="0A484FC3" w:rsidR="00E31E8D" w:rsidRDefault="00134F57" w:rsidP="00652734">
      <w:pPr>
        <w:pStyle w:val="Corpsdetexte12"/>
      </w:pPr>
      <w:r>
        <w:t xml:space="preserve">On évalue ensuite les réactions frontale </w:t>
      </w:r>
      <w:proofErr w:type="spellStart"/>
      <w:r w:rsidR="00E31E8D">
        <w:t>P</w:t>
      </w:r>
      <w:r w:rsidR="00E31E8D">
        <w:rPr>
          <w:vertAlign w:val="subscript"/>
        </w:rPr>
        <w:t>front</w:t>
      </w:r>
      <w:proofErr w:type="spellEnd"/>
      <w:r w:rsidR="00E31E8D">
        <w:t xml:space="preserve"> </w:t>
      </w:r>
      <w:r>
        <w:t xml:space="preserve">et tangentielle </w:t>
      </w:r>
      <w:proofErr w:type="spellStart"/>
      <w:r w:rsidR="00E31E8D">
        <w:t>P</w:t>
      </w:r>
      <w:r w:rsidR="00E31E8D">
        <w:rPr>
          <w:vertAlign w:val="subscript"/>
        </w:rPr>
        <w:t>tang</w:t>
      </w:r>
      <w:proofErr w:type="spellEnd"/>
      <w:r w:rsidR="00E31E8D">
        <w:t xml:space="preserve"> </w:t>
      </w:r>
      <w:r>
        <w:t>mobilisé</w:t>
      </w:r>
      <w:r w:rsidR="00E31E8D">
        <w:t>es, ce qui permet d’établir ce qui suit :</w:t>
      </w:r>
    </w:p>
    <w:p w14:paraId="35C3F8D2" w14:textId="2899678D" w:rsidR="00E31E8D" w:rsidRDefault="003E736D" w:rsidP="00E31E8D">
      <w:pPr>
        <w:pStyle w:val="Corpsdetexte12retrait5mm"/>
      </w:pPr>
      <m:oMathPara>
        <m:oMath>
          <m:f>
            <m:fPr>
              <m:ctrlPr>
                <w:rPr>
                  <w:rFonts w:ascii="Cambria Math" w:hAnsi="Cambria Math" w:cs="Cambria Math"/>
                  <w:i/>
                  <w:iCs/>
                </w:rPr>
              </m:ctrlPr>
            </m:fPr>
            <m:num>
              <m:sSub>
                <m:sSubPr>
                  <m:ctrlPr>
                    <w:rPr>
                      <w:rFonts w:ascii="Cambria Math" w:hAnsi="Cambria Math" w:cs="Cambria Math"/>
                      <w:iCs/>
                    </w:rPr>
                  </m:ctrlPr>
                </m:sSubPr>
                <m:e>
                  <m:r>
                    <m:rPr>
                      <m:sty m:val="p"/>
                    </m:rPr>
                    <w:rPr>
                      <w:rFonts w:ascii="Cambria Math" w:hAnsi="Cambria Math" w:cs="Cambria Math"/>
                    </w:rPr>
                    <m:t>E</m:t>
                  </m:r>
                </m:e>
                <m:sub>
                  <m:r>
                    <m:rPr>
                      <m:sty m:val="p"/>
                    </m:rPr>
                    <w:rPr>
                      <w:rFonts w:ascii="Cambria Math" w:hAnsi="Cambria Math" w:cs="Cambria Math"/>
                    </w:rPr>
                    <m:t>s,front</m:t>
                  </m:r>
                </m:sub>
              </m:sSub>
            </m:num>
            <m:den>
              <m:sSub>
                <m:sSubPr>
                  <m:ctrlPr>
                    <w:rPr>
                      <w:rFonts w:ascii="Cambria Math" w:hAnsi="Cambria Math" w:cs="Cambria Math"/>
                      <w:iCs/>
                    </w:rPr>
                  </m:ctrlPr>
                </m:sSubPr>
                <m:e>
                  <m:r>
                    <m:rPr>
                      <m:sty m:val="p"/>
                    </m:rPr>
                    <w:rPr>
                      <w:rFonts w:ascii="Cambria Math" w:hAnsi="Cambria Math" w:cs="Cambria Math"/>
                    </w:rPr>
                    <m:t>E</m:t>
                  </m:r>
                </m:e>
                <m:sub>
                  <m:r>
                    <m:rPr>
                      <m:sty m:val="p"/>
                    </m:rPr>
                    <w:rPr>
                      <w:rFonts w:ascii="Cambria Math" w:hAnsi="Cambria Math" w:cs="Cambria Math"/>
                    </w:rPr>
                    <m:t>s,barrette</m:t>
                  </m:r>
                </m:sub>
              </m:sSub>
            </m:den>
          </m:f>
          <m:r>
            <w:rPr>
              <w:rFonts w:ascii="Cambria Math" w:hAnsi="Cambria Math" w:cs="Cambria Math"/>
            </w:rPr>
            <m:t>=</m:t>
          </m:r>
          <m:f>
            <m:fPr>
              <m:ctrlPr>
                <w:rPr>
                  <w:rFonts w:ascii="Cambria Math" w:hAnsi="Cambria Math" w:cs="Cambria Math"/>
                  <w:i/>
                  <w:iCs/>
                </w:rPr>
              </m:ctrlPr>
            </m:fPr>
            <m:num>
              <m:sSub>
                <m:sSubPr>
                  <m:ctrlPr>
                    <w:rPr>
                      <w:rFonts w:ascii="Cambria Math" w:hAnsi="Cambria Math" w:cs="Cambria Math"/>
                    </w:rPr>
                  </m:ctrlPr>
                </m:sSubPr>
                <m:e>
                  <m:r>
                    <m:rPr>
                      <m:sty m:val="p"/>
                    </m:rPr>
                    <w:rPr>
                      <w:rFonts w:ascii="Cambria Math" w:hAnsi="Cambria Math" w:cs="Cambria Math"/>
                    </w:rPr>
                    <m:t>P</m:t>
                  </m:r>
                </m:e>
                <m:sub>
                  <m:r>
                    <m:rPr>
                      <m:sty m:val="p"/>
                    </m:rPr>
                    <w:rPr>
                      <w:rFonts w:ascii="Cambria Math" w:hAnsi="Cambria Math" w:cs="Cambria Math"/>
                    </w:rPr>
                    <m:t>front</m:t>
                  </m:r>
                </m:sub>
              </m:sSub>
            </m:num>
            <m:den>
              <m:sSub>
                <m:sSubPr>
                  <m:ctrlPr>
                    <w:rPr>
                      <w:rFonts w:ascii="Cambria Math" w:hAnsi="Cambria Math" w:cs="Cambria Math"/>
                    </w:rPr>
                  </m:ctrlPr>
                </m:sSubPr>
                <m:e>
                  <m:r>
                    <m:rPr>
                      <m:sty m:val="p"/>
                    </m:rPr>
                    <w:rPr>
                      <w:rFonts w:ascii="Cambria Math" w:hAnsi="Cambria Math" w:cs="Cambria Math"/>
                    </w:rPr>
                    <m:t>P</m:t>
                  </m:r>
                </m:e>
                <m:sub>
                  <m:r>
                    <m:rPr>
                      <m:sty m:val="p"/>
                    </m:rPr>
                    <w:rPr>
                      <w:rFonts w:ascii="Cambria Math" w:hAnsi="Cambria Math" w:cs="Cambria Math"/>
                    </w:rPr>
                    <m:t>front</m:t>
                  </m:r>
                </m:sub>
              </m:sSub>
              <m:r>
                <w:rPr>
                  <w:rFonts w:ascii="Cambria Math" w:hAnsi="Cambria Math" w:cs="Cambria Math"/>
                </w:rPr>
                <m:t>+</m:t>
              </m:r>
              <m:sSub>
                <m:sSubPr>
                  <m:ctrlPr>
                    <w:rPr>
                      <w:rFonts w:ascii="Cambria Math" w:hAnsi="Cambria Math" w:cs="Cambria Math"/>
                    </w:rPr>
                  </m:ctrlPr>
                </m:sSubPr>
                <m:e>
                  <m:r>
                    <m:rPr>
                      <m:sty m:val="p"/>
                    </m:rPr>
                    <w:rPr>
                      <w:rFonts w:ascii="Cambria Math" w:hAnsi="Cambria Math" w:cs="Cambria Math"/>
                    </w:rPr>
                    <m:t>P</m:t>
                  </m:r>
                </m:e>
                <m:sub>
                  <m:r>
                    <m:rPr>
                      <m:sty m:val="p"/>
                    </m:rPr>
                    <w:rPr>
                      <w:rFonts w:ascii="Cambria Math" w:hAnsi="Cambria Math" w:cs="Cambria Math"/>
                    </w:rPr>
                    <m:t>tang</m:t>
                  </m:r>
                </m:sub>
              </m:sSub>
            </m:den>
          </m:f>
          <m:r>
            <m:rPr>
              <m:sty m:val="p"/>
            </m:rPr>
            <w:rPr>
              <w:rFonts w:ascii="Cambria Math" w:hAnsi="Cambria Math" w:cs="Cambria Math"/>
            </w:rPr>
            <m:t xml:space="preserve">    et     </m:t>
          </m:r>
          <m:f>
            <m:fPr>
              <m:ctrlPr>
                <w:rPr>
                  <w:rFonts w:ascii="Cambria Math" w:hAnsi="Cambria Math" w:cs="Cambria Math"/>
                  <w:i/>
                  <w:iCs/>
                </w:rPr>
              </m:ctrlPr>
            </m:fPr>
            <m:num>
              <m:sSub>
                <m:sSubPr>
                  <m:ctrlPr>
                    <w:rPr>
                      <w:rFonts w:ascii="Cambria Math" w:hAnsi="Cambria Math" w:cs="Cambria Math"/>
                      <w:iCs/>
                    </w:rPr>
                  </m:ctrlPr>
                </m:sSubPr>
                <m:e>
                  <m:r>
                    <m:rPr>
                      <m:sty m:val="p"/>
                    </m:rPr>
                    <w:rPr>
                      <w:rFonts w:ascii="Cambria Math" w:hAnsi="Cambria Math" w:cs="Cambria Math"/>
                    </w:rPr>
                    <m:t>E</m:t>
                  </m:r>
                </m:e>
                <m:sub>
                  <m:r>
                    <m:rPr>
                      <m:sty m:val="p"/>
                    </m:rPr>
                    <w:rPr>
                      <w:rFonts w:ascii="Cambria Math" w:hAnsi="Cambria Math" w:cs="Cambria Math"/>
                    </w:rPr>
                    <m:t>s,tang</m:t>
                  </m:r>
                </m:sub>
              </m:sSub>
            </m:num>
            <m:den>
              <m:sSub>
                <m:sSubPr>
                  <m:ctrlPr>
                    <w:rPr>
                      <w:rFonts w:ascii="Cambria Math" w:hAnsi="Cambria Math" w:cs="Cambria Math"/>
                      <w:iCs/>
                    </w:rPr>
                  </m:ctrlPr>
                </m:sSubPr>
                <m:e>
                  <m:r>
                    <m:rPr>
                      <m:sty m:val="p"/>
                    </m:rPr>
                    <w:rPr>
                      <w:rFonts w:ascii="Cambria Math" w:hAnsi="Cambria Math" w:cs="Cambria Math"/>
                    </w:rPr>
                    <m:t>E</m:t>
                  </m:r>
                </m:e>
                <m:sub>
                  <m:r>
                    <m:rPr>
                      <m:sty m:val="p"/>
                    </m:rPr>
                    <w:rPr>
                      <w:rFonts w:ascii="Cambria Math" w:hAnsi="Cambria Math" w:cs="Cambria Math"/>
                    </w:rPr>
                    <m:t>s,barrette</m:t>
                  </m:r>
                </m:sub>
              </m:sSub>
            </m:den>
          </m:f>
          <m:r>
            <w:rPr>
              <w:rFonts w:ascii="Cambria Math" w:hAnsi="Cambria Math" w:cs="Cambria Math"/>
            </w:rPr>
            <m:t>=</m:t>
          </m:r>
          <m:f>
            <m:fPr>
              <m:ctrlPr>
                <w:rPr>
                  <w:rFonts w:ascii="Cambria Math" w:hAnsi="Cambria Math" w:cs="Cambria Math"/>
                  <w:i/>
                  <w:iCs/>
                </w:rPr>
              </m:ctrlPr>
            </m:fPr>
            <m:num>
              <m:sSub>
                <m:sSubPr>
                  <m:ctrlPr>
                    <w:rPr>
                      <w:rFonts w:ascii="Cambria Math" w:hAnsi="Cambria Math" w:cs="Cambria Math"/>
                    </w:rPr>
                  </m:ctrlPr>
                </m:sSubPr>
                <m:e>
                  <m:r>
                    <m:rPr>
                      <m:sty m:val="p"/>
                    </m:rPr>
                    <w:rPr>
                      <w:rFonts w:ascii="Cambria Math" w:hAnsi="Cambria Math" w:cs="Cambria Math"/>
                    </w:rPr>
                    <m:t>P</m:t>
                  </m:r>
                </m:e>
                <m:sub>
                  <m:r>
                    <m:rPr>
                      <m:sty m:val="p"/>
                    </m:rPr>
                    <w:rPr>
                      <w:rFonts w:ascii="Cambria Math" w:hAnsi="Cambria Math" w:cs="Cambria Math"/>
                    </w:rPr>
                    <m:t>tang</m:t>
                  </m:r>
                </m:sub>
              </m:sSub>
            </m:num>
            <m:den>
              <m:sSub>
                <m:sSubPr>
                  <m:ctrlPr>
                    <w:rPr>
                      <w:rFonts w:ascii="Cambria Math" w:hAnsi="Cambria Math" w:cs="Cambria Math"/>
                    </w:rPr>
                  </m:ctrlPr>
                </m:sSubPr>
                <m:e>
                  <m:r>
                    <m:rPr>
                      <m:sty m:val="p"/>
                    </m:rPr>
                    <w:rPr>
                      <w:rFonts w:ascii="Cambria Math" w:hAnsi="Cambria Math" w:cs="Cambria Math"/>
                    </w:rPr>
                    <m:t>P</m:t>
                  </m:r>
                </m:e>
                <m:sub>
                  <m:r>
                    <m:rPr>
                      <m:sty m:val="p"/>
                    </m:rPr>
                    <w:rPr>
                      <w:rFonts w:ascii="Cambria Math" w:hAnsi="Cambria Math" w:cs="Cambria Math"/>
                    </w:rPr>
                    <m:t>front</m:t>
                  </m:r>
                </m:sub>
              </m:sSub>
              <m:r>
                <w:rPr>
                  <w:rFonts w:ascii="Cambria Math" w:hAnsi="Cambria Math" w:cs="Cambria Math"/>
                </w:rPr>
                <m:t>+</m:t>
              </m:r>
              <m:sSub>
                <m:sSubPr>
                  <m:ctrlPr>
                    <w:rPr>
                      <w:rFonts w:ascii="Cambria Math" w:hAnsi="Cambria Math" w:cs="Cambria Math"/>
                    </w:rPr>
                  </m:ctrlPr>
                </m:sSubPr>
                <m:e>
                  <m:r>
                    <m:rPr>
                      <m:sty m:val="p"/>
                    </m:rPr>
                    <w:rPr>
                      <w:rFonts w:ascii="Cambria Math" w:hAnsi="Cambria Math" w:cs="Cambria Math"/>
                    </w:rPr>
                    <m:t>P</m:t>
                  </m:r>
                </m:e>
                <m:sub>
                  <m:r>
                    <m:rPr>
                      <m:sty m:val="p"/>
                    </m:rPr>
                    <w:rPr>
                      <w:rFonts w:ascii="Cambria Math" w:hAnsi="Cambria Math" w:cs="Cambria Math"/>
                    </w:rPr>
                    <m:t>tang</m:t>
                  </m:r>
                </m:sub>
              </m:sSub>
            </m:den>
          </m:f>
          <m:r>
            <m:rPr>
              <m:sty m:val="p"/>
            </m:rPr>
            <w:rPr>
              <w:rFonts w:ascii="Cambria Math" w:hAnsi="Cambria Math" w:cs="Cambria Math"/>
            </w:rPr>
            <m:t xml:space="preserve">       (2) </m:t>
          </m:r>
        </m:oMath>
      </m:oMathPara>
    </w:p>
    <w:p w14:paraId="5E8FAB13" w14:textId="77777777" w:rsidR="001404D4" w:rsidRPr="001404D4" w:rsidRDefault="001404D4" w:rsidP="00652734">
      <w:pPr>
        <w:pStyle w:val="Corpsdetexte12"/>
        <w:rPr>
          <w:sz w:val="10"/>
          <w:szCs w:val="10"/>
        </w:rPr>
      </w:pPr>
    </w:p>
    <w:p w14:paraId="526F8D97" w14:textId="60214DC3" w:rsidR="00E86AE6" w:rsidRDefault="001404D4" w:rsidP="007E1282">
      <w:pPr>
        <w:pStyle w:val="Corpsdetexte12"/>
      </w:pPr>
      <w:r>
        <w:t xml:space="preserve">L’exercice est mené pour différentes valeurs de L/B (Figure 6). </w:t>
      </w:r>
      <w:r w:rsidR="00236098">
        <w:t>A noter que l</w:t>
      </w:r>
      <w:r>
        <w:t xml:space="preserve">a mise en œuvre du modèle </w:t>
      </w:r>
      <w:r w:rsidR="00236098">
        <w:t xml:space="preserve">a </w:t>
      </w:r>
      <w:r>
        <w:t>montr</w:t>
      </w:r>
      <w:r w:rsidR="00236098">
        <w:t>é par ailleurs</w:t>
      </w:r>
      <w:r>
        <w:t xml:space="preserve"> que les réactions obtenues varient peu avec le module de déformation du terrain.</w:t>
      </w:r>
      <w:r w:rsidR="00E86AE6">
        <w:t xml:space="preserve"> </w:t>
      </w:r>
    </w:p>
    <w:p w14:paraId="07D5A03E" w14:textId="77777777" w:rsidR="00E86AE6" w:rsidRDefault="00E86AE6" w:rsidP="00E86AE6">
      <w:pPr>
        <w:pStyle w:val="Corpsdetexte12retrait5mm"/>
        <w:jc w:val="center"/>
      </w:pPr>
      <w:r w:rsidRPr="00682B13">
        <w:rPr>
          <w:noProof/>
          <w:lang w:eastAsia="fr-FR"/>
        </w:rPr>
        <w:lastRenderedPageBreak/>
        <w:drawing>
          <wp:inline distT="0" distB="0" distL="0" distR="0" wp14:anchorId="7388D163" wp14:editId="4DF86955">
            <wp:extent cx="4733925" cy="2501175"/>
            <wp:effectExtent l="0" t="0" r="0" b="0"/>
            <wp:docPr id="15" name="Image 14">
              <a:extLst xmlns:a="http://schemas.openxmlformats.org/drawingml/2006/main">
                <a:ext uri="{FF2B5EF4-FFF2-40B4-BE49-F238E27FC236}">
                  <a16:creationId xmlns:a16="http://schemas.microsoft.com/office/drawing/2014/main" id="{BC02449D-2F60-4075-9B18-2B82A06058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BC02449D-2F60-4075-9B18-2B82A06058BD}"/>
                        </a:ext>
                      </a:extLst>
                    </pic:cNvPr>
                    <pic:cNvPicPr>
                      <a:picLocks noChangeAspect="1"/>
                    </pic:cNvPicPr>
                  </pic:nvPicPr>
                  <pic:blipFill rotWithShape="1">
                    <a:blip r:embed="rId15"/>
                    <a:srcRect t="-4314"/>
                    <a:stretch/>
                  </pic:blipFill>
                  <pic:spPr bwMode="auto">
                    <a:xfrm>
                      <a:off x="0" y="0"/>
                      <a:ext cx="4839558" cy="2556986"/>
                    </a:xfrm>
                    <a:prstGeom prst="rect">
                      <a:avLst/>
                    </a:prstGeom>
                    <a:ln>
                      <a:noFill/>
                    </a:ln>
                    <a:extLst>
                      <a:ext uri="{53640926-AAD7-44D8-BBD7-CCE9431645EC}">
                        <a14:shadowObscured xmlns:a14="http://schemas.microsoft.com/office/drawing/2010/main"/>
                      </a:ext>
                    </a:extLst>
                  </pic:spPr>
                </pic:pic>
              </a:graphicData>
            </a:graphic>
          </wp:inline>
        </w:drawing>
      </w:r>
    </w:p>
    <w:p w14:paraId="29711D96" w14:textId="23D96AA3" w:rsidR="00E86AE6" w:rsidRDefault="00E86AE6" w:rsidP="00E86AE6">
      <w:pPr>
        <w:pStyle w:val="Legendefigure"/>
        <w:rPr>
          <w:rFonts w:ascii="Arial" w:hAnsi="Arial" w:cs="Arial"/>
          <w:i w:val="0"/>
          <w:iCs/>
        </w:rPr>
      </w:pPr>
      <w:r w:rsidRPr="00412A0F">
        <w:rPr>
          <w:rFonts w:ascii="Arial" w:hAnsi="Arial" w:cs="Arial"/>
          <w:i w:val="0"/>
          <w:iCs/>
        </w:rPr>
        <w:t>Contributions relatives des réactions frontale et tangentielle pour une barrette isolée</w:t>
      </w:r>
    </w:p>
    <w:p w14:paraId="3B541B36" w14:textId="77777777" w:rsidR="007E1282" w:rsidRDefault="007E1282" w:rsidP="007E1282">
      <w:pPr>
        <w:pStyle w:val="Corpsdetexte12"/>
      </w:pPr>
      <w:r>
        <w:t>La figure 6 permet de dégager les ordres de grandeur suivants :</w:t>
      </w:r>
    </w:p>
    <w:p w14:paraId="24A4C39B" w14:textId="77777777" w:rsidR="007E1282" w:rsidRPr="00E86AE6" w:rsidRDefault="007E1282" w:rsidP="007E1282">
      <w:pPr>
        <w:pStyle w:val="Corpsdetexte12retrait5mm"/>
        <w:rPr>
          <w:sz w:val="10"/>
          <w:szCs w:val="10"/>
        </w:rPr>
      </w:pPr>
    </w:p>
    <w:p w14:paraId="5FF0D4BE" w14:textId="715BBAFF" w:rsidR="007E1282" w:rsidRDefault="007E1282" w:rsidP="007E1282">
      <w:pPr>
        <w:pStyle w:val="Corpsdetexte12"/>
        <w:numPr>
          <w:ilvl w:val="0"/>
          <w:numId w:val="8"/>
        </w:numPr>
      </w:pPr>
      <w:r>
        <w:t>Pour L/B = 1 à 4</w:t>
      </w:r>
      <w:r>
        <w:tab/>
      </w:r>
      <w:r>
        <w:tab/>
        <w:t xml:space="preserve"> </w:t>
      </w:r>
      <w:proofErr w:type="spellStart"/>
      <w:proofErr w:type="gramStart"/>
      <w:r>
        <w:t>E</w:t>
      </w:r>
      <w:r>
        <w:rPr>
          <w:vertAlign w:val="subscript"/>
        </w:rPr>
        <w:t>s,front</w:t>
      </w:r>
      <w:proofErr w:type="spellEnd"/>
      <w:proofErr w:type="gramEnd"/>
      <w:r>
        <w:t xml:space="preserve"> ~ 0,5</w:t>
      </w:r>
      <w:r w:rsidR="00BD4BD2" w:rsidRPr="00BD4BD2">
        <w:t xml:space="preserve"> </w:t>
      </w:r>
      <w:proofErr w:type="spellStart"/>
      <w:r w:rsidR="00BD4BD2">
        <w:t>E</w:t>
      </w:r>
      <w:r w:rsidR="00BD4BD2">
        <w:rPr>
          <w:vertAlign w:val="subscript"/>
        </w:rPr>
        <w:t>S,barrette</w:t>
      </w:r>
      <w:proofErr w:type="spellEnd"/>
      <w:r>
        <w:t xml:space="preserve">  et  </w:t>
      </w:r>
      <w:proofErr w:type="spellStart"/>
      <w:r>
        <w:t>E</w:t>
      </w:r>
      <w:r>
        <w:rPr>
          <w:vertAlign w:val="subscript"/>
        </w:rPr>
        <w:t>s,tang</w:t>
      </w:r>
      <w:proofErr w:type="spellEnd"/>
      <w:r>
        <w:rPr>
          <w:vertAlign w:val="subscript"/>
        </w:rPr>
        <w:t xml:space="preserve"> </w:t>
      </w:r>
      <w:r>
        <w:t>~ 0,5</w:t>
      </w:r>
      <w:r w:rsidR="00BD4BD2">
        <w:t xml:space="preserve"> </w:t>
      </w:r>
      <w:proofErr w:type="spellStart"/>
      <w:r w:rsidR="00BD4BD2">
        <w:t>E</w:t>
      </w:r>
      <w:r w:rsidR="00BD4BD2">
        <w:rPr>
          <w:vertAlign w:val="subscript"/>
        </w:rPr>
        <w:t>S,barrette</w:t>
      </w:r>
      <w:proofErr w:type="spellEnd"/>
    </w:p>
    <w:p w14:paraId="351E6925" w14:textId="35522452" w:rsidR="007E1282" w:rsidRDefault="007E1282" w:rsidP="007E1282">
      <w:pPr>
        <w:pStyle w:val="Corpsdetexte12"/>
        <w:numPr>
          <w:ilvl w:val="0"/>
          <w:numId w:val="8"/>
        </w:numPr>
      </w:pPr>
      <w:r>
        <w:t>Pour L/B = 5 à 9</w:t>
      </w:r>
      <w:r>
        <w:tab/>
      </w:r>
      <w:r>
        <w:tab/>
        <w:t xml:space="preserve"> </w:t>
      </w:r>
      <w:proofErr w:type="spellStart"/>
      <w:proofErr w:type="gramStart"/>
      <w:r>
        <w:t>E</w:t>
      </w:r>
      <w:r>
        <w:rPr>
          <w:vertAlign w:val="subscript"/>
        </w:rPr>
        <w:t>s,front</w:t>
      </w:r>
      <w:proofErr w:type="spellEnd"/>
      <w:proofErr w:type="gramEnd"/>
      <w:r>
        <w:t xml:space="preserve"> ~ 0,3</w:t>
      </w:r>
      <w:r w:rsidR="00BD4BD2">
        <w:t xml:space="preserve"> </w:t>
      </w:r>
      <w:proofErr w:type="spellStart"/>
      <w:r w:rsidR="00BD4BD2">
        <w:t>E</w:t>
      </w:r>
      <w:r w:rsidR="00BD4BD2">
        <w:rPr>
          <w:vertAlign w:val="subscript"/>
        </w:rPr>
        <w:t>S,barrette</w:t>
      </w:r>
      <w:proofErr w:type="spellEnd"/>
      <w:r>
        <w:t xml:space="preserve">  et  </w:t>
      </w:r>
      <w:proofErr w:type="spellStart"/>
      <w:r>
        <w:t>E</w:t>
      </w:r>
      <w:r>
        <w:rPr>
          <w:vertAlign w:val="subscript"/>
        </w:rPr>
        <w:t>s,front</w:t>
      </w:r>
      <w:proofErr w:type="spellEnd"/>
      <w:r>
        <w:t xml:space="preserve"> ~ 0,7</w:t>
      </w:r>
      <w:r w:rsidR="00BD4BD2" w:rsidRPr="00BD4BD2">
        <w:t xml:space="preserve"> </w:t>
      </w:r>
      <w:proofErr w:type="spellStart"/>
      <w:r w:rsidR="00BD4BD2">
        <w:t>E</w:t>
      </w:r>
      <w:r w:rsidR="00BD4BD2">
        <w:rPr>
          <w:vertAlign w:val="subscript"/>
        </w:rPr>
        <w:t>S,barrette</w:t>
      </w:r>
      <w:proofErr w:type="spellEnd"/>
      <w:r>
        <w:t>.</w:t>
      </w:r>
    </w:p>
    <w:p w14:paraId="6AB48E66" w14:textId="77777777" w:rsidR="007E1282" w:rsidRPr="00E86AE6" w:rsidRDefault="007E1282" w:rsidP="007E1282">
      <w:pPr>
        <w:pStyle w:val="Corpsdetexte12"/>
        <w:rPr>
          <w:sz w:val="10"/>
          <w:szCs w:val="10"/>
        </w:rPr>
      </w:pPr>
    </w:p>
    <w:p w14:paraId="66DCAFE0" w14:textId="2C850765" w:rsidR="007E1282" w:rsidRPr="007E1282" w:rsidRDefault="007E1282" w:rsidP="007E1282">
      <w:pPr>
        <w:pStyle w:val="Corpsdetexte12"/>
      </w:pPr>
      <w:r>
        <w:t>Notons que pour les configurations courantes (L/B = 1 à 4), les résultats obtenus sont en accord avec l’approche forfaitaire de la NF P 94 262.</w:t>
      </w:r>
    </w:p>
    <w:p w14:paraId="056C3716" w14:textId="421FC94F" w:rsidR="004D6185" w:rsidRDefault="004D6185" w:rsidP="004D6185">
      <w:pPr>
        <w:pStyle w:val="Titre1"/>
        <w:numPr>
          <w:ilvl w:val="1"/>
          <w:numId w:val="1"/>
        </w:numPr>
        <w:ind w:left="709"/>
        <w:rPr>
          <w:i/>
          <w:iCs/>
          <w:lang w:val="fr-FR"/>
        </w:rPr>
      </w:pPr>
      <w:r>
        <w:rPr>
          <w:i/>
          <w:iCs/>
          <w:lang w:val="fr-FR"/>
        </w:rPr>
        <w:t>Influence du terme de pointe</w:t>
      </w:r>
    </w:p>
    <w:p w14:paraId="2B50F6C0" w14:textId="2E74DF48" w:rsidR="002411AC" w:rsidRDefault="00486793" w:rsidP="00236098">
      <w:pPr>
        <w:pStyle w:val="Corpsdetexte12"/>
      </w:pPr>
      <w:r>
        <w:t>Pour des barrettes de forte inertie et</w:t>
      </w:r>
      <w:r w:rsidR="00D55ED1">
        <w:t>,</w:t>
      </w:r>
      <w:r>
        <w:t xml:space="preserve"> d’une manière générale</w:t>
      </w:r>
      <w:r w:rsidR="00D55ED1">
        <w:t>,</w:t>
      </w:r>
      <w:r>
        <w:t xml:space="preserve"> pour </w:t>
      </w:r>
      <w:r w:rsidR="00155BFC">
        <w:t>les pieux et barrettes dont la longueur est inférieure à 2 fois la longueur de transfert, le terme de pointe peu</w:t>
      </w:r>
      <w:r w:rsidR="00EE19B0">
        <w:t>t</w:t>
      </w:r>
      <w:r w:rsidR="00155BFC">
        <w:t xml:space="preserve"> affecter de façon notable le comportement transversal. La figure </w:t>
      </w:r>
      <w:r w:rsidR="0032579D">
        <w:t xml:space="preserve">ci-après </w:t>
      </w:r>
      <w:r w:rsidR="00155BFC">
        <w:t xml:space="preserve">illustre ce point pour le cas de barrettes flottantes (sol d’ancrage ayant le même module que celui du sol le long du fût) et </w:t>
      </w:r>
      <w:r w:rsidR="000C53A0">
        <w:t xml:space="preserve">de </w:t>
      </w:r>
      <w:r w:rsidR="00155BFC">
        <w:t>barrettes ancrées (sol d’ancrage ayant un module allant</w:t>
      </w:r>
      <w:r w:rsidR="0032579D">
        <w:t xml:space="preserve"> de 1 à</w:t>
      </w:r>
      <w:r w:rsidR="00155BFC">
        <w:t xml:space="preserve"> 100 </w:t>
      </w:r>
      <w:r w:rsidR="000C53A0">
        <w:t xml:space="preserve">fois </w:t>
      </w:r>
      <w:r w:rsidR="00155BFC">
        <w:t>celui du sol le long du fût).</w:t>
      </w:r>
      <w:r w:rsidR="0032579D">
        <w:t xml:space="preserve"> </w:t>
      </w:r>
      <w:r w:rsidR="00EA3496">
        <w:t xml:space="preserve">Les calculs ont été menés par un modèle éléments finis 3D avec deux couches de sol de comportement élastique </w:t>
      </w:r>
      <w:r w:rsidR="00236098">
        <w:t>ayant</w:t>
      </w:r>
      <w:r w:rsidR="00EA3496">
        <w:t xml:space="preserve"> un coefficient de Poisson de 0,33.</w:t>
      </w:r>
      <w:r w:rsidR="00236098">
        <w:t xml:space="preserve"> </w:t>
      </w:r>
      <w:r w:rsidR="002411AC">
        <w:t>Les résultats obtenus montre</w:t>
      </w:r>
      <w:r w:rsidR="00DC6BFE">
        <w:t>nt</w:t>
      </w:r>
      <w:r w:rsidR="002411AC">
        <w:t xml:space="preserve"> que pour une barrette « flottante », l’influence du terme de pointe est négligeable quel</w:t>
      </w:r>
      <w:r w:rsidR="00D55ED1">
        <w:t xml:space="preserve">le </w:t>
      </w:r>
      <w:r w:rsidR="002411AC">
        <w:t xml:space="preserve">que soit la souplesse relative de la </w:t>
      </w:r>
      <w:r w:rsidR="004007D4">
        <w:t>fondation</w:t>
      </w:r>
      <w:r w:rsidR="002411AC">
        <w:t xml:space="preserve">. Pour une barrette « ancrée » </w:t>
      </w:r>
      <w:r w:rsidR="00236098">
        <w:t xml:space="preserve">et </w:t>
      </w:r>
      <w:r w:rsidR="002411AC">
        <w:t>peu flexible (D/l</w:t>
      </w:r>
      <w:r w:rsidR="002411AC">
        <w:rPr>
          <w:vertAlign w:val="subscript"/>
        </w:rPr>
        <w:t>0</w:t>
      </w:r>
      <w:r w:rsidR="002411AC">
        <w:t xml:space="preserve">* inférieur à 2), le terme de pointe peut raidir la réponse transversale de la barrette jusqu’à </w:t>
      </w:r>
      <w:r w:rsidR="00EC5663">
        <w:t xml:space="preserve">diviser le déplacement par </w:t>
      </w:r>
      <w:r w:rsidR="002411AC">
        <w:t>3 par rapport au cas d’une barrette flottante.</w:t>
      </w:r>
    </w:p>
    <w:p w14:paraId="22C9C3ED" w14:textId="12870276" w:rsidR="0032579D" w:rsidRDefault="0032579D" w:rsidP="0032579D">
      <w:pPr>
        <w:pStyle w:val="Corpsdetexte12retrait5mm"/>
        <w:ind w:firstLine="0"/>
        <w:jc w:val="center"/>
      </w:pPr>
      <w:r w:rsidRPr="006F2B8B">
        <w:rPr>
          <w:noProof/>
          <w:lang w:eastAsia="fr-FR"/>
        </w:rPr>
        <w:lastRenderedPageBreak/>
        <w:drawing>
          <wp:inline distT="0" distB="0" distL="0" distR="0" wp14:anchorId="36BD5466" wp14:editId="0F2CBC6F">
            <wp:extent cx="5318369" cy="3057440"/>
            <wp:effectExtent l="0" t="0" r="0" b="0"/>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que 38"/>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rcRect t="-3488"/>
                    <a:stretch/>
                  </pic:blipFill>
                  <pic:spPr bwMode="auto">
                    <a:xfrm>
                      <a:off x="0" y="0"/>
                      <a:ext cx="5394466" cy="3101187"/>
                    </a:xfrm>
                    <a:prstGeom prst="rect">
                      <a:avLst/>
                    </a:prstGeom>
                    <a:ln>
                      <a:noFill/>
                    </a:ln>
                    <a:extLst>
                      <a:ext uri="{53640926-AAD7-44D8-BBD7-CCE9431645EC}">
                        <a14:shadowObscured xmlns:a14="http://schemas.microsoft.com/office/drawing/2010/main"/>
                      </a:ext>
                    </a:extLst>
                  </pic:spPr>
                </pic:pic>
              </a:graphicData>
            </a:graphic>
          </wp:inline>
        </w:drawing>
      </w:r>
    </w:p>
    <w:p w14:paraId="6076275B" w14:textId="38DC9FDF" w:rsidR="00EA3496" w:rsidRPr="00412A0F" w:rsidRDefault="00EA3496" w:rsidP="00EA3496">
      <w:pPr>
        <w:pStyle w:val="Legendefigure"/>
        <w:rPr>
          <w:rFonts w:ascii="Arial" w:hAnsi="Arial" w:cs="Arial"/>
          <w:i w:val="0"/>
          <w:iCs/>
        </w:rPr>
      </w:pPr>
      <w:r w:rsidRPr="00412A0F">
        <w:rPr>
          <w:rFonts w:ascii="Arial" w:hAnsi="Arial" w:cs="Arial"/>
          <w:i w:val="0"/>
          <w:iCs/>
        </w:rPr>
        <w:t>Influence du terme de pointe sur le déplacement en tête</w:t>
      </w:r>
    </w:p>
    <w:p w14:paraId="79F9705B" w14:textId="147331E2" w:rsidR="007E1282" w:rsidRDefault="005A4AA9" w:rsidP="007E1282">
      <w:pPr>
        <w:pStyle w:val="Corpsdetexte12retrait5mm"/>
        <w:ind w:firstLine="0"/>
      </w:pPr>
      <w:r>
        <w:t>Dans le cadre d’un modèle p-y, l</w:t>
      </w:r>
      <w:r w:rsidR="0047235D">
        <w:t>a contribution du</w:t>
      </w:r>
      <w:r>
        <w:t xml:space="preserve"> terme de pointe peut être représenté</w:t>
      </w:r>
      <w:r w:rsidR="0047235D">
        <w:t>e</w:t>
      </w:r>
      <w:r>
        <w:t xml:space="preserve"> </w:t>
      </w:r>
      <w:r w:rsidR="00A94C44">
        <w:t xml:space="preserve">dans la pratique </w:t>
      </w:r>
      <w:r>
        <w:t>par un ressort translationnel de raideur K</w:t>
      </w:r>
      <w:r w:rsidRPr="005A4AA9">
        <w:rPr>
          <w:vertAlign w:val="subscript"/>
        </w:rPr>
        <w:t>H</w:t>
      </w:r>
      <w:r>
        <w:t xml:space="preserve"> (kN/m) et un ressort rotationnel de raideur K</w:t>
      </w:r>
      <w:r>
        <w:rPr>
          <w:vertAlign w:val="subscript"/>
        </w:rPr>
        <w:t>M</w:t>
      </w:r>
      <w:r>
        <w:t xml:space="preserve"> (</w:t>
      </w:r>
      <w:proofErr w:type="spellStart"/>
      <w:r>
        <w:t>kNm</w:t>
      </w:r>
      <w:proofErr w:type="spellEnd"/>
      <w:r>
        <w:t>/rad)</w:t>
      </w:r>
      <w:r w:rsidR="0047235D">
        <w:t>, placés en pied</w:t>
      </w:r>
      <w:r>
        <w:t xml:space="preserve">. La </w:t>
      </w:r>
      <w:r w:rsidR="0024642D">
        <w:t>F</w:t>
      </w:r>
      <w:r>
        <w:t>igure</w:t>
      </w:r>
      <w:r w:rsidR="0024642D">
        <w:t xml:space="preserve"> 8</w:t>
      </w:r>
      <w:r>
        <w:t xml:space="preserve"> ci-</w:t>
      </w:r>
      <w:r w:rsidR="0047235D">
        <w:t>après</w:t>
      </w:r>
      <w:r>
        <w:t xml:space="preserve"> donne quelques indications pour exprimer K</w:t>
      </w:r>
      <w:r>
        <w:rPr>
          <w:vertAlign w:val="subscript"/>
        </w:rPr>
        <w:t>H</w:t>
      </w:r>
      <w:r>
        <w:t xml:space="preserve"> et K</w:t>
      </w:r>
      <w:r>
        <w:rPr>
          <w:vertAlign w:val="subscript"/>
        </w:rPr>
        <w:t>M</w:t>
      </w:r>
      <w:r>
        <w:t xml:space="preserve"> à partir du module de cisaillement G et le coefficient de Poisson </w:t>
      </w:r>
      <w:r>
        <w:rPr>
          <w:rFonts w:cs="Arial"/>
        </w:rPr>
        <w:t>ν</w:t>
      </w:r>
      <w:r>
        <w:t xml:space="preserve"> du sol d’ancrage. </w:t>
      </w:r>
      <w:r w:rsidR="007E1282">
        <w:t xml:space="preserve">Les expressions proposées sont dérivées des solutions en élasticité proposées par </w:t>
      </w:r>
      <w:proofErr w:type="spellStart"/>
      <w:r w:rsidR="007E1282">
        <w:t>Gazetas</w:t>
      </w:r>
      <w:proofErr w:type="spellEnd"/>
      <w:r w:rsidR="007E1282">
        <w:t xml:space="preserve"> (1991) pour des fondations rectangulaires reposant sur un massif élastique homogène.</w:t>
      </w:r>
    </w:p>
    <w:p w14:paraId="715849D1" w14:textId="4AB1CF97" w:rsidR="007E1282" w:rsidRDefault="007E1282" w:rsidP="007E1282">
      <w:pPr>
        <w:pStyle w:val="Corpsdetexte12retrait5mm"/>
        <w:ind w:firstLine="0"/>
      </w:pPr>
      <w:r>
        <w:t xml:space="preserve">Dans le cadre d’un calcul non-linéaire, la réaction de ces ressorts </w:t>
      </w:r>
      <w:r w:rsidR="00236098">
        <w:t xml:space="preserve">est </w:t>
      </w:r>
      <w:r>
        <w:t xml:space="preserve">plafonnée à : </w:t>
      </w:r>
    </w:p>
    <w:p w14:paraId="6314D361" w14:textId="096658E4" w:rsidR="007E1282" w:rsidRDefault="007E1282" w:rsidP="007E1282">
      <w:pPr>
        <w:pStyle w:val="Corpsdetexte12retrait5mm"/>
        <w:numPr>
          <w:ilvl w:val="0"/>
          <w:numId w:val="8"/>
        </w:numPr>
      </w:pPr>
      <w:r>
        <w:t>T</w:t>
      </w:r>
      <w:r>
        <w:rPr>
          <w:vertAlign w:val="subscript"/>
        </w:rPr>
        <w:t>max</w:t>
      </w:r>
      <w:r>
        <w:t xml:space="preserve"> = </w:t>
      </w:r>
      <w:proofErr w:type="spellStart"/>
      <w:r>
        <w:t>tan</w:t>
      </w:r>
      <w:proofErr w:type="gramStart"/>
      <w:r>
        <w:rPr>
          <w:rFonts w:cs="Arial"/>
        </w:rPr>
        <w:t>φ</w:t>
      </w:r>
      <w:r>
        <w:t>.V</w:t>
      </w:r>
      <w:r w:rsidR="00631C8C">
        <w:rPr>
          <w:vertAlign w:val="subscript"/>
        </w:rPr>
        <w:t>b</w:t>
      </w:r>
      <w:proofErr w:type="spellEnd"/>
      <w:proofErr w:type="gramEnd"/>
      <w:r>
        <w:t xml:space="preserve">  pour le ressort translationnel K</w:t>
      </w:r>
      <w:r>
        <w:rPr>
          <w:vertAlign w:val="subscript"/>
        </w:rPr>
        <w:t>H</w:t>
      </w:r>
      <w:r>
        <w:t xml:space="preserve"> avec </w:t>
      </w:r>
      <w:r>
        <w:rPr>
          <w:rFonts w:cs="Arial"/>
        </w:rPr>
        <w:t>φ</w:t>
      </w:r>
      <w:r>
        <w:t xml:space="preserve"> l’angle de frottement du sol d’ancrage et V l’effort vertical transmis en pointe de la barrette ;</w:t>
      </w:r>
    </w:p>
    <w:p w14:paraId="2A78DE6B" w14:textId="6812820F" w:rsidR="007E1282" w:rsidRDefault="007E1282" w:rsidP="007E1282">
      <w:pPr>
        <w:pStyle w:val="Corpsdetexte12retrait5mm"/>
        <w:numPr>
          <w:ilvl w:val="0"/>
          <w:numId w:val="8"/>
        </w:numPr>
      </w:pPr>
      <w:proofErr w:type="spellStart"/>
      <w:r>
        <w:t>M</w:t>
      </w:r>
      <w:r w:rsidRPr="001404D4">
        <w:rPr>
          <w:vertAlign w:val="subscript"/>
        </w:rPr>
        <w:t>max</w:t>
      </w:r>
      <w:proofErr w:type="spellEnd"/>
      <w:r>
        <w:t xml:space="preserve"> = </w:t>
      </w:r>
      <w:proofErr w:type="spellStart"/>
      <w:proofErr w:type="gramStart"/>
      <w:r>
        <w:t>V</w:t>
      </w:r>
      <w:r w:rsidR="00631C8C">
        <w:rPr>
          <w:vertAlign w:val="subscript"/>
        </w:rPr>
        <w:t>b</w:t>
      </w:r>
      <w:r>
        <w:t>.L</w:t>
      </w:r>
      <w:proofErr w:type="spellEnd"/>
      <w:proofErr w:type="gramEnd"/>
      <w:r>
        <w:t>/4  pour le ressort rotationnel K</w:t>
      </w:r>
      <w:r w:rsidRPr="001404D4">
        <w:rPr>
          <w:vertAlign w:val="subscript"/>
        </w:rPr>
        <w:t>M</w:t>
      </w:r>
      <w:r>
        <w:t xml:space="preserve"> </w:t>
      </w:r>
      <w:r w:rsidR="00546BC1">
        <w:t xml:space="preserve">avec </w:t>
      </w:r>
      <w:proofErr w:type="spellStart"/>
      <w:r w:rsidR="00546BC1">
        <w:t>Vb</w:t>
      </w:r>
      <w:proofErr w:type="spellEnd"/>
      <w:r w:rsidR="00546BC1">
        <w:t xml:space="preserve"> l’effort de cisaillement sous la base </w:t>
      </w:r>
      <w:r>
        <w:t>(cela revient à limiter la décompression du sol sous la base de la barrette à 25% de l’aire totale de la pointe</w:t>
      </w:r>
      <w:r w:rsidR="00631C8C">
        <w:t>).</w:t>
      </w:r>
    </w:p>
    <w:p w14:paraId="29146C77" w14:textId="77777777" w:rsidR="003E736D" w:rsidRDefault="003E736D" w:rsidP="003E736D">
      <w:pPr>
        <w:pStyle w:val="Corpsdetexte12retrait5mm"/>
        <w:ind w:left="360" w:firstLine="0"/>
      </w:pPr>
    </w:p>
    <w:p w14:paraId="1A3FEA9A" w14:textId="295A9EB7" w:rsidR="004D6185" w:rsidRDefault="00092F5C" w:rsidP="003725BB">
      <w:pPr>
        <w:pStyle w:val="Corpsdetexte12retrait5mm"/>
        <w:jc w:val="center"/>
      </w:pPr>
      <w:r w:rsidRPr="00092F5C">
        <w:rPr>
          <w:noProof/>
          <w:lang w:eastAsia="fr-FR"/>
        </w:rPr>
        <w:drawing>
          <wp:inline distT="0" distB="0" distL="0" distR="0" wp14:anchorId="1487A342" wp14:editId="63FC22E9">
            <wp:extent cx="4720441" cy="2023481"/>
            <wp:effectExtent l="0" t="0" r="0" b="0"/>
            <wp:docPr id="5" name="Image 2" descr="Une image contenant texte&#10;&#10;Description générée automatiquement">
              <a:extLst xmlns:a="http://schemas.openxmlformats.org/drawingml/2006/main">
                <a:ext uri="{FF2B5EF4-FFF2-40B4-BE49-F238E27FC236}">
                  <a16:creationId xmlns:a16="http://schemas.microsoft.com/office/drawing/2014/main" id="{458AAFD9-BEAA-4686-A33C-764C7805FE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descr="Une image contenant texte&#10;&#10;Description générée automatiquement">
                      <a:extLst>
                        <a:ext uri="{FF2B5EF4-FFF2-40B4-BE49-F238E27FC236}">
                          <a16:creationId xmlns:a16="http://schemas.microsoft.com/office/drawing/2014/main" id="{458AAFD9-BEAA-4686-A33C-764C7805FEF1}"/>
                        </a:ext>
                      </a:extLst>
                    </pic:cNvPr>
                    <pic:cNvPicPr>
                      <a:picLocks noChangeAspect="1"/>
                    </pic:cNvPicPr>
                  </pic:nvPicPr>
                  <pic:blipFill rotWithShape="1">
                    <a:blip r:embed="rId18"/>
                    <a:srcRect t="-3320" b="3686"/>
                    <a:stretch/>
                  </pic:blipFill>
                  <pic:spPr bwMode="auto">
                    <a:xfrm>
                      <a:off x="0" y="0"/>
                      <a:ext cx="4771325" cy="2045293"/>
                    </a:xfrm>
                    <a:prstGeom prst="rect">
                      <a:avLst/>
                    </a:prstGeom>
                    <a:ln>
                      <a:noFill/>
                    </a:ln>
                    <a:extLst>
                      <a:ext uri="{53640926-AAD7-44D8-BBD7-CCE9431645EC}">
                        <a14:shadowObscured xmlns:a14="http://schemas.microsoft.com/office/drawing/2010/main"/>
                      </a:ext>
                    </a:extLst>
                  </pic:spPr>
                </pic:pic>
              </a:graphicData>
            </a:graphic>
          </wp:inline>
        </w:drawing>
      </w:r>
    </w:p>
    <w:p w14:paraId="21B5E718" w14:textId="0F91E41B" w:rsidR="00CB68FE" w:rsidRDefault="002E6E56" w:rsidP="000E0FD6">
      <w:pPr>
        <w:pStyle w:val="Legendefigure"/>
        <w:rPr>
          <w:rFonts w:ascii="Arial" w:hAnsi="Arial" w:cs="Arial"/>
          <w:i w:val="0"/>
          <w:iCs/>
        </w:rPr>
      </w:pPr>
      <w:r w:rsidRPr="00412A0F">
        <w:rPr>
          <w:rFonts w:ascii="Arial" w:hAnsi="Arial" w:cs="Arial"/>
          <w:i w:val="0"/>
          <w:iCs/>
        </w:rPr>
        <w:t>Ressort équivalent pour modéliser la réaction en pointe d’une barrette</w:t>
      </w:r>
      <w:r w:rsidR="00546BC1">
        <w:rPr>
          <w:rFonts w:ascii="Arial" w:hAnsi="Arial" w:cs="Arial"/>
          <w:i w:val="0"/>
          <w:iCs/>
        </w:rPr>
        <w:t xml:space="preserve"> (d’après </w:t>
      </w:r>
      <w:proofErr w:type="spellStart"/>
      <w:r w:rsidR="00546BC1">
        <w:rPr>
          <w:rFonts w:ascii="Arial" w:hAnsi="Arial" w:cs="Arial"/>
          <w:i w:val="0"/>
          <w:iCs/>
        </w:rPr>
        <w:t>Gazetas</w:t>
      </w:r>
      <w:proofErr w:type="spellEnd"/>
      <w:r w:rsidR="00546BC1">
        <w:rPr>
          <w:rFonts w:ascii="Arial" w:hAnsi="Arial" w:cs="Arial"/>
          <w:i w:val="0"/>
          <w:iCs/>
        </w:rPr>
        <w:t>, 1991)</w:t>
      </w:r>
    </w:p>
    <w:p w14:paraId="6AE88F3C" w14:textId="77777777" w:rsidR="003E736D" w:rsidRPr="003E736D" w:rsidRDefault="003E736D" w:rsidP="003E736D"/>
    <w:p w14:paraId="6BB02413" w14:textId="4C43E4A5" w:rsidR="0022233E" w:rsidRDefault="004764D3" w:rsidP="00C33331">
      <w:pPr>
        <w:pStyle w:val="Titre1"/>
        <w:rPr>
          <w:lang w:val="fr-FR"/>
        </w:rPr>
      </w:pPr>
      <w:r>
        <w:rPr>
          <w:lang w:val="fr-FR"/>
        </w:rPr>
        <w:lastRenderedPageBreak/>
        <w:t>Adaptation du module de réaction E</w:t>
      </w:r>
      <w:r>
        <w:rPr>
          <w:vertAlign w:val="subscript"/>
          <w:lang w:val="fr-FR"/>
        </w:rPr>
        <w:t>s</w:t>
      </w:r>
      <w:r>
        <w:rPr>
          <w:lang w:val="fr-FR"/>
        </w:rPr>
        <w:t xml:space="preserve"> au niveau de déformation</w:t>
      </w:r>
    </w:p>
    <w:p w14:paraId="639DE85D" w14:textId="6DE28B0A" w:rsidR="004764D3" w:rsidRDefault="004764D3" w:rsidP="004764D3">
      <w:pPr>
        <w:pStyle w:val="Titre1"/>
        <w:numPr>
          <w:ilvl w:val="1"/>
          <w:numId w:val="1"/>
        </w:numPr>
        <w:ind w:left="709"/>
        <w:rPr>
          <w:i/>
          <w:iCs/>
          <w:lang w:val="fr-FR"/>
        </w:rPr>
      </w:pPr>
      <w:r>
        <w:rPr>
          <w:i/>
          <w:iCs/>
          <w:lang w:val="fr-FR"/>
        </w:rPr>
        <w:t>Principe général</w:t>
      </w:r>
    </w:p>
    <w:p w14:paraId="15091541" w14:textId="7028FE50" w:rsidR="00AD626A" w:rsidRDefault="00F86714" w:rsidP="00AD626A">
      <w:pPr>
        <w:pStyle w:val="Corpsdetexte12retrait5mm"/>
        <w:ind w:firstLine="0"/>
      </w:pPr>
      <w:r>
        <w:t>Le choix d’un module de réaction E</w:t>
      </w:r>
      <w:r>
        <w:rPr>
          <w:vertAlign w:val="subscript"/>
        </w:rPr>
        <w:t>s</w:t>
      </w:r>
      <w:r>
        <w:t xml:space="preserve"> </w:t>
      </w:r>
      <w:proofErr w:type="spellStart"/>
      <w:r>
        <w:t>suppose</w:t>
      </w:r>
      <w:proofErr w:type="spellEnd"/>
      <w:r>
        <w:t xml:space="preserve"> une linéarisation</w:t>
      </w:r>
      <w:r w:rsidR="007A7D38">
        <w:t xml:space="preserve"> préalable</w:t>
      </w:r>
      <w:r>
        <w:t xml:space="preserve"> du comportement du terrain. </w:t>
      </w:r>
      <w:r w:rsidR="00BE444E">
        <w:t>L</w:t>
      </w:r>
      <w:r w:rsidR="00000C8C">
        <w:t>a valeur de E</w:t>
      </w:r>
      <w:r w:rsidR="00000C8C">
        <w:rPr>
          <w:vertAlign w:val="subscript"/>
        </w:rPr>
        <w:t>s</w:t>
      </w:r>
      <w:r w:rsidR="00000C8C">
        <w:t xml:space="preserve"> </w:t>
      </w:r>
      <w:proofErr w:type="spellStart"/>
      <w:r w:rsidR="00000C8C">
        <w:t>varie</w:t>
      </w:r>
      <w:proofErr w:type="spellEnd"/>
      <w:r w:rsidR="00000C8C">
        <w:t xml:space="preserve"> en toute rigueur avec la distorsion induite par le chargement transversal du pieu. </w:t>
      </w:r>
      <w:r w:rsidR="00AD626A">
        <w:t xml:space="preserve">Cette variation peut être gérée </w:t>
      </w:r>
      <w:r w:rsidR="003160A7">
        <w:t xml:space="preserve">selon deux types d’approche </w:t>
      </w:r>
      <w:r w:rsidR="00AD626A">
        <w:t>:</w:t>
      </w:r>
    </w:p>
    <w:p w14:paraId="28F0D1FD" w14:textId="7C563F16" w:rsidR="0013662E" w:rsidRDefault="0013662E" w:rsidP="00AD626A">
      <w:pPr>
        <w:pStyle w:val="Corpsdetexte12retrait5mm"/>
        <w:numPr>
          <w:ilvl w:val="0"/>
          <w:numId w:val="8"/>
        </w:numPr>
      </w:pPr>
      <w:r>
        <w:t xml:space="preserve">Approche </w:t>
      </w:r>
      <w:r w:rsidR="000152EA">
        <w:t xml:space="preserve">A </w:t>
      </w:r>
      <w:r>
        <w:t xml:space="preserve">: </w:t>
      </w:r>
      <w:r w:rsidR="00BF73C0">
        <w:t xml:space="preserve">on estime une valeur de « référence » du module </w:t>
      </w:r>
      <w:proofErr w:type="spellStart"/>
      <w:proofErr w:type="gramStart"/>
      <w:r w:rsidR="00BF73C0">
        <w:t>E</w:t>
      </w:r>
      <w:r w:rsidR="00BF73C0">
        <w:rPr>
          <w:vertAlign w:val="subscript"/>
        </w:rPr>
        <w:t>s</w:t>
      </w:r>
      <w:r w:rsidR="00601ABD">
        <w:rPr>
          <w:vertAlign w:val="subscript"/>
        </w:rPr>
        <w:t>,ref</w:t>
      </w:r>
      <w:proofErr w:type="spellEnd"/>
      <w:proofErr w:type="gramEnd"/>
      <w:r w:rsidR="00BF73C0">
        <w:t xml:space="preserve"> </w:t>
      </w:r>
      <w:r>
        <w:t>par corrélation avec E</w:t>
      </w:r>
      <w:r>
        <w:rPr>
          <w:vertAlign w:val="subscript"/>
        </w:rPr>
        <w:t>M</w:t>
      </w:r>
      <w:r>
        <w:t xml:space="preserve"> ou </w:t>
      </w:r>
      <w:proofErr w:type="spellStart"/>
      <w:r>
        <w:t>q</w:t>
      </w:r>
      <w:r>
        <w:rPr>
          <w:vertAlign w:val="subscript"/>
        </w:rPr>
        <w:t>c</w:t>
      </w:r>
      <w:proofErr w:type="spellEnd"/>
      <w:r>
        <w:t xml:space="preserve">. Les solutions empiriques existantes couvrent </w:t>
      </w:r>
      <w:r w:rsidR="001A3B1F">
        <w:t xml:space="preserve">généralement </w:t>
      </w:r>
      <w:proofErr w:type="gramStart"/>
      <w:r w:rsidR="001A3B1F">
        <w:t>une</w:t>
      </w:r>
      <w:r>
        <w:t xml:space="preserve">  </w:t>
      </w:r>
      <w:r w:rsidR="005552CF">
        <w:t>distorsion</w:t>
      </w:r>
      <w:proofErr w:type="gramEnd"/>
      <w:r>
        <w:t> </w:t>
      </w:r>
      <w:r w:rsidR="001A3B1F">
        <w:t>correspondant à</w:t>
      </w:r>
      <w:r>
        <w:t xml:space="preserve"> des déplacements en tête de l’ordre de 1% à 3% du diamètre du pieu. Pour des </w:t>
      </w:r>
      <w:r w:rsidR="00042FDF">
        <w:t>déplacements</w:t>
      </w:r>
      <w:r>
        <w:t xml:space="preserve"> plus</w:t>
      </w:r>
      <w:r w:rsidR="005552CF">
        <w:t xml:space="preserve"> faibles, </w:t>
      </w:r>
      <w:r w:rsidR="001A3B1F">
        <w:t>on prend E</w:t>
      </w:r>
      <w:r w:rsidR="001A3B1F">
        <w:rPr>
          <w:vertAlign w:val="subscript"/>
        </w:rPr>
        <w:t>s</w:t>
      </w:r>
      <w:r w:rsidR="00601ABD">
        <w:t xml:space="preserve"> </w:t>
      </w:r>
      <w:r w:rsidR="001A3B1F">
        <w:t xml:space="preserve">&gt; </w:t>
      </w:r>
      <w:proofErr w:type="spellStart"/>
      <w:proofErr w:type="gramStart"/>
      <w:r w:rsidR="00601ABD">
        <w:t>E</w:t>
      </w:r>
      <w:r w:rsidR="00601ABD">
        <w:rPr>
          <w:vertAlign w:val="subscript"/>
        </w:rPr>
        <w:t>s,ref</w:t>
      </w:r>
      <w:proofErr w:type="spellEnd"/>
      <w:proofErr w:type="gramEnd"/>
      <w:r w:rsidR="00601ABD">
        <w:t xml:space="preserve"> ; </w:t>
      </w:r>
      <w:r w:rsidR="005552CF">
        <w:t>pour des d</w:t>
      </w:r>
      <w:r w:rsidR="00042FDF">
        <w:t>éplacements</w:t>
      </w:r>
      <w:r w:rsidR="005552CF">
        <w:t xml:space="preserve"> plus</w:t>
      </w:r>
      <w:r>
        <w:t xml:space="preserve"> élevés, </w:t>
      </w:r>
      <w:r w:rsidR="001A3B1F">
        <w:t>on complète</w:t>
      </w:r>
      <w:r>
        <w:t xml:space="preserve"> le module de réaction par un palier plastique</w:t>
      </w:r>
      <w:r w:rsidR="00042FDF">
        <w:t>.</w:t>
      </w:r>
      <w:r>
        <w:t xml:space="preserve"> </w:t>
      </w:r>
    </w:p>
    <w:p w14:paraId="65A8BB57" w14:textId="075B02FE" w:rsidR="00F86714" w:rsidRDefault="0013662E" w:rsidP="00F86714">
      <w:pPr>
        <w:pStyle w:val="Corpsdetexte12retrait5mm"/>
        <w:numPr>
          <w:ilvl w:val="0"/>
          <w:numId w:val="8"/>
        </w:numPr>
      </w:pPr>
      <w:r>
        <w:t xml:space="preserve">Approche </w:t>
      </w:r>
      <w:r w:rsidR="000152EA">
        <w:t xml:space="preserve">B </w:t>
      </w:r>
      <w:r w:rsidR="005552CF">
        <w:t>:</w:t>
      </w:r>
      <w:r w:rsidR="000152EA">
        <w:t xml:space="preserve"> on estime le module de réaction </w:t>
      </w:r>
      <w:proofErr w:type="gramStart"/>
      <w:r w:rsidR="000152EA">
        <w:t>E</w:t>
      </w:r>
      <w:r w:rsidR="000152EA">
        <w:rPr>
          <w:vertAlign w:val="subscript"/>
        </w:rPr>
        <w:t>s</w:t>
      </w:r>
      <w:r w:rsidR="000152EA">
        <w:t xml:space="preserve"> </w:t>
      </w:r>
      <w:r w:rsidR="005552CF">
        <w:t xml:space="preserve"> par</w:t>
      </w:r>
      <w:proofErr w:type="gramEnd"/>
      <w:r w:rsidR="005552CF">
        <w:t xml:space="preserve"> corrélation </w:t>
      </w:r>
      <w:r w:rsidR="000152EA">
        <w:t xml:space="preserve">directe </w:t>
      </w:r>
      <w:r w:rsidR="005552CF">
        <w:t xml:space="preserve">avec un module d’élasticité E (ou de cisaillement G) dont le choix </w:t>
      </w:r>
      <w:r w:rsidR="000152EA">
        <w:t>est</w:t>
      </w:r>
      <w:r w:rsidR="005552CF">
        <w:t xml:space="preserve"> adapté </w:t>
      </w:r>
      <w:r w:rsidR="000152EA">
        <w:t xml:space="preserve">préalablement </w:t>
      </w:r>
      <w:r w:rsidR="005552CF">
        <w:t>au niveau de distorsion. On peut pour cela se baser</w:t>
      </w:r>
      <w:r w:rsidR="000152EA">
        <w:t xml:space="preserve"> soit</w:t>
      </w:r>
      <w:r w:rsidR="005552CF">
        <w:t xml:space="preserve"> sur des courbes de dégradation établies à partir du module maximal E</w:t>
      </w:r>
      <w:r w:rsidR="005552CF">
        <w:rPr>
          <w:vertAlign w:val="subscript"/>
        </w:rPr>
        <w:t>0</w:t>
      </w:r>
      <w:r w:rsidR="005552CF">
        <w:t xml:space="preserve"> (ou G</w:t>
      </w:r>
      <w:r w:rsidR="005552CF">
        <w:rPr>
          <w:vertAlign w:val="subscript"/>
        </w:rPr>
        <w:t>0</w:t>
      </w:r>
      <w:r w:rsidR="005552CF">
        <w:t>)</w:t>
      </w:r>
      <w:r w:rsidR="008428E0">
        <w:t xml:space="preserve">, soit </w:t>
      </w:r>
      <w:r w:rsidR="005552CF">
        <w:t xml:space="preserve">sur des </w:t>
      </w:r>
      <w:r w:rsidR="00D70E2C">
        <w:t>courbes en S</w:t>
      </w:r>
      <w:r w:rsidR="005552CF">
        <w:t xml:space="preserve"> empiriques donnant le rapport E/E</w:t>
      </w:r>
      <w:r w:rsidR="005552CF">
        <w:rPr>
          <w:vertAlign w:val="subscript"/>
        </w:rPr>
        <w:t>M</w:t>
      </w:r>
      <w:r w:rsidR="005552CF">
        <w:t xml:space="preserve"> ou E/</w:t>
      </w:r>
      <w:proofErr w:type="spellStart"/>
      <w:r w:rsidR="005552CF">
        <w:t>q</w:t>
      </w:r>
      <w:r w:rsidR="005552CF">
        <w:rPr>
          <w:vertAlign w:val="subscript"/>
        </w:rPr>
        <w:t>c</w:t>
      </w:r>
      <w:proofErr w:type="spellEnd"/>
      <w:r w:rsidR="005552CF">
        <w:t xml:space="preserve"> en fonction du niveau de déformation</w:t>
      </w:r>
      <w:r w:rsidR="008428E0">
        <w:t xml:space="preserve"> (ou de distorsion)</w:t>
      </w:r>
      <w:r w:rsidR="00222BF1">
        <w:t>,</w:t>
      </w:r>
      <w:r w:rsidR="005552CF">
        <w:t xml:space="preserve"> telles que celles développées dans le PN ARSCOP (Hoang et al., 2018) pour le calcul des fondations superficielles.</w:t>
      </w:r>
    </w:p>
    <w:p w14:paraId="2DCED430" w14:textId="4F12420C" w:rsidR="00016E9A" w:rsidRDefault="00016E9A" w:rsidP="00016E9A">
      <w:pPr>
        <w:pStyle w:val="Corpsdetexte12retrait5mm"/>
        <w:ind w:firstLine="0"/>
      </w:pPr>
      <w:r>
        <w:t xml:space="preserve">Le paragraphe suivant </w:t>
      </w:r>
      <w:r w:rsidR="00634F36">
        <w:t>illustre l’approche A à travers une étude expérimentale</w:t>
      </w:r>
      <w:r w:rsidR="00BC1315">
        <w:t>.</w:t>
      </w:r>
    </w:p>
    <w:p w14:paraId="67DFA5B6" w14:textId="69EA44CE" w:rsidR="004764D3" w:rsidRDefault="00313B64" w:rsidP="004764D3">
      <w:pPr>
        <w:pStyle w:val="Titre1"/>
        <w:numPr>
          <w:ilvl w:val="1"/>
          <w:numId w:val="1"/>
        </w:numPr>
        <w:ind w:left="709"/>
        <w:rPr>
          <w:i/>
          <w:iCs/>
          <w:lang w:val="fr-FR"/>
        </w:rPr>
      </w:pPr>
      <w:r>
        <w:rPr>
          <w:i/>
          <w:iCs/>
          <w:lang w:val="fr-FR"/>
        </w:rPr>
        <w:t xml:space="preserve">Etude expérimentale de </w:t>
      </w:r>
      <w:r w:rsidR="00DB5008">
        <w:rPr>
          <w:i/>
          <w:iCs/>
          <w:lang w:val="fr-FR"/>
        </w:rPr>
        <w:t>la variation de E</w:t>
      </w:r>
      <w:r w:rsidR="00DB5008">
        <w:rPr>
          <w:i/>
          <w:iCs/>
          <w:vertAlign w:val="subscript"/>
          <w:lang w:val="fr-FR"/>
        </w:rPr>
        <w:t>s</w:t>
      </w:r>
      <w:r w:rsidR="00DB5008">
        <w:rPr>
          <w:i/>
          <w:iCs/>
          <w:lang w:val="fr-FR"/>
        </w:rPr>
        <w:t xml:space="preserve"> avec le niveau de distorsion</w:t>
      </w:r>
    </w:p>
    <w:p w14:paraId="3C35EC58" w14:textId="4B99A582" w:rsidR="006F6A06" w:rsidRDefault="006F6A06" w:rsidP="007C3F91">
      <w:pPr>
        <w:pStyle w:val="Corpsdetexte12retrait5mm"/>
        <w:ind w:firstLine="0"/>
        <w:rPr>
          <w:rFonts w:cs="Arial"/>
        </w:rPr>
      </w:pPr>
      <w:r>
        <w:t xml:space="preserve">L’étude présentée s’inscrit dans le cadre du projet « Mae </w:t>
      </w:r>
      <w:proofErr w:type="spellStart"/>
      <w:r>
        <w:t>Moh</w:t>
      </w:r>
      <w:proofErr w:type="spellEnd"/>
      <w:r>
        <w:t xml:space="preserve"> Power Plants » en Thaïlande. On exploite les résultats d’une campagne d’essais de chargement transversal en vraie grandeur, portant sur 16 pieux de section circulaire de diamètres B = 0,60</w:t>
      </w:r>
      <w:r w:rsidR="001E286E">
        <w:t> m</w:t>
      </w:r>
      <w:r>
        <w:t>, 0,80</w:t>
      </w:r>
      <w:r w:rsidR="001E286E">
        <w:t> m</w:t>
      </w:r>
      <w:r>
        <w:t xml:space="preserve"> et 1,20</w:t>
      </w:r>
      <w:r w:rsidR="001E286E">
        <w:t> m</w:t>
      </w:r>
      <w:r>
        <w:t xml:space="preserve"> et de longueurs variant de 17 à 29 m (comportement flexible dans tous les cas). La stratigraphie est constituée d’une succession de terrains sableux et argileux </w:t>
      </w:r>
      <w:r w:rsidR="00711F93">
        <w:t xml:space="preserve">normalement consolidés, et </w:t>
      </w:r>
      <w:r>
        <w:t>caractérisés préalablement par des essais pressiométriques de Ménard</w:t>
      </w:r>
      <w:r w:rsidR="00711F93">
        <w:t xml:space="preserve"> (avec E</w:t>
      </w:r>
      <w:r w:rsidR="00711F93">
        <w:rPr>
          <w:vertAlign w:val="subscript"/>
        </w:rPr>
        <w:t xml:space="preserve">M </w:t>
      </w:r>
      <w:r w:rsidR="001E286E">
        <w:t xml:space="preserve">variant </w:t>
      </w:r>
      <w:r w:rsidR="00711F93">
        <w:t>de 5 à 30 MPa)</w:t>
      </w:r>
      <w:r>
        <w:t>. Les 16 pieux sont soumis à 4 cycles de charge-décharge allant de 0,5 à 2,0 fois la charge « de service » des pieux (celle-ci vari</w:t>
      </w:r>
      <w:r w:rsidR="00357EB1">
        <w:t>ant</w:t>
      </w:r>
      <w:r>
        <w:t xml:space="preserve"> de 70 à 240 kN). On mesure le déplacement horizontal pour chaque incrément de charge</w:t>
      </w:r>
      <w:r w:rsidR="0094479B">
        <w:t xml:space="preserve">, que l’on cherche à reproduire par un modèle </w:t>
      </w:r>
      <w:r w:rsidR="00E15FF1">
        <w:t>p-y correspondant à la stratigraphie rencontrée</w:t>
      </w:r>
      <w:r w:rsidR="0094479B">
        <w:t>.</w:t>
      </w:r>
      <w:r w:rsidR="00E15FF1">
        <w:t xml:space="preserve"> </w:t>
      </w:r>
      <w:r w:rsidR="0094479B">
        <w:t xml:space="preserve">Le </w:t>
      </w:r>
      <w:proofErr w:type="spellStart"/>
      <w:r w:rsidR="0094479B">
        <w:t>retro</w:t>
      </w:r>
      <w:proofErr w:type="spellEnd"/>
      <w:r w:rsidR="0094479B">
        <w:t xml:space="preserve">-calage est mené en appliquant un facteur correcteur </w:t>
      </w:r>
      <m:oMath>
        <m:r>
          <m:rPr>
            <m:sty m:val="p"/>
          </m:rPr>
          <w:rPr>
            <w:rFonts w:ascii="Cambria Math" w:hAnsi="Cambria Math"/>
            <w:lang w:eastAsia="nl-NL"/>
          </w:rPr>
          <m:t>η</m:t>
        </m:r>
      </m:oMath>
      <w:r w:rsidR="0094479B">
        <w:t xml:space="preserve"> sur le module de réaction de référence</w:t>
      </w:r>
      <w:r w:rsidR="001E286E">
        <w:t>,</w:t>
      </w:r>
      <w:r w:rsidR="0094479B">
        <w:t xml:space="preserve"> obtenu par application de l’approche empirique de Ménard (</w:t>
      </w:r>
      <w:r w:rsidR="00E15FF1">
        <w:t>NF P 94</w:t>
      </w:r>
      <w:r w:rsidR="0094479B">
        <w:t> </w:t>
      </w:r>
      <w:r w:rsidR="00E15FF1">
        <w:t>26</w:t>
      </w:r>
      <w:r w:rsidR="00FA31ED">
        <w:t>2</w:t>
      </w:r>
      <w:r w:rsidR="0094479B">
        <w:t>,</w:t>
      </w:r>
      <w:r w:rsidR="00FA31ED">
        <w:t xml:space="preserve"> pour une sollicitation de courte durée</w:t>
      </w:r>
      <w:r w:rsidR="0094479B">
        <w:t>)</w:t>
      </w:r>
      <w:r w:rsidR="00FA31ED">
        <w:t xml:space="preserve">. La valeur de </w:t>
      </w:r>
      <m:oMath>
        <m:r>
          <m:rPr>
            <m:sty m:val="p"/>
          </m:rPr>
          <w:rPr>
            <w:rFonts w:ascii="Cambria Math" w:hAnsi="Cambria Math"/>
            <w:lang w:eastAsia="nl-NL"/>
          </w:rPr>
          <m:t>η</m:t>
        </m:r>
      </m:oMath>
      <w:r w:rsidR="00FA31ED">
        <w:rPr>
          <w:rFonts w:cs="Arial"/>
        </w:rPr>
        <w:t xml:space="preserve"> est calée pour chaque cycle de charge</w:t>
      </w:r>
      <w:r w:rsidR="00D4049A">
        <w:rPr>
          <w:rFonts w:cs="Arial"/>
        </w:rPr>
        <w:t xml:space="preserve"> et est prise </w:t>
      </w:r>
      <w:r w:rsidR="00FA31ED">
        <w:rPr>
          <w:rFonts w:cs="Arial"/>
        </w:rPr>
        <w:t>identique pour toutes les couches</w:t>
      </w:r>
      <w:r w:rsidR="00D4049A">
        <w:rPr>
          <w:rFonts w:cs="Arial"/>
        </w:rPr>
        <w:t xml:space="preserve"> </w:t>
      </w:r>
      <w:r w:rsidR="00FA31ED">
        <w:rPr>
          <w:rFonts w:cs="Arial"/>
        </w:rPr>
        <w:t>:</w:t>
      </w:r>
    </w:p>
    <w:p w14:paraId="4FC581D6" w14:textId="77777777" w:rsidR="000E7C7A" w:rsidRPr="000E7C7A" w:rsidRDefault="000E7C7A" w:rsidP="007C3F91">
      <w:pPr>
        <w:pStyle w:val="Corpsdetexte12retrait5mm"/>
        <w:ind w:firstLine="0"/>
        <w:rPr>
          <w:rFonts w:cs="Arial"/>
          <w:sz w:val="10"/>
          <w:szCs w:val="10"/>
        </w:rPr>
      </w:pPr>
    </w:p>
    <w:p w14:paraId="7DFA2ED1" w14:textId="357F0012" w:rsidR="007C3F91" w:rsidRPr="000E7C7A" w:rsidRDefault="003E736D" w:rsidP="007C3F91">
      <w:pPr>
        <w:pStyle w:val="Corpsdetexte12retrait5mm"/>
        <w:ind w:firstLine="0"/>
        <w:rPr>
          <w:iCs/>
          <w:szCs w:val="24"/>
        </w:rPr>
      </w:pPr>
      <m:oMathPara>
        <m:oMath>
          <m:sSub>
            <m:sSubPr>
              <m:ctrlPr>
                <w:rPr>
                  <w:rFonts w:ascii="Cambria Math" w:hAnsi="Cambria Math"/>
                  <w:iCs/>
                  <w:szCs w:val="24"/>
                  <w:lang w:eastAsia="nl-NL"/>
                </w:rPr>
              </m:ctrlPr>
            </m:sSubPr>
            <m:e>
              <m:r>
                <m:rPr>
                  <m:sty m:val="p"/>
                </m:rPr>
                <w:rPr>
                  <w:rFonts w:ascii="Cambria Math" w:hAnsi="Cambria Math"/>
                  <w:szCs w:val="24"/>
                  <w:lang w:eastAsia="nl-NL"/>
                </w:rPr>
                <m:t>E</m:t>
              </m:r>
            </m:e>
            <m:sub>
              <m:r>
                <m:rPr>
                  <m:sty m:val="p"/>
                </m:rPr>
                <w:rPr>
                  <w:rFonts w:ascii="Cambria Math" w:hAnsi="Cambria Math"/>
                  <w:szCs w:val="24"/>
                  <w:lang w:eastAsia="nl-NL"/>
                </w:rPr>
                <m:t>s,calé</m:t>
              </m:r>
            </m:sub>
          </m:sSub>
          <m:r>
            <m:rPr>
              <m:sty m:val="p"/>
            </m:rPr>
            <w:rPr>
              <w:rFonts w:ascii="Cambria Math" w:hAnsi="Cambria Math"/>
              <w:szCs w:val="24"/>
              <w:lang w:eastAsia="nl-NL"/>
            </w:rPr>
            <m:t>=η×</m:t>
          </m:r>
          <m:sSub>
            <m:sSubPr>
              <m:ctrlPr>
                <w:rPr>
                  <w:rFonts w:ascii="Cambria Math" w:hAnsi="Cambria Math"/>
                  <w:iCs/>
                  <w:szCs w:val="24"/>
                  <w:lang w:eastAsia="nl-NL"/>
                </w:rPr>
              </m:ctrlPr>
            </m:sSubPr>
            <m:e>
              <m:r>
                <m:rPr>
                  <m:sty m:val="p"/>
                </m:rPr>
                <w:rPr>
                  <w:rFonts w:ascii="Cambria Math" w:hAnsi="Cambria Math"/>
                  <w:szCs w:val="24"/>
                  <w:lang w:eastAsia="nl-NL"/>
                </w:rPr>
                <m:t>E</m:t>
              </m:r>
            </m:e>
            <m:sub>
              <m:r>
                <m:rPr>
                  <m:sty m:val="p"/>
                </m:rPr>
                <w:rPr>
                  <w:rFonts w:ascii="Cambria Math" w:hAnsi="Cambria Math"/>
                  <w:szCs w:val="24"/>
                  <w:lang w:eastAsia="nl-NL"/>
                </w:rPr>
                <m:t>s,réf</m:t>
              </m:r>
            </m:sub>
          </m:sSub>
          <m:r>
            <w:rPr>
              <w:rFonts w:ascii="Cambria Math" w:hAnsi="Cambria Math"/>
              <w:szCs w:val="24"/>
              <w:lang w:eastAsia="nl-NL"/>
            </w:rPr>
            <m:t xml:space="preserve">      (3)</m:t>
          </m:r>
        </m:oMath>
      </m:oMathPara>
    </w:p>
    <w:p w14:paraId="0D6A381A" w14:textId="1A0ED5BF" w:rsidR="006A21FF" w:rsidRPr="000E7C7A" w:rsidRDefault="007C3F91" w:rsidP="007C3F91">
      <w:pPr>
        <w:pStyle w:val="Corpsdetexte12retrait5mm"/>
        <w:ind w:firstLine="0"/>
        <w:rPr>
          <w:sz w:val="10"/>
          <w:szCs w:val="10"/>
        </w:rPr>
      </w:pPr>
      <w:r>
        <w:t xml:space="preserve"> </w:t>
      </w:r>
    </w:p>
    <w:p w14:paraId="03D3DCA2" w14:textId="38920F51" w:rsidR="00FA31ED" w:rsidRDefault="004930B9" w:rsidP="00FA31ED">
      <w:pPr>
        <w:pStyle w:val="Corpsdetexte12retrait5mm"/>
        <w:ind w:firstLine="0"/>
        <w:rPr>
          <w:lang w:eastAsia="nl-NL"/>
        </w:rPr>
      </w:pPr>
      <w:r>
        <w:t>On représente ensuite la variation d</w:t>
      </w:r>
      <w:r w:rsidR="00F7647D">
        <w:t>e</w:t>
      </w:r>
      <w:r>
        <w:t xml:space="preserve"> </w:t>
      </w:r>
      <m:oMath>
        <m:r>
          <m:rPr>
            <m:sty m:val="p"/>
          </m:rPr>
          <w:rPr>
            <w:rFonts w:ascii="Cambria Math" w:hAnsi="Cambria Math"/>
            <w:lang w:eastAsia="nl-NL"/>
          </w:rPr>
          <m:t>η</m:t>
        </m:r>
      </m:oMath>
      <w:r>
        <w:rPr>
          <w:lang w:eastAsia="nl-NL"/>
        </w:rPr>
        <w:t xml:space="preserve"> en fonction du rapport y</w:t>
      </w:r>
      <w:r>
        <w:rPr>
          <w:vertAlign w:val="subscript"/>
          <w:lang w:eastAsia="nl-NL"/>
        </w:rPr>
        <w:t>tête</w:t>
      </w:r>
      <w:r>
        <w:rPr>
          <w:lang w:eastAsia="nl-NL"/>
        </w:rPr>
        <w:t>/B entre le déplacement en tête et le diamètre du pieu considéré</w:t>
      </w:r>
      <w:r w:rsidR="00DA051A">
        <w:rPr>
          <w:lang w:eastAsia="nl-NL"/>
        </w:rPr>
        <w:t xml:space="preserve">. La figure </w:t>
      </w:r>
      <w:r w:rsidR="0024642D">
        <w:rPr>
          <w:lang w:eastAsia="nl-NL"/>
        </w:rPr>
        <w:t>9</w:t>
      </w:r>
      <w:r w:rsidR="00DA051A">
        <w:rPr>
          <w:lang w:eastAsia="nl-NL"/>
        </w:rPr>
        <w:t xml:space="preserve"> présente les résultats obtenus. </w:t>
      </w:r>
      <w:r w:rsidR="00945B74">
        <w:rPr>
          <w:lang w:eastAsia="nl-NL"/>
        </w:rPr>
        <w:t xml:space="preserve">Ces résultats </w:t>
      </w:r>
      <w:r w:rsidR="00C60579">
        <w:rPr>
          <w:lang w:eastAsia="nl-NL"/>
        </w:rPr>
        <w:t xml:space="preserve">mettent en évidence </w:t>
      </w:r>
      <w:r w:rsidR="00945B74">
        <w:rPr>
          <w:lang w:eastAsia="nl-NL"/>
        </w:rPr>
        <w:t xml:space="preserve">le caractère enveloppe </w:t>
      </w:r>
      <w:r w:rsidR="001E286E">
        <w:rPr>
          <w:lang w:eastAsia="nl-NL"/>
        </w:rPr>
        <w:t xml:space="preserve">de </w:t>
      </w:r>
      <w:r w:rsidR="00945B74">
        <w:rPr>
          <w:lang w:eastAsia="nl-NL"/>
        </w:rPr>
        <w:t xml:space="preserve">l’approche de Ménard qui établit une estimation par défaut du module de réaction </w:t>
      </w:r>
      <m:oMath>
        <m:sSub>
          <m:sSubPr>
            <m:ctrlPr>
              <w:rPr>
                <w:rFonts w:ascii="Cambria Math" w:hAnsi="Cambria Math"/>
                <w:iCs/>
                <w:szCs w:val="24"/>
                <w:lang w:eastAsia="nl-NL"/>
              </w:rPr>
            </m:ctrlPr>
          </m:sSubPr>
          <m:e>
            <m:r>
              <m:rPr>
                <m:sty m:val="p"/>
              </m:rPr>
              <w:rPr>
                <w:rFonts w:ascii="Cambria Math" w:hAnsi="Cambria Math"/>
                <w:szCs w:val="24"/>
                <w:lang w:eastAsia="nl-NL"/>
              </w:rPr>
              <m:t>E</m:t>
            </m:r>
          </m:e>
          <m:sub>
            <m:r>
              <m:rPr>
                <m:sty m:val="p"/>
              </m:rPr>
              <w:rPr>
                <w:rFonts w:ascii="Cambria Math" w:hAnsi="Cambria Math"/>
                <w:szCs w:val="24"/>
                <w:lang w:eastAsia="nl-NL"/>
              </w:rPr>
              <m:t>s,réf</m:t>
            </m:r>
          </m:sub>
        </m:sSub>
      </m:oMath>
      <w:r w:rsidR="00945B74">
        <w:rPr>
          <w:lang w:eastAsia="nl-NL"/>
        </w:rPr>
        <w:t>. Pour des déplacements de l’ordre de 1 à 3% du diamètre, on peut valablement retenir</w:t>
      </w:r>
      <w:r w:rsidR="0022243D">
        <w:rPr>
          <w:lang w:eastAsia="nl-NL"/>
        </w:rPr>
        <w:t>, pour les terrains rencontrés,</w:t>
      </w:r>
      <w:r w:rsidR="00945B74">
        <w:rPr>
          <w:lang w:eastAsia="nl-NL"/>
        </w:rPr>
        <w:t xml:space="preserve"> un module égal à </w:t>
      </w:r>
      <m:oMath>
        <m:r>
          <m:rPr>
            <m:sty m:val="p"/>
          </m:rPr>
          <w:rPr>
            <w:rFonts w:ascii="Cambria Math" w:hAnsi="Cambria Math"/>
            <w:szCs w:val="24"/>
            <w:lang w:eastAsia="nl-NL"/>
          </w:rPr>
          <m:t>η×</m:t>
        </m:r>
        <m:sSub>
          <m:sSubPr>
            <m:ctrlPr>
              <w:rPr>
                <w:rFonts w:ascii="Cambria Math" w:hAnsi="Cambria Math"/>
                <w:iCs/>
                <w:szCs w:val="24"/>
                <w:lang w:eastAsia="nl-NL"/>
              </w:rPr>
            </m:ctrlPr>
          </m:sSubPr>
          <m:e>
            <m:r>
              <m:rPr>
                <m:sty m:val="p"/>
              </m:rPr>
              <w:rPr>
                <w:rFonts w:ascii="Cambria Math" w:hAnsi="Cambria Math"/>
                <w:szCs w:val="24"/>
                <w:lang w:eastAsia="nl-NL"/>
              </w:rPr>
              <m:t>E</m:t>
            </m:r>
          </m:e>
          <m:sub>
            <m:r>
              <m:rPr>
                <m:sty m:val="p"/>
              </m:rPr>
              <w:rPr>
                <w:rFonts w:ascii="Cambria Math" w:hAnsi="Cambria Math"/>
                <w:szCs w:val="24"/>
                <w:lang w:eastAsia="nl-NL"/>
              </w:rPr>
              <m:t>s,réf</m:t>
            </m:r>
          </m:sub>
        </m:sSub>
      </m:oMath>
      <w:r w:rsidR="00945B74">
        <w:rPr>
          <w:lang w:eastAsia="nl-NL"/>
        </w:rPr>
        <w:t xml:space="preserve"> avec </w:t>
      </w:r>
      <m:oMath>
        <m:r>
          <m:rPr>
            <m:sty m:val="p"/>
          </m:rPr>
          <w:rPr>
            <w:rFonts w:ascii="Cambria Math" w:hAnsi="Cambria Math"/>
            <w:szCs w:val="24"/>
            <w:lang w:eastAsia="nl-NL"/>
          </w:rPr>
          <m:t>η</m:t>
        </m:r>
      </m:oMath>
      <w:r w:rsidR="00945B74">
        <w:rPr>
          <w:lang w:eastAsia="nl-NL"/>
        </w:rPr>
        <w:t xml:space="preserve"> pouvant aller de 1 (pour y</w:t>
      </w:r>
      <w:r w:rsidR="00945B74">
        <w:rPr>
          <w:vertAlign w:val="subscript"/>
          <w:lang w:eastAsia="nl-NL"/>
        </w:rPr>
        <w:t>tête</w:t>
      </w:r>
      <w:r w:rsidR="00945B74">
        <w:rPr>
          <w:lang w:eastAsia="nl-NL"/>
        </w:rPr>
        <w:t xml:space="preserve">/B = 3%) à 4 (pour </w:t>
      </w:r>
      <w:proofErr w:type="spellStart"/>
      <w:r w:rsidR="00945B74">
        <w:rPr>
          <w:lang w:eastAsia="nl-NL"/>
        </w:rPr>
        <w:t>y</w:t>
      </w:r>
      <w:r w:rsidR="00945B74">
        <w:rPr>
          <w:vertAlign w:val="subscript"/>
          <w:lang w:eastAsia="nl-NL"/>
        </w:rPr>
        <w:t>tête</w:t>
      </w:r>
      <w:proofErr w:type="spellEnd"/>
      <w:r w:rsidR="00945B74">
        <w:rPr>
          <w:lang w:eastAsia="nl-NL"/>
        </w:rPr>
        <w:t xml:space="preserve">/B = 1%). </w:t>
      </w:r>
    </w:p>
    <w:p w14:paraId="35E144B6" w14:textId="5591213B" w:rsidR="00DA051A" w:rsidRDefault="00412A0F" w:rsidP="00C60FFD">
      <w:pPr>
        <w:pStyle w:val="Corpsdetexte12retrait5mm"/>
        <w:ind w:firstLine="0"/>
        <w:jc w:val="center"/>
        <w:rPr>
          <w:lang w:eastAsia="nl-NL"/>
        </w:rPr>
      </w:pPr>
      <w:r w:rsidRPr="00412A0F">
        <w:rPr>
          <w:noProof/>
          <w:lang w:eastAsia="fr-FR"/>
        </w:rPr>
        <w:lastRenderedPageBreak/>
        <w:drawing>
          <wp:inline distT="0" distB="0" distL="0" distR="0" wp14:anchorId="6532B067" wp14:editId="4E56547B">
            <wp:extent cx="5173805" cy="2511631"/>
            <wp:effectExtent l="0" t="0" r="0" b="3175"/>
            <wp:docPr id="24" name="Image 23">
              <a:extLst xmlns:a="http://schemas.openxmlformats.org/drawingml/2006/main">
                <a:ext uri="{FF2B5EF4-FFF2-40B4-BE49-F238E27FC236}">
                  <a16:creationId xmlns:a16="http://schemas.microsoft.com/office/drawing/2014/main" id="{AAA69BBB-CF6F-4B46-8797-A5419EE0FC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3">
                      <a:extLst>
                        <a:ext uri="{FF2B5EF4-FFF2-40B4-BE49-F238E27FC236}">
                          <a16:creationId xmlns:a16="http://schemas.microsoft.com/office/drawing/2014/main" id="{AAA69BBB-CF6F-4B46-8797-A5419EE0FC6F}"/>
                        </a:ext>
                      </a:extLst>
                    </pic:cNvPr>
                    <pic:cNvPicPr>
                      <a:picLocks noChangeAspect="1"/>
                    </pic:cNvPicPr>
                  </pic:nvPicPr>
                  <pic:blipFill rotWithShape="1">
                    <a:blip r:embed="rId19"/>
                    <a:srcRect b="2534"/>
                    <a:stretch/>
                  </pic:blipFill>
                  <pic:spPr bwMode="auto">
                    <a:xfrm>
                      <a:off x="0" y="0"/>
                      <a:ext cx="5196612" cy="2522703"/>
                    </a:xfrm>
                    <a:prstGeom prst="rect">
                      <a:avLst/>
                    </a:prstGeom>
                    <a:ln>
                      <a:noFill/>
                    </a:ln>
                    <a:extLst>
                      <a:ext uri="{53640926-AAD7-44D8-BBD7-CCE9431645EC}">
                        <a14:shadowObscured xmlns:a14="http://schemas.microsoft.com/office/drawing/2010/main"/>
                      </a:ext>
                    </a:extLst>
                  </pic:spPr>
                </pic:pic>
              </a:graphicData>
            </a:graphic>
          </wp:inline>
        </w:drawing>
      </w:r>
    </w:p>
    <w:p w14:paraId="3BB4B099" w14:textId="75D8E01D" w:rsidR="00412A0F" w:rsidRPr="00412A0F" w:rsidRDefault="00412A0F" w:rsidP="00412A0F">
      <w:pPr>
        <w:pStyle w:val="Legendefigure"/>
        <w:rPr>
          <w:rFonts w:ascii="Arial" w:hAnsi="Arial" w:cs="Arial"/>
          <w:i w:val="0"/>
          <w:iCs/>
          <w:lang w:eastAsia="nl-NL"/>
        </w:rPr>
      </w:pPr>
      <w:r w:rsidRPr="00412A0F">
        <w:rPr>
          <w:rFonts w:ascii="Arial" w:hAnsi="Arial" w:cs="Arial"/>
          <w:i w:val="0"/>
          <w:iCs/>
          <w:lang w:eastAsia="nl-NL"/>
        </w:rPr>
        <w:t>Variation du rapport η = E</w:t>
      </w:r>
      <w:r w:rsidRPr="00412A0F">
        <w:rPr>
          <w:rFonts w:ascii="Arial" w:hAnsi="Arial" w:cs="Arial"/>
          <w:i w:val="0"/>
          <w:iCs/>
          <w:vertAlign w:val="subscript"/>
          <w:lang w:eastAsia="nl-NL"/>
        </w:rPr>
        <w:t>s</w:t>
      </w:r>
      <w:r w:rsidRPr="00412A0F">
        <w:rPr>
          <w:rFonts w:ascii="Arial" w:hAnsi="Arial" w:cs="Arial"/>
          <w:i w:val="0"/>
          <w:iCs/>
          <w:lang w:eastAsia="nl-NL"/>
        </w:rPr>
        <w:t>/</w:t>
      </w:r>
      <w:proofErr w:type="spellStart"/>
      <w:proofErr w:type="gramStart"/>
      <w:r w:rsidRPr="00412A0F">
        <w:rPr>
          <w:rFonts w:ascii="Arial" w:hAnsi="Arial" w:cs="Arial"/>
          <w:i w:val="0"/>
          <w:iCs/>
          <w:lang w:eastAsia="nl-NL"/>
        </w:rPr>
        <w:t>E</w:t>
      </w:r>
      <w:r w:rsidRPr="00412A0F">
        <w:rPr>
          <w:rFonts w:ascii="Arial" w:hAnsi="Arial" w:cs="Arial"/>
          <w:i w:val="0"/>
          <w:iCs/>
          <w:vertAlign w:val="subscript"/>
          <w:lang w:eastAsia="nl-NL"/>
        </w:rPr>
        <w:t>s,réf</w:t>
      </w:r>
      <w:proofErr w:type="spellEnd"/>
      <w:proofErr w:type="gramEnd"/>
      <w:r w:rsidRPr="00412A0F">
        <w:rPr>
          <w:rFonts w:ascii="Arial" w:hAnsi="Arial" w:cs="Arial"/>
          <w:i w:val="0"/>
          <w:iCs/>
          <w:lang w:eastAsia="nl-NL"/>
        </w:rPr>
        <w:t xml:space="preserve"> avec le niveau de distorsion en tête</w:t>
      </w:r>
    </w:p>
    <w:p w14:paraId="0E6CB875" w14:textId="59B32563" w:rsidR="00737476" w:rsidRDefault="00737476" w:rsidP="00737476">
      <w:pPr>
        <w:pStyle w:val="Titre1"/>
        <w:rPr>
          <w:lang w:val="fr-FR"/>
        </w:rPr>
      </w:pPr>
      <w:r>
        <w:rPr>
          <w:lang w:val="fr-FR"/>
        </w:rPr>
        <w:t>Conclusion</w:t>
      </w:r>
    </w:p>
    <w:p w14:paraId="3068E9BF" w14:textId="38146F41" w:rsidR="006F7BA8" w:rsidRPr="005C020E" w:rsidRDefault="00E86AE6" w:rsidP="00854DA1">
      <w:pPr>
        <w:pStyle w:val="Corpsdetexte12"/>
        <w:rPr>
          <w:rStyle w:val="Corpsdetexte12Car"/>
          <w:rFonts w:cs="Arial"/>
          <w:iCs/>
          <w:spacing w:val="-2"/>
          <w:szCs w:val="24"/>
        </w:rPr>
      </w:pPr>
      <w:r>
        <w:rPr>
          <w:rFonts w:cs="Arial"/>
          <w:spacing w:val="-2"/>
          <w:szCs w:val="24"/>
        </w:rPr>
        <w:t>Le travail présenté dans cette communication a pour vocation de clarifier</w:t>
      </w:r>
      <w:r w:rsidRPr="00B63E71">
        <w:rPr>
          <w:rFonts w:cs="Arial"/>
          <w:spacing w:val="-2"/>
          <w:szCs w:val="24"/>
        </w:rPr>
        <w:t xml:space="preserve"> la validité des règles </w:t>
      </w:r>
      <w:r>
        <w:rPr>
          <w:rFonts w:cs="Arial"/>
          <w:spacing w:val="-2"/>
          <w:szCs w:val="24"/>
        </w:rPr>
        <w:t>de calcul</w:t>
      </w:r>
      <w:r w:rsidR="00377B4B">
        <w:rPr>
          <w:rFonts w:cs="Arial"/>
          <w:spacing w:val="-2"/>
          <w:szCs w:val="24"/>
        </w:rPr>
        <w:t xml:space="preserve"> usuelles</w:t>
      </w:r>
      <w:r>
        <w:rPr>
          <w:rFonts w:cs="Arial"/>
          <w:spacing w:val="-2"/>
          <w:szCs w:val="24"/>
        </w:rPr>
        <w:t xml:space="preserve"> pour les pieux et </w:t>
      </w:r>
      <w:r w:rsidR="00377B4B">
        <w:rPr>
          <w:rFonts w:cs="Arial"/>
          <w:spacing w:val="-2"/>
          <w:szCs w:val="24"/>
        </w:rPr>
        <w:t xml:space="preserve">les </w:t>
      </w:r>
      <w:r>
        <w:rPr>
          <w:rFonts w:cs="Arial"/>
          <w:spacing w:val="-2"/>
          <w:szCs w:val="24"/>
        </w:rPr>
        <w:t>barrettes</w:t>
      </w:r>
      <w:r w:rsidRPr="00B63E71">
        <w:rPr>
          <w:rFonts w:cs="Arial"/>
          <w:spacing w:val="-2"/>
          <w:szCs w:val="24"/>
        </w:rPr>
        <w:t xml:space="preserve"> lorsqu'elles sont utilisées pour des barrettes de forte inertie ou pour des faibles niveaux de sollicitation.</w:t>
      </w:r>
      <w:r>
        <w:rPr>
          <w:rFonts w:cs="Arial"/>
          <w:spacing w:val="-2"/>
          <w:szCs w:val="24"/>
        </w:rPr>
        <w:t xml:space="preserve"> </w:t>
      </w:r>
      <w:r w:rsidR="00FA039C">
        <w:rPr>
          <w:rFonts w:cs="Arial"/>
          <w:spacing w:val="-2"/>
          <w:szCs w:val="24"/>
        </w:rPr>
        <w:t>Pour une barrette de section rectangulaire, les résultats obtenus montrent que l’approche forfa</w:t>
      </w:r>
      <w:r w:rsidR="00AC2985">
        <w:rPr>
          <w:rFonts w:cs="Arial"/>
          <w:spacing w:val="-2"/>
          <w:szCs w:val="24"/>
        </w:rPr>
        <w:t>i</w:t>
      </w:r>
      <w:r w:rsidR="00FA039C">
        <w:rPr>
          <w:rFonts w:cs="Arial"/>
          <w:spacing w:val="-2"/>
          <w:szCs w:val="24"/>
        </w:rPr>
        <w:t>taire de la NF P 94 262 peut conduire à une estimation par excès du module de réaction total</w:t>
      </w:r>
      <w:r w:rsidR="00AC2985">
        <w:rPr>
          <w:rFonts w:cs="Arial"/>
          <w:spacing w:val="-2"/>
          <w:szCs w:val="24"/>
        </w:rPr>
        <w:t>. Celui-ci demeure inférieur à</w:t>
      </w:r>
      <w:r w:rsidR="00FA039C">
        <w:rPr>
          <w:rFonts w:cs="Arial"/>
          <w:spacing w:val="-2"/>
          <w:szCs w:val="24"/>
        </w:rPr>
        <w:t xml:space="preserve"> 1,50 fois le module de réaction d’un pieu circulaire de diamètre égal à la largeur frontale de la barrette. Les contributions relatives des réactions tangentielles et frontales sont de même ordre de grandeur pour des sections peu élancées (L/B allant jusqu’à 4). Pour des élancements élevés, la réaction tangentielle est prépondérante.</w:t>
      </w:r>
      <w:r w:rsidR="005C020E">
        <w:rPr>
          <w:rFonts w:cs="Arial"/>
          <w:spacing w:val="-2"/>
          <w:szCs w:val="24"/>
        </w:rPr>
        <w:t xml:space="preserve"> L’étude réalisée s’est également intéressée à l’influence du terme de pointe et propose une approche simplifiée permettant de compléter les modèles p-y usuels. Enfin, l’exploitation d’une </w:t>
      </w:r>
      <w:r w:rsidR="002C0B60">
        <w:rPr>
          <w:rFonts w:cs="Arial"/>
          <w:spacing w:val="-2"/>
          <w:szCs w:val="24"/>
        </w:rPr>
        <w:t>campagne</w:t>
      </w:r>
      <w:r w:rsidR="005C020E">
        <w:rPr>
          <w:rFonts w:cs="Arial"/>
          <w:spacing w:val="-2"/>
          <w:szCs w:val="24"/>
        </w:rPr>
        <w:t xml:space="preserve"> d’essais en vraie grandeur sur des pieux chargés transversalement a permis de mettre en évidence le caractère enveloppe du module de réaction estimé par l</w:t>
      </w:r>
      <w:r w:rsidR="002C0B60">
        <w:rPr>
          <w:rFonts w:cs="Arial"/>
          <w:spacing w:val="-2"/>
          <w:szCs w:val="24"/>
        </w:rPr>
        <w:t>’approche</w:t>
      </w:r>
      <w:r w:rsidR="005C020E">
        <w:rPr>
          <w:rFonts w:cs="Arial"/>
          <w:spacing w:val="-2"/>
          <w:szCs w:val="24"/>
        </w:rPr>
        <w:t xml:space="preserve"> de Ménard pour des chargements </w:t>
      </w:r>
      <w:r w:rsidR="001341F4">
        <w:rPr>
          <w:rFonts w:cs="Arial"/>
          <w:spacing w:val="-2"/>
          <w:szCs w:val="24"/>
        </w:rPr>
        <w:t>induisant</w:t>
      </w:r>
      <w:r w:rsidR="005C020E">
        <w:rPr>
          <w:rFonts w:cs="Arial"/>
          <w:spacing w:val="-2"/>
          <w:szCs w:val="24"/>
        </w:rPr>
        <w:t xml:space="preserve"> des déplacements inférieurs à 3% du diamètre.</w:t>
      </w:r>
      <w:r w:rsidR="006F7BA8">
        <w:rPr>
          <w:rStyle w:val="Corpsdetexte12Car"/>
          <w:iCs/>
        </w:rPr>
        <w:t xml:space="preserve"> </w:t>
      </w:r>
    </w:p>
    <w:p w14:paraId="650A0D17" w14:textId="07B81395" w:rsidR="00737476" w:rsidRDefault="00737476" w:rsidP="00737476">
      <w:pPr>
        <w:pStyle w:val="Titre1"/>
        <w:rPr>
          <w:lang w:val="fr-FR"/>
        </w:rPr>
      </w:pPr>
      <w:r>
        <w:rPr>
          <w:lang w:val="fr-FR"/>
        </w:rPr>
        <w:t>Références bibliographiques</w:t>
      </w:r>
    </w:p>
    <w:p w14:paraId="06F5EFD3" w14:textId="77777777" w:rsidR="0004736C" w:rsidRPr="009D2588" w:rsidRDefault="0004736C" w:rsidP="0004736C">
      <w:pPr>
        <w:widowControl w:val="0"/>
        <w:autoSpaceDE w:val="0"/>
        <w:autoSpaceDN w:val="0"/>
        <w:adjustRightInd w:val="0"/>
        <w:ind w:left="480" w:hanging="480"/>
        <w:jc w:val="both"/>
        <w:rPr>
          <w:rFonts w:ascii="Arial" w:hAnsi="Arial" w:cs="Arial"/>
          <w:noProof/>
          <w:sz w:val="22"/>
          <w:szCs w:val="22"/>
        </w:rPr>
      </w:pPr>
      <w:r w:rsidRPr="009D2588">
        <w:rPr>
          <w:rFonts w:ascii="Arial" w:hAnsi="Arial" w:cs="Arial"/>
          <w:sz w:val="22"/>
          <w:szCs w:val="22"/>
        </w:rPr>
        <w:fldChar w:fldCharType="begin" w:fldLock="1"/>
      </w:r>
      <w:r w:rsidRPr="009D2588">
        <w:rPr>
          <w:rFonts w:ascii="Arial" w:hAnsi="Arial" w:cs="Arial"/>
          <w:sz w:val="22"/>
          <w:szCs w:val="22"/>
        </w:rPr>
        <w:instrText xml:space="preserve">ADDIN Mendeley Bibliography CSL_BIBLIOGRAPHY </w:instrText>
      </w:r>
      <w:r w:rsidRPr="009D2588">
        <w:rPr>
          <w:rFonts w:ascii="Arial" w:hAnsi="Arial" w:cs="Arial"/>
          <w:sz w:val="22"/>
          <w:szCs w:val="22"/>
        </w:rPr>
        <w:fldChar w:fldCharType="separate"/>
      </w:r>
      <w:r w:rsidRPr="009D2588">
        <w:rPr>
          <w:rFonts w:ascii="Arial" w:hAnsi="Arial" w:cs="Arial"/>
          <w:noProof/>
          <w:sz w:val="22"/>
          <w:szCs w:val="22"/>
        </w:rPr>
        <w:t xml:space="preserve">Baguelin, F., Carayannacou-Trézos, S., &amp; Frank, R. (1979). Réaction latérale des pieux: effets de forme et effets tridimensionnels. </w:t>
      </w:r>
      <w:r w:rsidRPr="009D2588">
        <w:rPr>
          <w:rFonts w:ascii="Arial" w:hAnsi="Arial" w:cs="Arial"/>
          <w:i/>
          <w:iCs/>
          <w:noProof/>
          <w:sz w:val="22"/>
          <w:szCs w:val="22"/>
        </w:rPr>
        <w:t>Bull. Liaison Labo P. et Ch.</w:t>
      </w:r>
      <w:r w:rsidRPr="009D2588">
        <w:rPr>
          <w:rFonts w:ascii="Arial" w:hAnsi="Arial" w:cs="Arial"/>
          <w:noProof/>
          <w:sz w:val="22"/>
          <w:szCs w:val="22"/>
        </w:rPr>
        <w:t xml:space="preserve">, </w:t>
      </w:r>
      <w:r w:rsidRPr="009D2588">
        <w:rPr>
          <w:rFonts w:ascii="Arial" w:hAnsi="Arial" w:cs="Arial"/>
          <w:i/>
          <w:iCs/>
          <w:noProof/>
          <w:sz w:val="22"/>
          <w:szCs w:val="22"/>
        </w:rPr>
        <w:t>104</w:t>
      </w:r>
      <w:r w:rsidRPr="009D2588">
        <w:rPr>
          <w:rFonts w:ascii="Arial" w:hAnsi="Arial" w:cs="Arial"/>
          <w:noProof/>
          <w:sz w:val="22"/>
          <w:szCs w:val="22"/>
        </w:rPr>
        <w:t xml:space="preserve">, 33–47. </w:t>
      </w:r>
    </w:p>
    <w:p w14:paraId="23FE1FBC" w14:textId="77777777" w:rsidR="0004736C" w:rsidRPr="009D2588" w:rsidRDefault="0004736C" w:rsidP="0004736C">
      <w:pPr>
        <w:widowControl w:val="0"/>
        <w:autoSpaceDE w:val="0"/>
        <w:autoSpaceDN w:val="0"/>
        <w:adjustRightInd w:val="0"/>
        <w:ind w:left="480" w:hanging="480"/>
        <w:jc w:val="both"/>
        <w:rPr>
          <w:rFonts w:ascii="Arial" w:hAnsi="Arial" w:cs="Arial"/>
          <w:noProof/>
          <w:sz w:val="22"/>
          <w:szCs w:val="22"/>
        </w:rPr>
      </w:pPr>
      <w:r w:rsidRPr="009D2588">
        <w:rPr>
          <w:rFonts w:ascii="Arial" w:hAnsi="Arial" w:cs="Arial"/>
          <w:noProof/>
          <w:sz w:val="22"/>
          <w:szCs w:val="22"/>
        </w:rPr>
        <w:t xml:space="preserve">Frank, R. (1984). </w:t>
      </w:r>
      <w:r w:rsidRPr="009D2588">
        <w:rPr>
          <w:rFonts w:ascii="Arial" w:hAnsi="Arial" w:cs="Arial"/>
          <w:i/>
          <w:iCs/>
          <w:noProof/>
          <w:sz w:val="22"/>
          <w:szCs w:val="22"/>
        </w:rPr>
        <w:t>Etude théoriques de fondations profondes et d’essais en place par autoforage dans les LPC et résultats pratiques (1972-1983)</w:t>
      </w:r>
    </w:p>
    <w:p w14:paraId="67143DF8" w14:textId="77777777" w:rsidR="0004736C" w:rsidRPr="0083393A" w:rsidRDefault="0004736C" w:rsidP="0004736C">
      <w:pPr>
        <w:widowControl w:val="0"/>
        <w:autoSpaceDE w:val="0"/>
        <w:autoSpaceDN w:val="0"/>
        <w:adjustRightInd w:val="0"/>
        <w:ind w:left="480" w:hanging="480"/>
        <w:jc w:val="both"/>
        <w:rPr>
          <w:rFonts w:ascii="Arial" w:hAnsi="Arial" w:cs="Arial"/>
          <w:noProof/>
          <w:sz w:val="22"/>
          <w:szCs w:val="22"/>
          <w:lang w:val="en-GB"/>
        </w:rPr>
      </w:pPr>
      <w:r w:rsidRPr="009D2588">
        <w:rPr>
          <w:rFonts w:ascii="Arial" w:hAnsi="Arial" w:cs="Arial"/>
          <w:noProof/>
          <w:sz w:val="22"/>
          <w:szCs w:val="22"/>
        </w:rPr>
        <w:t xml:space="preserve">Frank, R., Cuira, F., &amp; Burlon, S. (2018). </w:t>
      </w:r>
      <w:r w:rsidRPr="009D2588">
        <w:rPr>
          <w:rFonts w:ascii="Arial" w:hAnsi="Arial" w:cs="Arial"/>
          <w:i/>
          <w:iCs/>
          <w:noProof/>
          <w:sz w:val="22"/>
          <w:szCs w:val="22"/>
        </w:rPr>
        <w:t>Calcul des fondations superficielles et profondes</w:t>
      </w:r>
      <w:r w:rsidRPr="009D2588">
        <w:rPr>
          <w:rFonts w:ascii="Arial" w:hAnsi="Arial" w:cs="Arial"/>
          <w:noProof/>
          <w:sz w:val="22"/>
          <w:szCs w:val="22"/>
        </w:rPr>
        <w:t xml:space="preserve">. </w:t>
      </w:r>
      <w:r w:rsidRPr="0083393A">
        <w:rPr>
          <w:rFonts w:ascii="Arial" w:hAnsi="Arial" w:cs="Arial"/>
          <w:noProof/>
          <w:sz w:val="22"/>
          <w:szCs w:val="22"/>
          <w:lang w:val="en-GB"/>
        </w:rPr>
        <w:t>Presses des Ponts.</w:t>
      </w:r>
    </w:p>
    <w:p w14:paraId="0E9A48A9" w14:textId="77777777" w:rsidR="0004736C" w:rsidRPr="0083393A" w:rsidRDefault="0004736C" w:rsidP="0004736C">
      <w:pPr>
        <w:widowControl w:val="0"/>
        <w:autoSpaceDE w:val="0"/>
        <w:autoSpaceDN w:val="0"/>
        <w:adjustRightInd w:val="0"/>
        <w:ind w:left="480" w:hanging="480"/>
        <w:jc w:val="both"/>
        <w:rPr>
          <w:rFonts w:ascii="Arial" w:hAnsi="Arial" w:cs="Arial"/>
          <w:noProof/>
          <w:sz w:val="22"/>
          <w:szCs w:val="22"/>
        </w:rPr>
      </w:pPr>
      <w:r w:rsidRPr="009D2588">
        <w:rPr>
          <w:rFonts w:ascii="Arial" w:hAnsi="Arial" w:cs="Arial"/>
          <w:noProof/>
          <w:sz w:val="22"/>
          <w:szCs w:val="22"/>
          <w:lang w:val="en-GB"/>
        </w:rPr>
        <w:t xml:space="preserve">Gazetas G., (1991). </w:t>
      </w:r>
      <w:r w:rsidRPr="009D2588">
        <w:rPr>
          <w:rFonts w:ascii="Arial" w:hAnsi="Arial" w:cs="Arial"/>
          <w:i/>
          <w:sz w:val="22"/>
          <w:szCs w:val="22"/>
          <w:lang w:val="en-GB"/>
        </w:rPr>
        <w:t>Formulas and charts for impedances of surfaces and embedded foundations</w:t>
      </w:r>
      <w:r w:rsidRPr="009D2588">
        <w:rPr>
          <w:rFonts w:ascii="Arial" w:hAnsi="Arial" w:cs="Arial"/>
          <w:sz w:val="22"/>
          <w:szCs w:val="22"/>
          <w:lang w:val="en-GB"/>
        </w:rPr>
        <w:t xml:space="preserve">.  </w:t>
      </w:r>
      <w:r w:rsidRPr="009D2588">
        <w:rPr>
          <w:rFonts w:ascii="Arial" w:hAnsi="Arial" w:cs="Arial"/>
          <w:sz w:val="22"/>
          <w:szCs w:val="22"/>
          <w:shd w:val="clear" w:color="auto" w:fill="FFFFFF"/>
        </w:rPr>
        <w:t>Journal of Geotechnical Engineering, Vol. 117, 9</w:t>
      </w:r>
      <w:r w:rsidRPr="009D2588">
        <w:rPr>
          <w:rFonts w:ascii="Arial" w:hAnsi="Arial" w:cs="Arial"/>
          <w:sz w:val="22"/>
          <w:szCs w:val="22"/>
        </w:rPr>
        <w:t xml:space="preserve"> (1991).</w:t>
      </w:r>
    </w:p>
    <w:p w14:paraId="4FE22EA5" w14:textId="77777777" w:rsidR="0004736C" w:rsidRPr="009D2588" w:rsidRDefault="0004736C" w:rsidP="0004736C">
      <w:pPr>
        <w:widowControl w:val="0"/>
        <w:autoSpaceDE w:val="0"/>
        <w:autoSpaceDN w:val="0"/>
        <w:adjustRightInd w:val="0"/>
        <w:ind w:left="480" w:hanging="480"/>
        <w:jc w:val="both"/>
        <w:rPr>
          <w:rFonts w:ascii="Arial" w:hAnsi="Arial" w:cs="Arial"/>
          <w:noProof/>
          <w:sz w:val="22"/>
          <w:szCs w:val="22"/>
        </w:rPr>
      </w:pPr>
      <w:r w:rsidRPr="0083393A">
        <w:rPr>
          <w:rFonts w:ascii="Arial" w:hAnsi="Arial" w:cs="Arial"/>
          <w:noProof/>
          <w:sz w:val="22"/>
          <w:szCs w:val="22"/>
        </w:rPr>
        <w:t xml:space="preserve">Hazzar, L. (2014). </w:t>
      </w:r>
      <w:r w:rsidRPr="009D2588">
        <w:rPr>
          <w:rFonts w:ascii="Arial" w:hAnsi="Arial" w:cs="Arial"/>
          <w:i/>
          <w:iCs/>
          <w:noProof/>
          <w:sz w:val="22"/>
          <w:szCs w:val="22"/>
        </w:rPr>
        <w:t>Analyse numérique de la réponse des pieux sous sollicitations latérales</w:t>
      </w:r>
      <w:r w:rsidRPr="009D2588">
        <w:rPr>
          <w:rFonts w:ascii="Arial" w:hAnsi="Arial" w:cs="Arial"/>
          <w:noProof/>
          <w:sz w:val="22"/>
          <w:szCs w:val="22"/>
        </w:rPr>
        <w:t>. Universiré de Sherbrooke (Québec Canada).</w:t>
      </w:r>
    </w:p>
    <w:p w14:paraId="33245313" w14:textId="77777777" w:rsidR="0004736C" w:rsidRPr="009D2588" w:rsidRDefault="0004736C" w:rsidP="0004736C">
      <w:pPr>
        <w:widowControl w:val="0"/>
        <w:autoSpaceDE w:val="0"/>
        <w:autoSpaceDN w:val="0"/>
        <w:adjustRightInd w:val="0"/>
        <w:ind w:left="480" w:hanging="480"/>
        <w:jc w:val="both"/>
        <w:rPr>
          <w:rFonts w:ascii="Arial" w:hAnsi="Arial" w:cs="Arial"/>
          <w:noProof/>
          <w:sz w:val="22"/>
          <w:szCs w:val="22"/>
        </w:rPr>
      </w:pPr>
      <w:r w:rsidRPr="009D2588">
        <w:rPr>
          <w:rFonts w:ascii="Arial" w:hAnsi="Arial" w:cs="Arial"/>
          <w:noProof/>
          <w:sz w:val="22"/>
          <w:szCs w:val="22"/>
        </w:rPr>
        <w:t>Hoang, MT, Cuira F., Burlon S (2020), Vers une approche de calcul unifiée du tassement des semelles et radiers, JNGG 2020</w:t>
      </w:r>
    </w:p>
    <w:p w14:paraId="56B9FCAB" w14:textId="11FE54F0" w:rsidR="00ED43AB" w:rsidRPr="009D2588" w:rsidRDefault="0004736C" w:rsidP="0004736C">
      <w:pPr>
        <w:widowControl w:val="0"/>
        <w:autoSpaceDE w:val="0"/>
        <w:autoSpaceDN w:val="0"/>
        <w:adjustRightInd w:val="0"/>
        <w:ind w:left="480" w:hanging="480"/>
        <w:jc w:val="both"/>
        <w:rPr>
          <w:rFonts w:ascii="Arial" w:hAnsi="Arial" w:cs="Arial"/>
          <w:sz w:val="22"/>
          <w:szCs w:val="22"/>
        </w:rPr>
      </w:pPr>
      <w:r w:rsidRPr="009D2588">
        <w:rPr>
          <w:rFonts w:ascii="Arial" w:hAnsi="Arial" w:cs="Arial"/>
          <w:noProof/>
          <w:sz w:val="22"/>
          <w:szCs w:val="22"/>
        </w:rPr>
        <w:t xml:space="preserve">Poulos, H. G., &amp; Davis, E. H. (1980). </w:t>
      </w:r>
      <w:r w:rsidRPr="009D2588">
        <w:rPr>
          <w:rFonts w:ascii="Arial" w:hAnsi="Arial" w:cs="Arial"/>
          <w:i/>
          <w:iCs/>
          <w:noProof/>
          <w:sz w:val="22"/>
          <w:szCs w:val="22"/>
          <w:lang w:val="en-GB"/>
        </w:rPr>
        <w:t>Pile foundation analysis and design</w:t>
      </w:r>
      <w:r w:rsidRPr="009D2588">
        <w:rPr>
          <w:rFonts w:ascii="Arial" w:hAnsi="Arial" w:cs="Arial"/>
          <w:noProof/>
          <w:sz w:val="22"/>
          <w:szCs w:val="22"/>
          <w:lang w:val="en-GB"/>
        </w:rPr>
        <w:t>.</w:t>
      </w:r>
      <w:r w:rsidRPr="009D2588">
        <w:rPr>
          <w:rFonts w:ascii="Arial" w:hAnsi="Arial" w:cs="Arial"/>
          <w:sz w:val="22"/>
          <w:szCs w:val="22"/>
        </w:rPr>
        <w:fldChar w:fldCharType="end"/>
      </w:r>
    </w:p>
    <w:sectPr w:rsidR="00ED43AB" w:rsidRPr="009D2588" w:rsidSect="00B84B6D">
      <w:headerReference w:type="default" r:id="rId20"/>
      <w:footerReference w:type="even" r:id="rId21"/>
      <w:footerReference w:type="default" r:id="rId22"/>
      <w:pgSz w:w="11879" w:h="16817"/>
      <w:pgMar w:top="1134" w:right="1134" w:bottom="1134" w:left="1134" w:header="454" w:footer="454" w:gutter="0"/>
      <w:cols w:space="4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D6D22" w14:textId="77777777" w:rsidR="00601BFC" w:rsidRDefault="00601BFC">
      <w:r>
        <w:separator/>
      </w:r>
    </w:p>
  </w:endnote>
  <w:endnote w:type="continuationSeparator" w:id="0">
    <w:p w14:paraId="2BEA9BE4" w14:textId="77777777" w:rsidR="00601BFC" w:rsidRDefault="00601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Avant Garde">
    <w:altName w:val="Century Gothic"/>
    <w:panose1 w:val="00000000000000000000"/>
    <w:charset w:val="4D"/>
    <w:family w:val="auto"/>
    <w:notTrueType/>
    <w:pitch w:val="default"/>
  </w:font>
  <w:font w:name="Cambria">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2E907" w14:textId="77777777" w:rsidR="000033F8" w:rsidRDefault="00B84B6D">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1D628A7C" w14:textId="77777777" w:rsidR="000033F8" w:rsidRDefault="003E736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C6021" w14:textId="4A69E5CB" w:rsidR="000033F8" w:rsidRPr="00B16A79" w:rsidRDefault="00B84B6D">
    <w:pPr>
      <w:framePr w:wrap="around" w:vAnchor="text" w:hAnchor="margin" w:xAlign="center" w:y="1"/>
      <w:rPr>
        <w:rStyle w:val="Numrodepage"/>
        <w:rFonts w:ascii="Arial" w:hAnsi="Arial" w:cs="Arial"/>
        <w:sz w:val="22"/>
        <w:szCs w:val="22"/>
      </w:rPr>
    </w:pPr>
    <w:r w:rsidRPr="00B16A79">
      <w:rPr>
        <w:rStyle w:val="Numrodepage"/>
        <w:rFonts w:ascii="Arial" w:hAnsi="Arial" w:cs="Arial"/>
        <w:sz w:val="22"/>
        <w:szCs w:val="22"/>
      </w:rPr>
      <w:fldChar w:fldCharType="begin"/>
    </w:r>
    <w:r w:rsidRPr="00B16A79">
      <w:rPr>
        <w:rStyle w:val="Numrodepage"/>
        <w:rFonts w:ascii="Arial" w:hAnsi="Arial" w:cs="Arial"/>
        <w:sz w:val="22"/>
        <w:szCs w:val="22"/>
      </w:rPr>
      <w:instrText xml:space="preserve">PAGE  </w:instrText>
    </w:r>
    <w:r w:rsidRPr="00B16A79">
      <w:rPr>
        <w:rStyle w:val="Numrodepage"/>
        <w:rFonts w:ascii="Arial" w:hAnsi="Arial" w:cs="Arial"/>
        <w:sz w:val="22"/>
        <w:szCs w:val="22"/>
      </w:rPr>
      <w:fldChar w:fldCharType="separate"/>
    </w:r>
    <w:r w:rsidR="00F30A31">
      <w:rPr>
        <w:rStyle w:val="Numrodepage"/>
        <w:rFonts w:ascii="Arial" w:hAnsi="Arial" w:cs="Arial"/>
        <w:noProof/>
        <w:sz w:val="22"/>
        <w:szCs w:val="22"/>
      </w:rPr>
      <w:t>7</w:t>
    </w:r>
    <w:r w:rsidRPr="00B16A79">
      <w:rPr>
        <w:rStyle w:val="Numrodepage"/>
        <w:rFonts w:ascii="Arial" w:hAnsi="Arial" w:cs="Arial"/>
        <w:sz w:val="22"/>
        <w:szCs w:val="22"/>
      </w:rPr>
      <w:fldChar w:fldCharType="end"/>
    </w:r>
  </w:p>
  <w:p w14:paraId="3830C215" w14:textId="77777777" w:rsidR="000033F8" w:rsidRDefault="003E736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3F74D" w14:textId="77777777" w:rsidR="00601BFC" w:rsidRDefault="00601BFC">
      <w:r>
        <w:separator/>
      </w:r>
    </w:p>
  </w:footnote>
  <w:footnote w:type="continuationSeparator" w:id="0">
    <w:p w14:paraId="096612E3" w14:textId="77777777" w:rsidR="00601BFC" w:rsidRDefault="00601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3BD03" w14:textId="77777777" w:rsidR="000033F8" w:rsidRPr="0093246D" w:rsidRDefault="0013118E" w:rsidP="0093246D">
    <w:pPr>
      <w:pStyle w:val="En-tte"/>
    </w:pPr>
    <w:r>
      <w:t>11</w:t>
    </w:r>
    <w:r w:rsidRPr="0013118E">
      <w:rPr>
        <w:vertAlign w:val="superscript"/>
      </w:rPr>
      <w:t>emes</w:t>
    </w:r>
    <w:r>
      <w:t xml:space="preserve"> </w:t>
    </w:r>
    <w:r w:rsidR="00B84B6D">
      <w:t>Journées Nationales de Géotechnique et de Géologie de l’Ingénieur – Lyon 202</w:t>
    </w:r>
    <w:r>
      <w:t>2</w:t>
    </w:r>
  </w:p>
  <w:p w14:paraId="24F6EFF0" w14:textId="77777777" w:rsidR="000033F8" w:rsidRDefault="003E736D"/>
  <w:p w14:paraId="305F877B" w14:textId="77777777" w:rsidR="000033F8" w:rsidRDefault="003E73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748F"/>
    <w:multiLevelType w:val="hybridMultilevel"/>
    <w:tmpl w:val="4588FED8"/>
    <w:lvl w:ilvl="0" w:tplc="38A6873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4945F23"/>
    <w:multiLevelType w:val="hybridMultilevel"/>
    <w:tmpl w:val="8940DDF6"/>
    <w:lvl w:ilvl="0" w:tplc="165AFFF8">
      <w:start w:val="2"/>
      <w:numFmt w:val="bullet"/>
      <w:lvlText w:val="-"/>
      <w:lvlJc w:val="left"/>
      <w:pPr>
        <w:ind w:left="644" w:hanging="360"/>
      </w:pPr>
      <w:rPr>
        <w:rFonts w:ascii="Arial" w:eastAsia="Times New Roman"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15:restartNumberingAfterBreak="0">
    <w:nsid w:val="1527319F"/>
    <w:multiLevelType w:val="hybridMultilevel"/>
    <w:tmpl w:val="E4680800"/>
    <w:lvl w:ilvl="0" w:tplc="6804CE36">
      <w:start w:val="2"/>
      <w:numFmt w:val="bullet"/>
      <w:lvlText w:val="-"/>
      <w:lvlJc w:val="left"/>
      <w:pPr>
        <w:ind w:left="720" w:hanging="360"/>
      </w:pPr>
      <w:rPr>
        <w:rFonts w:ascii="Times New Roman" w:eastAsia="Malgun Gothic" w:hAnsi="Times New Roman" w:cs="Times New Roman" w:hint="default"/>
      </w:rPr>
    </w:lvl>
    <w:lvl w:ilvl="1" w:tplc="6804CE36">
      <w:start w:val="2"/>
      <w:numFmt w:val="bullet"/>
      <w:lvlText w:val="-"/>
      <w:lvlJc w:val="left"/>
      <w:pPr>
        <w:ind w:left="1440" w:hanging="360"/>
      </w:pPr>
      <w:rPr>
        <w:rFonts w:ascii="Times New Roman" w:eastAsia="Malgun Gothic" w:hAnsi="Times New Roman"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18300EBA"/>
    <w:multiLevelType w:val="hybridMultilevel"/>
    <w:tmpl w:val="E1786FC2"/>
    <w:lvl w:ilvl="0" w:tplc="A5E0027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824356"/>
    <w:multiLevelType w:val="singleLevel"/>
    <w:tmpl w:val="304E6608"/>
    <w:lvl w:ilvl="0">
      <w:start w:val="1"/>
      <w:numFmt w:val="decimal"/>
      <w:pStyle w:val="Legendefigure"/>
      <w:lvlText w:val="Figure %1."/>
      <w:lvlJc w:val="left"/>
      <w:pPr>
        <w:tabs>
          <w:tab w:val="num" w:pos="1440"/>
        </w:tabs>
        <w:ind w:left="0" w:firstLine="0"/>
      </w:pPr>
      <w:rPr>
        <w:rFonts w:hint="default"/>
      </w:rPr>
    </w:lvl>
  </w:abstractNum>
  <w:abstractNum w:abstractNumId="5" w15:restartNumberingAfterBreak="0">
    <w:nsid w:val="246F6B14"/>
    <w:multiLevelType w:val="multilevel"/>
    <w:tmpl w:val="8D241F30"/>
    <w:lvl w:ilvl="0">
      <w:start w:val="1"/>
      <w:numFmt w:val="decimal"/>
      <w:pStyle w:val="Titre1"/>
      <w:lvlText w:val="%1."/>
      <w:lvlJc w:val="left"/>
      <w:pPr>
        <w:ind w:left="720" w:hanging="360"/>
      </w:pPr>
    </w:lvl>
    <w:lvl w:ilvl="1">
      <w:start w:val="1"/>
      <w:numFmt w:val="decimal"/>
      <w:isLgl/>
      <w:lvlText w:val="%1.%2."/>
      <w:lvlJc w:val="left"/>
      <w:pPr>
        <w:ind w:left="1080" w:hanging="720"/>
      </w:pPr>
      <w:rPr>
        <w:rFonts w:hint="default"/>
        <w:i/>
        <w:i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1D61E71"/>
    <w:multiLevelType w:val="hybridMultilevel"/>
    <w:tmpl w:val="24C03706"/>
    <w:lvl w:ilvl="0" w:tplc="E9B2F5CC">
      <w:start w:val="2"/>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3A842D1"/>
    <w:multiLevelType w:val="hybridMultilevel"/>
    <w:tmpl w:val="4D02BE0C"/>
    <w:lvl w:ilvl="0" w:tplc="C2C0DB50">
      <w:numFmt w:val="bullet"/>
      <w:lvlText w:val="-"/>
      <w:lvlJc w:val="left"/>
      <w:pPr>
        <w:ind w:left="644" w:hanging="360"/>
      </w:pPr>
      <w:rPr>
        <w:rFonts w:ascii="Arial" w:eastAsia="Times New Roman"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8" w15:restartNumberingAfterBreak="0">
    <w:nsid w:val="526237D7"/>
    <w:multiLevelType w:val="hybridMultilevel"/>
    <w:tmpl w:val="3134E88C"/>
    <w:lvl w:ilvl="0" w:tplc="040C0001">
      <w:start w:val="2"/>
      <w:numFmt w:val="bullet"/>
      <w:lvlText w:val=""/>
      <w:lvlJc w:val="left"/>
      <w:pPr>
        <w:ind w:left="360" w:hanging="360"/>
      </w:pPr>
      <w:rPr>
        <w:rFonts w:ascii="Symbol" w:eastAsia="Times New Roman" w:hAnsi="Symbol"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59804470"/>
    <w:multiLevelType w:val="hybridMultilevel"/>
    <w:tmpl w:val="CE16A150"/>
    <w:lvl w:ilvl="0" w:tplc="2052427A">
      <w:start w:val="9"/>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6109628C"/>
    <w:multiLevelType w:val="hybridMultilevel"/>
    <w:tmpl w:val="6352B126"/>
    <w:lvl w:ilvl="0" w:tplc="8566212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2D30FBA"/>
    <w:multiLevelType w:val="hybridMultilevel"/>
    <w:tmpl w:val="C7605172"/>
    <w:lvl w:ilvl="0" w:tplc="7556E57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9319EF"/>
    <w:multiLevelType w:val="hybridMultilevel"/>
    <w:tmpl w:val="13D07F04"/>
    <w:lvl w:ilvl="0" w:tplc="040C0001">
      <w:start w:val="2"/>
      <w:numFmt w:val="bullet"/>
      <w:lvlText w:val=""/>
      <w:lvlJc w:val="left"/>
      <w:pPr>
        <w:ind w:left="360" w:hanging="360"/>
      </w:pPr>
      <w:rPr>
        <w:rFonts w:ascii="Symbol" w:eastAsia="Times New Roman" w:hAnsi="Symbol"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2121562581">
    <w:abstractNumId w:val="5"/>
  </w:num>
  <w:num w:numId="2" w16cid:durableId="712508889">
    <w:abstractNumId w:val="2"/>
  </w:num>
  <w:num w:numId="3" w16cid:durableId="677658071">
    <w:abstractNumId w:val="1"/>
  </w:num>
  <w:num w:numId="4" w16cid:durableId="1098939308">
    <w:abstractNumId w:val="4"/>
  </w:num>
  <w:num w:numId="5" w16cid:durableId="762722744">
    <w:abstractNumId w:val="10"/>
  </w:num>
  <w:num w:numId="6" w16cid:durableId="1315137371">
    <w:abstractNumId w:val="6"/>
  </w:num>
  <w:num w:numId="7" w16cid:durableId="1566530644">
    <w:abstractNumId w:val="0"/>
  </w:num>
  <w:num w:numId="8" w16cid:durableId="1558322009">
    <w:abstractNumId w:val="8"/>
  </w:num>
  <w:num w:numId="9" w16cid:durableId="1584026964">
    <w:abstractNumId w:val="12"/>
  </w:num>
  <w:num w:numId="10" w16cid:durableId="2120681954">
    <w:abstractNumId w:val="3"/>
  </w:num>
  <w:num w:numId="11" w16cid:durableId="1129862772">
    <w:abstractNumId w:val="7"/>
  </w:num>
  <w:num w:numId="12" w16cid:durableId="1016007382">
    <w:abstractNumId w:val="9"/>
  </w:num>
  <w:num w:numId="13" w16cid:durableId="6312507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B6D"/>
    <w:rsid w:val="00000865"/>
    <w:rsid w:val="00000C8C"/>
    <w:rsid w:val="00001354"/>
    <w:rsid w:val="00006106"/>
    <w:rsid w:val="000152EA"/>
    <w:rsid w:val="000156E5"/>
    <w:rsid w:val="00016E9A"/>
    <w:rsid w:val="0003711A"/>
    <w:rsid w:val="00042FDF"/>
    <w:rsid w:val="0004371B"/>
    <w:rsid w:val="000441D4"/>
    <w:rsid w:val="00045251"/>
    <w:rsid w:val="0004736C"/>
    <w:rsid w:val="00051CCA"/>
    <w:rsid w:val="00054D9D"/>
    <w:rsid w:val="00056BCE"/>
    <w:rsid w:val="00070C51"/>
    <w:rsid w:val="0007457B"/>
    <w:rsid w:val="00085C9F"/>
    <w:rsid w:val="00092F5C"/>
    <w:rsid w:val="000A77A1"/>
    <w:rsid w:val="000B04BD"/>
    <w:rsid w:val="000B150A"/>
    <w:rsid w:val="000C4E68"/>
    <w:rsid w:val="000C53A0"/>
    <w:rsid w:val="000C5889"/>
    <w:rsid w:val="000D3AB6"/>
    <w:rsid w:val="000E0FD6"/>
    <w:rsid w:val="000E3C43"/>
    <w:rsid w:val="000E6915"/>
    <w:rsid w:val="000E7C7A"/>
    <w:rsid w:val="000F00B5"/>
    <w:rsid w:val="000F198A"/>
    <w:rsid w:val="000F24F6"/>
    <w:rsid w:val="000F7977"/>
    <w:rsid w:val="00100537"/>
    <w:rsid w:val="00102334"/>
    <w:rsid w:val="001058E1"/>
    <w:rsid w:val="001241CF"/>
    <w:rsid w:val="00127327"/>
    <w:rsid w:val="0013118E"/>
    <w:rsid w:val="001341F4"/>
    <w:rsid w:val="00134F57"/>
    <w:rsid w:val="0013662E"/>
    <w:rsid w:val="001404D4"/>
    <w:rsid w:val="001501DB"/>
    <w:rsid w:val="001503E5"/>
    <w:rsid w:val="00152C31"/>
    <w:rsid w:val="00155BFC"/>
    <w:rsid w:val="00156813"/>
    <w:rsid w:val="0015762D"/>
    <w:rsid w:val="00157854"/>
    <w:rsid w:val="001675C2"/>
    <w:rsid w:val="00175837"/>
    <w:rsid w:val="00177D47"/>
    <w:rsid w:val="00182E75"/>
    <w:rsid w:val="00184C19"/>
    <w:rsid w:val="001866F9"/>
    <w:rsid w:val="001905A9"/>
    <w:rsid w:val="001927EF"/>
    <w:rsid w:val="00192D3C"/>
    <w:rsid w:val="001969E3"/>
    <w:rsid w:val="001A08CD"/>
    <w:rsid w:val="001A370F"/>
    <w:rsid w:val="001A3B1F"/>
    <w:rsid w:val="001A55AE"/>
    <w:rsid w:val="001A7386"/>
    <w:rsid w:val="001C0097"/>
    <w:rsid w:val="001E215D"/>
    <w:rsid w:val="001E286E"/>
    <w:rsid w:val="001F1C9C"/>
    <w:rsid w:val="001F2DC4"/>
    <w:rsid w:val="001F333D"/>
    <w:rsid w:val="001F4508"/>
    <w:rsid w:val="001F7E5E"/>
    <w:rsid w:val="00201A86"/>
    <w:rsid w:val="00202596"/>
    <w:rsid w:val="00203149"/>
    <w:rsid w:val="00211FC1"/>
    <w:rsid w:val="00214723"/>
    <w:rsid w:val="0022233E"/>
    <w:rsid w:val="0022243D"/>
    <w:rsid w:val="002226BC"/>
    <w:rsid w:val="00222A52"/>
    <w:rsid w:val="00222BF1"/>
    <w:rsid w:val="00227870"/>
    <w:rsid w:val="00232943"/>
    <w:rsid w:val="00234269"/>
    <w:rsid w:val="00236098"/>
    <w:rsid w:val="00240194"/>
    <w:rsid w:val="002411AC"/>
    <w:rsid w:val="00243C43"/>
    <w:rsid w:val="0024642D"/>
    <w:rsid w:val="002514E0"/>
    <w:rsid w:val="00252792"/>
    <w:rsid w:val="00256B1C"/>
    <w:rsid w:val="00257BF6"/>
    <w:rsid w:val="002720E5"/>
    <w:rsid w:val="00281D61"/>
    <w:rsid w:val="002962DC"/>
    <w:rsid w:val="002B654C"/>
    <w:rsid w:val="002C0B60"/>
    <w:rsid w:val="002D52EB"/>
    <w:rsid w:val="002D54E0"/>
    <w:rsid w:val="002D7245"/>
    <w:rsid w:val="002E2516"/>
    <w:rsid w:val="002E3EFB"/>
    <w:rsid w:val="002E6E56"/>
    <w:rsid w:val="002F2741"/>
    <w:rsid w:val="003001FC"/>
    <w:rsid w:val="0030231B"/>
    <w:rsid w:val="0030788D"/>
    <w:rsid w:val="00313B64"/>
    <w:rsid w:val="003160A7"/>
    <w:rsid w:val="00320174"/>
    <w:rsid w:val="00323EF3"/>
    <w:rsid w:val="0032579D"/>
    <w:rsid w:val="0033528A"/>
    <w:rsid w:val="00337439"/>
    <w:rsid w:val="00354204"/>
    <w:rsid w:val="00357EB1"/>
    <w:rsid w:val="00362DEE"/>
    <w:rsid w:val="00366E7A"/>
    <w:rsid w:val="003725BB"/>
    <w:rsid w:val="0037539B"/>
    <w:rsid w:val="00377B4B"/>
    <w:rsid w:val="00381AC4"/>
    <w:rsid w:val="00395732"/>
    <w:rsid w:val="00395A57"/>
    <w:rsid w:val="00395A6A"/>
    <w:rsid w:val="00396B77"/>
    <w:rsid w:val="003A6C59"/>
    <w:rsid w:val="003A7132"/>
    <w:rsid w:val="003A7F37"/>
    <w:rsid w:val="003B2EFC"/>
    <w:rsid w:val="003C3008"/>
    <w:rsid w:val="003C6A9C"/>
    <w:rsid w:val="003D1E3A"/>
    <w:rsid w:val="003D3A77"/>
    <w:rsid w:val="003D5FCA"/>
    <w:rsid w:val="003E2859"/>
    <w:rsid w:val="003E736D"/>
    <w:rsid w:val="003E7D9E"/>
    <w:rsid w:val="003F41E8"/>
    <w:rsid w:val="003F708E"/>
    <w:rsid w:val="004007D4"/>
    <w:rsid w:val="0040401F"/>
    <w:rsid w:val="0040536D"/>
    <w:rsid w:val="00407884"/>
    <w:rsid w:val="00412A0F"/>
    <w:rsid w:val="00413653"/>
    <w:rsid w:val="004257D9"/>
    <w:rsid w:val="00432B5B"/>
    <w:rsid w:val="004365F6"/>
    <w:rsid w:val="00437130"/>
    <w:rsid w:val="00445762"/>
    <w:rsid w:val="00446F4F"/>
    <w:rsid w:val="00454ABB"/>
    <w:rsid w:val="00455A5A"/>
    <w:rsid w:val="004573E3"/>
    <w:rsid w:val="00463C53"/>
    <w:rsid w:val="00471832"/>
    <w:rsid w:val="0047235D"/>
    <w:rsid w:val="004764D3"/>
    <w:rsid w:val="00486793"/>
    <w:rsid w:val="00487BC4"/>
    <w:rsid w:val="004918DD"/>
    <w:rsid w:val="004930B9"/>
    <w:rsid w:val="004932D5"/>
    <w:rsid w:val="004959C0"/>
    <w:rsid w:val="004A272D"/>
    <w:rsid w:val="004B25B8"/>
    <w:rsid w:val="004B2847"/>
    <w:rsid w:val="004B5AD4"/>
    <w:rsid w:val="004C0514"/>
    <w:rsid w:val="004C22D0"/>
    <w:rsid w:val="004D6185"/>
    <w:rsid w:val="004D6545"/>
    <w:rsid w:val="004D65B1"/>
    <w:rsid w:val="004D754B"/>
    <w:rsid w:val="004D770E"/>
    <w:rsid w:val="004E225C"/>
    <w:rsid w:val="004E4403"/>
    <w:rsid w:val="004E5079"/>
    <w:rsid w:val="005047F1"/>
    <w:rsid w:val="0050566B"/>
    <w:rsid w:val="00506466"/>
    <w:rsid w:val="00510FD8"/>
    <w:rsid w:val="005139D8"/>
    <w:rsid w:val="00520AFF"/>
    <w:rsid w:val="005273FA"/>
    <w:rsid w:val="00531856"/>
    <w:rsid w:val="00543158"/>
    <w:rsid w:val="00546BC1"/>
    <w:rsid w:val="0054760A"/>
    <w:rsid w:val="005526FF"/>
    <w:rsid w:val="005552CF"/>
    <w:rsid w:val="005648E5"/>
    <w:rsid w:val="00566967"/>
    <w:rsid w:val="00567147"/>
    <w:rsid w:val="00584D0B"/>
    <w:rsid w:val="0059222A"/>
    <w:rsid w:val="00594FC1"/>
    <w:rsid w:val="005A07B9"/>
    <w:rsid w:val="005A3005"/>
    <w:rsid w:val="005A4AA9"/>
    <w:rsid w:val="005A7052"/>
    <w:rsid w:val="005A74BD"/>
    <w:rsid w:val="005A75D5"/>
    <w:rsid w:val="005A7B85"/>
    <w:rsid w:val="005B3009"/>
    <w:rsid w:val="005C020E"/>
    <w:rsid w:val="005D0C08"/>
    <w:rsid w:val="005D0FFB"/>
    <w:rsid w:val="005D77D8"/>
    <w:rsid w:val="005D7CB3"/>
    <w:rsid w:val="005E742C"/>
    <w:rsid w:val="005F6D93"/>
    <w:rsid w:val="005F7957"/>
    <w:rsid w:val="006009F6"/>
    <w:rsid w:val="0060140A"/>
    <w:rsid w:val="00601ABD"/>
    <w:rsid w:val="00601BFC"/>
    <w:rsid w:val="00602E8A"/>
    <w:rsid w:val="0060670A"/>
    <w:rsid w:val="00614B03"/>
    <w:rsid w:val="00631C8C"/>
    <w:rsid w:val="00634D6C"/>
    <w:rsid w:val="00634F36"/>
    <w:rsid w:val="00636E0D"/>
    <w:rsid w:val="00642705"/>
    <w:rsid w:val="00643C2C"/>
    <w:rsid w:val="00652734"/>
    <w:rsid w:val="00662FFF"/>
    <w:rsid w:val="00666DEA"/>
    <w:rsid w:val="00675593"/>
    <w:rsid w:val="00675E04"/>
    <w:rsid w:val="00682B13"/>
    <w:rsid w:val="0068538B"/>
    <w:rsid w:val="00685EE8"/>
    <w:rsid w:val="006915B1"/>
    <w:rsid w:val="006972CB"/>
    <w:rsid w:val="006A21FF"/>
    <w:rsid w:val="006A5283"/>
    <w:rsid w:val="006B4081"/>
    <w:rsid w:val="006C1C15"/>
    <w:rsid w:val="006C35DD"/>
    <w:rsid w:val="006C5F37"/>
    <w:rsid w:val="006D4FF4"/>
    <w:rsid w:val="006E0A87"/>
    <w:rsid w:val="006E408D"/>
    <w:rsid w:val="006E5BE9"/>
    <w:rsid w:val="006E6529"/>
    <w:rsid w:val="006E7414"/>
    <w:rsid w:val="006E7B01"/>
    <w:rsid w:val="006F2B8B"/>
    <w:rsid w:val="006F6A06"/>
    <w:rsid w:val="006F7BA8"/>
    <w:rsid w:val="00700BA9"/>
    <w:rsid w:val="00702FBF"/>
    <w:rsid w:val="007033BD"/>
    <w:rsid w:val="00706033"/>
    <w:rsid w:val="00710CE8"/>
    <w:rsid w:val="00710EC2"/>
    <w:rsid w:val="00711F93"/>
    <w:rsid w:val="0071285A"/>
    <w:rsid w:val="0071475B"/>
    <w:rsid w:val="00716FC9"/>
    <w:rsid w:val="007258DE"/>
    <w:rsid w:val="007301D7"/>
    <w:rsid w:val="00735206"/>
    <w:rsid w:val="007361AC"/>
    <w:rsid w:val="00737476"/>
    <w:rsid w:val="007467D3"/>
    <w:rsid w:val="007501CE"/>
    <w:rsid w:val="00753D13"/>
    <w:rsid w:val="00760CA8"/>
    <w:rsid w:val="00782AA7"/>
    <w:rsid w:val="00786586"/>
    <w:rsid w:val="00787EC2"/>
    <w:rsid w:val="00794A36"/>
    <w:rsid w:val="00797C95"/>
    <w:rsid w:val="007A7D38"/>
    <w:rsid w:val="007B4942"/>
    <w:rsid w:val="007B7905"/>
    <w:rsid w:val="007C3F91"/>
    <w:rsid w:val="007D7B14"/>
    <w:rsid w:val="007E1282"/>
    <w:rsid w:val="007E47EE"/>
    <w:rsid w:val="007E4854"/>
    <w:rsid w:val="007E604C"/>
    <w:rsid w:val="007F33C1"/>
    <w:rsid w:val="007F35DE"/>
    <w:rsid w:val="00806EB9"/>
    <w:rsid w:val="008257EC"/>
    <w:rsid w:val="00826643"/>
    <w:rsid w:val="0082698E"/>
    <w:rsid w:val="008300E0"/>
    <w:rsid w:val="0083191D"/>
    <w:rsid w:val="00832B94"/>
    <w:rsid w:val="0083393A"/>
    <w:rsid w:val="0083400D"/>
    <w:rsid w:val="008428E0"/>
    <w:rsid w:val="00854DA1"/>
    <w:rsid w:val="00865248"/>
    <w:rsid w:val="008741F3"/>
    <w:rsid w:val="00880A90"/>
    <w:rsid w:val="008954A8"/>
    <w:rsid w:val="008961D9"/>
    <w:rsid w:val="008A0C83"/>
    <w:rsid w:val="008A239E"/>
    <w:rsid w:val="008B0412"/>
    <w:rsid w:val="008B34C5"/>
    <w:rsid w:val="008C092F"/>
    <w:rsid w:val="008C2438"/>
    <w:rsid w:val="008D04C5"/>
    <w:rsid w:val="008D14B0"/>
    <w:rsid w:val="008D4EEA"/>
    <w:rsid w:val="008E1BD7"/>
    <w:rsid w:val="008E3608"/>
    <w:rsid w:val="008F0138"/>
    <w:rsid w:val="008F2630"/>
    <w:rsid w:val="008F2E8E"/>
    <w:rsid w:val="008F5A37"/>
    <w:rsid w:val="008F7FBC"/>
    <w:rsid w:val="00910F1B"/>
    <w:rsid w:val="0091165B"/>
    <w:rsid w:val="00917158"/>
    <w:rsid w:val="00917C08"/>
    <w:rsid w:val="009254B8"/>
    <w:rsid w:val="009300C0"/>
    <w:rsid w:val="00930E20"/>
    <w:rsid w:val="00937374"/>
    <w:rsid w:val="0094479B"/>
    <w:rsid w:val="00945B74"/>
    <w:rsid w:val="00952CDB"/>
    <w:rsid w:val="00953BC9"/>
    <w:rsid w:val="009569CE"/>
    <w:rsid w:val="00960DFE"/>
    <w:rsid w:val="00960E28"/>
    <w:rsid w:val="00965560"/>
    <w:rsid w:val="00966EDB"/>
    <w:rsid w:val="009719EC"/>
    <w:rsid w:val="009742F9"/>
    <w:rsid w:val="00974F4D"/>
    <w:rsid w:val="00985BB9"/>
    <w:rsid w:val="00987526"/>
    <w:rsid w:val="00987DF2"/>
    <w:rsid w:val="009911C6"/>
    <w:rsid w:val="009A24D5"/>
    <w:rsid w:val="009A4F50"/>
    <w:rsid w:val="009B1C79"/>
    <w:rsid w:val="009B3A08"/>
    <w:rsid w:val="009D2588"/>
    <w:rsid w:val="009E08E7"/>
    <w:rsid w:val="009E5790"/>
    <w:rsid w:val="009F73F3"/>
    <w:rsid w:val="00A07C46"/>
    <w:rsid w:val="00A12C57"/>
    <w:rsid w:val="00A159D5"/>
    <w:rsid w:val="00A21ADB"/>
    <w:rsid w:val="00A2330E"/>
    <w:rsid w:val="00A324BC"/>
    <w:rsid w:val="00A46A91"/>
    <w:rsid w:val="00A5143F"/>
    <w:rsid w:val="00A5788C"/>
    <w:rsid w:val="00A578F7"/>
    <w:rsid w:val="00A63739"/>
    <w:rsid w:val="00A66D8A"/>
    <w:rsid w:val="00A73827"/>
    <w:rsid w:val="00A754F3"/>
    <w:rsid w:val="00A75A35"/>
    <w:rsid w:val="00A82417"/>
    <w:rsid w:val="00A87BF8"/>
    <w:rsid w:val="00A93CE8"/>
    <w:rsid w:val="00A94C44"/>
    <w:rsid w:val="00A9710B"/>
    <w:rsid w:val="00AA5904"/>
    <w:rsid w:val="00AB4631"/>
    <w:rsid w:val="00AB51DB"/>
    <w:rsid w:val="00AC253D"/>
    <w:rsid w:val="00AC2985"/>
    <w:rsid w:val="00AC5ABE"/>
    <w:rsid w:val="00AD22A5"/>
    <w:rsid w:val="00AD395E"/>
    <w:rsid w:val="00AD626A"/>
    <w:rsid w:val="00AE07B6"/>
    <w:rsid w:val="00AE5920"/>
    <w:rsid w:val="00B10C38"/>
    <w:rsid w:val="00B27FBB"/>
    <w:rsid w:val="00B30911"/>
    <w:rsid w:val="00B34D13"/>
    <w:rsid w:val="00B379BA"/>
    <w:rsid w:val="00B40ABF"/>
    <w:rsid w:val="00B42475"/>
    <w:rsid w:val="00B456AE"/>
    <w:rsid w:val="00B45764"/>
    <w:rsid w:val="00B56BC2"/>
    <w:rsid w:val="00B6303E"/>
    <w:rsid w:val="00B63E71"/>
    <w:rsid w:val="00B72733"/>
    <w:rsid w:val="00B815CE"/>
    <w:rsid w:val="00B82808"/>
    <w:rsid w:val="00B84B6D"/>
    <w:rsid w:val="00B87E9C"/>
    <w:rsid w:val="00B90CD6"/>
    <w:rsid w:val="00BA06B3"/>
    <w:rsid w:val="00BA3780"/>
    <w:rsid w:val="00BA5371"/>
    <w:rsid w:val="00BA53BC"/>
    <w:rsid w:val="00BB6C5B"/>
    <w:rsid w:val="00BC1315"/>
    <w:rsid w:val="00BD24B8"/>
    <w:rsid w:val="00BD393C"/>
    <w:rsid w:val="00BD4BD2"/>
    <w:rsid w:val="00BE444E"/>
    <w:rsid w:val="00BF0FD3"/>
    <w:rsid w:val="00BF73C0"/>
    <w:rsid w:val="00C00A34"/>
    <w:rsid w:val="00C036C9"/>
    <w:rsid w:val="00C066AA"/>
    <w:rsid w:val="00C069C7"/>
    <w:rsid w:val="00C1245E"/>
    <w:rsid w:val="00C133F2"/>
    <w:rsid w:val="00C14FC7"/>
    <w:rsid w:val="00C219BA"/>
    <w:rsid w:val="00C23F03"/>
    <w:rsid w:val="00C24906"/>
    <w:rsid w:val="00C304D5"/>
    <w:rsid w:val="00C33331"/>
    <w:rsid w:val="00C51F97"/>
    <w:rsid w:val="00C5581C"/>
    <w:rsid w:val="00C56782"/>
    <w:rsid w:val="00C60579"/>
    <w:rsid w:val="00C60FFD"/>
    <w:rsid w:val="00C8335C"/>
    <w:rsid w:val="00C84D7F"/>
    <w:rsid w:val="00C9361C"/>
    <w:rsid w:val="00CA2FF5"/>
    <w:rsid w:val="00CA3DB1"/>
    <w:rsid w:val="00CA5B10"/>
    <w:rsid w:val="00CB437E"/>
    <w:rsid w:val="00CB4A45"/>
    <w:rsid w:val="00CB4A99"/>
    <w:rsid w:val="00CB68FE"/>
    <w:rsid w:val="00CB7281"/>
    <w:rsid w:val="00CC7FDE"/>
    <w:rsid w:val="00CD1644"/>
    <w:rsid w:val="00CD5845"/>
    <w:rsid w:val="00CD7395"/>
    <w:rsid w:val="00CE088E"/>
    <w:rsid w:val="00CE595C"/>
    <w:rsid w:val="00CF0DAF"/>
    <w:rsid w:val="00CF1827"/>
    <w:rsid w:val="00CF18F3"/>
    <w:rsid w:val="00CF68FC"/>
    <w:rsid w:val="00D0055F"/>
    <w:rsid w:val="00D11AFF"/>
    <w:rsid w:val="00D12F63"/>
    <w:rsid w:val="00D137CB"/>
    <w:rsid w:val="00D15E3C"/>
    <w:rsid w:val="00D2192F"/>
    <w:rsid w:val="00D230E3"/>
    <w:rsid w:val="00D272D9"/>
    <w:rsid w:val="00D36A26"/>
    <w:rsid w:val="00D4049A"/>
    <w:rsid w:val="00D4152D"/>
    <w:rsid w:val="00D513D1"/>
    <w:rsid w:val="00D55ED1"/>
    <w:rsid w:val="00D61192"/>
    <w:rsid w:val="00D70E2C"/>
    <w:rsid w:val="00D71BFB"/>
    <w:rsid w:val="00D72F5F"/>
    <w:rsid w:val="00D73932"/>
    <w:rsid w:val="00D75071"/>
    <w:rsid w:val="00D7570F"/>
    <w:rsid w:val="00D758DC"/>
    <w:rsid w:val="00D75D12"/>
    <w:rsid w:val="00D80C96"/>
    <w:rsid w:val="00D832A8"/>
    <w:rsid w:val="00D85D19"/>
    <w:rsid w:val="00D90F60"/>
    <w:rsid w:val="00D97A47"/>
    <w:rsid w:val="00DA051A"/>
    <w:rsid w:val="00DB0ABB"/>
    <w:rsid w:val="00DB488F"/>
    <w:rsid w:val="00DB5008"/>
    <w:rsid w:val="00DB7DE5"/>
    <w:rsid w:val="00DC0D28"/>
    <w:rsid w:val="00DC0F62"/>
    <w:rsid w:val="00DC18FA"/>
    <w:rsid w:val="00DC544A"/>
    <w:rsid w:val="00DC6BFE"/>
    <w:rsid w:val="00DD052F"/>
    <w:rsid w:val="00DD1D23"/>
    <w:rsid w:val="00DD7CEA"/>
    <w:rsid w:val="00DE0E81"/>
    <w:rsid w:val="00DE3035"/>
    <w:rsid w:val="00DE3D85"/>
    <w:rsid w:val="00DF7443"/>
    <w:rsid w:val="00E127D0"/>
    <w:rsid w:val="00E12F1C"/>
    <w:rsid w:val="00E15FF1"/>
    <w:rsid w:val="00E21FB4"/>
    <w:rsid w:val="00E2763E"/>
    <w:rsid w:val="00E31E8D"/>
    <w:rsid w:val="00E3393E"/>
    <w:rsid w:val="00E376E1"/>
    <w:rsid w:val="00E3799A"/>
    <w:rsid w:val="00E5428D"/>
    <w:rsid w:val="00E602B2"/>
    <w:rsid w:val="00E6231B"/>
    <w:rsid w:val="00E75E3E"/>
    <w:rsid w:val="00E811AA"/>
    <w:rsid w:val="00E8624E"/>
    <w:rsid w:val="00E86AE6"/>
    <w:rsid w:val="00E95E20"/>
    <w:rsid w:val="00EA3496"/>
    <w:rsid w:val="00EA3D78"/>
    <w:rsid w:val="00EA7376"/>
    <w:rsid w:val="00EA7CF1"/>
    <w:rsid w:val="00EB0F41"/>
    <w:rsid w:val="00EB2462"/>
    <w:rsid w:val="00EB5262"/>
    <w:rsid w:val="00EC5663"/>
    <w:rsid w:val="00ED43AB"/>
    <w:rsid w:val="00EE19B0"/>
    <w:rsid w:val="00EE22E6"/>
    <w:rsid w:val="00EE4BF7"/>
    <w:rsid w:val="00EE5123"/>
    <w:rsid w:val="00F04175"/>
    <w:rsid w:val="00F0739B"/>
    <w:rsid w:val="00F25544"/>
    <w:rsid w:val="00F30A31"/>
    <w:rsid w:val="00F40634"/>
    <w:rsid w:val="00F41EFC"/>
    <w:rsid w:val="00F4243E"/>
    <w:rsid w:val="00F748F5"/>
    <w:rsid w:val="00F7647D"/>
    <w:rsid w:val="00F76D77"/>
    <w:rsid w:val="00F816C2"/>
    <w:rsid w:val="00F846A6"/>
    <w:rsid w:val="00F86714"/>
    <w:rsid w:val="00F92590"/>
    <w:rsid w:val="00FA039C"/>
    <w:rsid w:val="00FA31ED"/>
    <w:rsid w:val="00FA4246"/>
    <w:rsid w:val="00FA61F6"/>
    <w:rsid w:val="00FC17DE"/>
    <w:rsid w:val="00FC5A45"/>
    <w:rsid w:val="00FD0230"/>
    <w:rsid w:val="00FD3C3D"/>
    <w:rsid w:val="00FF4C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CBF5F"/>
  <w15:chartTrackingRefBased/>
  <w15:docId w15:val="{6204F69A-2B27-4052-9AB3-F9CB56D90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8F5"/>
    <w:pPr>
      <w:spacing w:after="0" w:line="240" w:lineRule="auto"/>
    </w:pPr>
    <w:rPr>
      <w:rFonts w:ascii="Avant Garde" w:eastAsia="Times New Roman" w:hAnsi="Avant Garde" w:cs="Times New Roman"/>
      <w:sz w:val="20"/>
      <w:szCs w:val="20"/>
      <w:lang w:eastAsia="fr-FR"/>
    </w:rPr>
  </w:style>
  <w:style w:type="paragraph" w:styleId="Titre1">
    <w:name w:val="heading 1"/>
    <w:basedOn w:val="Normal"/>
    <w:next w:val="Corpsdetexte12"/>
    <w:link w:val="Titre1Car"/>
    <w:qFormat/>
    <w:rsid w:val="00B84B6D"/>
    <w:pPr>
      <w:keepNext/>
      <w:numPr>
        <w:numId w:val="1"/>
      </w:numPr>
      <w:spacing w:before="240" w:after="120"/>
      <w:ind w:left="357" w:hanging="357"/>
      <w:outlineLvl w:val="0"/>
    </w:pPr>
    <w:rPr>
      <w:rFonts w:ascii="Arial" w:hAnsi="Arial"/>
      <w:b/>
      <w:bCs/>
      <w:kern w:val="32"/>
      <w:sz w:val="24"/>
      <w:szCs w:val="24"/>
      <w:lang w:val="x-none" w:eastAsia="x-none"/>
    </w:rPr>
  </w:style>
  <w:style w:type="paragraph" w:styleId="Titre2">
    <w:name w:val="heading 2"/>
    <w:basedOn w:val="Normal"/>
    <w:next w:val="Corpsdetexte12"/>
    <w:link w:val="Titre2Car"/>
    <w:qFormat/>
    <w:rsid w:val="00B84B6D"/>
    <w:pPr>
      <w:keepNext/>
      <w:spacing w:before="240" w:after="120"/>
      <w:ind w:left="360" w:hanging="360"/>
      <w:outlineLvl w:val="1"/>
    </w:pPr>
    <w:rPr>
      <w:rFonts w:ascii="Arial" w:hAnsi="Arial"/>
      <w:b/>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84B6D"/>
    <w:rPr>
      <w:rFonts w:ascii="Arial" w:eastAsia="Times New Roman" w:hAnsi="Arial" w:cs="Times New Roman"/>
      <w:b/>
      <w:bCs/>
      <w:kern w:val="32"/>
      <w:sz w:val="24"/>
      <w:szCs w:val="24"/>
      <w:lang w:val="x-none" w:eastAsia="x-none"/>
    </w:rPr>
  </w:style>
  <w:style w:type="character" w:customStyle="1" w:styleId="Titre2Car">
    <w:name w:val="Titre 2 Car"/>
    <w:basedOn w:val="Policepardfaut"/>
    <w:link w:val="Titre2"/>
    <w:rsid w:val="00B84B6D"/>
    <w:rPr>
      <w:rFonts w:ascii="Arial" w:eastAsia="Times New Roman" w:hAnsi="Arial" w:cs="Times New Roman"/>
      <w:b/>
      <w:i/>
      <w:sz w:val="24"/>
      <w:szCs w:val="24"/>
      <w:lang w:eastAsia="fr-FR"/>
    </w:rPr>
  </w:style>
  <w:style w:type="paragraph" w:styleId="En-tte">
    <w:name w:val="header"/>
    <w:basedOn w:val="Normal"/>
    <w:link w:val="En-tteCar"/>
    <w:rsid w:val="00B84B6D"/>
    <w:pPr>
      <w:tabs>
        <w:tab w:val="center" w:pos="4536"/>
        <w:tab w:val="right" w:pos="9072"/>
      </w:tabs>
      <w:jc w:val="center"/>
    </w:pPr>
    <w:rPr>
      <w:rFonts w:ascii="Arial" w:hAnsi="Arial" w:cs="Arial"/>
      <w:i/>
    </w:rPr>
  </w:style>
  <w:style w:type="character" w:customStyle="1" w:styleId="En-tteCar">
    <w:name w:val="En-tête Car"/>
    <w:basedOn w:val="Policepardfaut"/>
    <w:link w:val="En-tte"/>
    <w:rsid w:val="00B84B6D"/>
    <w:rPr>
      <w:rFonts w:ascii="Arial" w:eastAsia="Times New Roman" w:hAnsi="Arial" w:cs="Arial"/>
      <w:i/>
      <w:sz w:val="20"/>
      <w:szCs w:val="20"/>
      <w:lang w:eastAsia="fr-FR"/>
    </w:rPr>
  </w:style>
  <w:style w:type="paragraph" w:customStyle="1" w:styleId="auteurs">
    <w:name w:val="auteurs"/>
    <w:basedOn w:val="Normal"/>
    <w:autoRedefine/>
    <w:rsid w:val="00B84B6D"/>
    <w:rPr>
      <w:rFonts w:ascii="Arial" w:hAnsi="Arial"/>
      <w:iCs/>
      <w:sz w:val="24"/>
    </w:rPr>
  </w:style>
  <w:style w:type="paragraph" w:customStyle="1" w:styleId="titredeniveau3">
    <w:name w:val="titre de niveau 3"/>
    <w:basedOn w:val="Normal"/>
    <w:rsid w:val="00B84B6D"/>
    <w:pPr>
      <w:spacing w:before="240" w:after="120"/>
      <w:outlineLvl w:val="2"/>
    </w:pPr>
    <w:rPr>
      <w:rFonts w:ascii="Arial" w:hAnsi="Arial"/>
      <w:sz w:val="24"/>
    </w:rPr>
  </w:style>
  <w:style w:type="paragraph" w:customStyle="1" w:styleId="titredefigure">
    <w:name w:val="titre de figure"/>
    <w:basedOn w:val="auteurs"/>
    <w:rsid w:val="00B84B6D"/>
    <w:pPr>
      <w:spacing w:before="240" w:after="240"/>
      <w:jc w:val="center"/>
    </w:pPr>
    <w:rPr>
      <w:sz w:val="22"/>
    </w:rPr>
  </w:style>
  <w:style w:type="paragraph" w:customStyle="1" w:styleId="textedursum">
    <w:name w:val="texte du résumé"/>
    <w:basedOn w:val="Normal"/>
    <w:rsid w:val="00B84B6D"/>
    <w:pPr>
      <w:jc w:val="both"/>
    </w:pPr>
    <w:rPr>
      <w:rFonts w:ascii="Arial" w:hAnsi="Arial"/>
      <w:sz w:val="24"/>
    </w:rPr>
  </w:style>
  <w:style w:type="paragraph" w:customStyle="1" w:styleId="Formule">
    <w:name w:val="Formule"/>
    <w:basedOn w:val="Normal"/>
    <w:rsid w:val="00B84B6D"/>
    <w:pPr>
      <w:tabs>
        <w:tab w:val="left" w:pos="284"/>
      </w:tabs>
      <w:jc w:val="center"/>
    </w:pPr>
    <w:rPr>
      <w:rFonts w:ascii="Arial" w:hAnsi="Arial"/>
      <w:sz w:val="22"/>
    </w:rPr>
  </w:style>
  <w:style w:type="paragraph" w:customStyle="1" w:styleId="Corpsdetexte12">
    <w:name w:val="Corps de texte 12"/>
    <w:basedOn w:val="Normal"/>
    <w:next w:val="Corpsdetexte12retrait5mm"/>
    <w:link w:val="Corpsdetexte12Car"/>
    <w:rsid w:val="00531856"/>
    <w:pPr>
      <w:jc w:val="both"/>
    </w:pPr>
    <w:rPr>
      <w:rFonts w:ascii="Arial" w:hAnsi="Arial"/>
      <w:iCs/>
      <w:sz w:val="24"/>
      <w:lang w:eastAsia="x-none"/>
    </w:rPr>
  </w:style>
  <w:style w:type="paragraph" w:customStyle="1" w:styleId="textofenglishabstract">
    <w:name w:val="text of english abstract"/>
    <w:basedOn w:val="Normal"/>
    <w:rsid w:val="00B84B6D"/>
    <w:pPr>
      <w:jc w:val="both"/>
    </w:pPr>
    <w:rPr>
      <w:rFonts w:ascii="Arial" w:hAnsi="Arial"/>
      <w:sz w:val="22"/>
      <w:lang w:val="en-GB"/>
    </w:rPr>
  </w:style>
  <w:style w:type="paragraph" w:styleId="Titre">
    <w:name w:val="Title"/>
    <w:basedOn w:val="Normal"/>
    <w:link w:val="TitreCar"/>
    <w:qFormat/>
    <w:rsid w:val="00B84B6D"/>
    <w:pPr>
      <w:spacing w:before="240" w:after="60"/>
      <w:outlineLvl w:val="0"/>
    </w:pPr>
    <w:rPr>
      <w:rFonts w:ascii="Arial" w:hAnsi="Arial" w:cs="Arial"/>
      <w:b/>
      <w:bCs/>
      <w:kern w:val="28"/>
      <w:sz w:val="30"/>
      <w:szCs w:val="30"/>
    </w:rPr>
  </w:style>
  <w:style w:type="character" w:customStyle="1" w:styleId="TitreCar">
    <w:name w:val="Titre Car"/>
    <w:basedOn w:val="Policepardfaut"/>
    <w:link w:val="Titre"/>
    <w:rsid w:val="00B84B6D"/>
    <w:rPr>
      <w:rFonts w:ascii="Arial" w:eastAsia="Times New Roman" w:hAnsi="Arial" w:cs="Arial"/>
      <w:b/>
      <w:bCs/>
      <w:kern w:val="28"/>
      <w:sz w:val="30"/>
      <w:szCs w:val="30"/>
      <w:lang w:eastAsia="fr-FR"/>
    </w:rPr>
  </w:style>
  <w:style w:type="paragraph" w:customStyle="1" w:styleId="affiliationdesauteurs">
    <w:name w:val="affiliation des auteurs"/>
    <w:basedOn w:val="auteurs"/>
    <w:next w:val="textedursum"/>
    <w:rsid w:val="00B84B6D"/>
    <w:rPr>
      <w:i/>
    </w:rPr>
  </w:style>
  <w:style w:type="character" w:styleId="Numrodepage">
    <w:name w:val="page number"/>
    <w:basedOn w:val="Policepardfaut"/>
    <w:rsid w:val="00B84B6D"/>
  </w:style>
  <w:style w:type="paragraph" w:customStyle="1" w:styleId="Rfrencesbibliographiques12">
    <w:name w:val="Références bibliographiques 12"/>
    <w:basedOn w:val="Normal"/>
    <w:link w:val="Rfrencesbibliographiques12Car"/>
    <w:rsid w:val="00B84B6D"/>
    <w:pPr>
      <w:jc w:val="both"/>
    </w:pPr>
    <w:rPr>
      <w:rFonts w:ascii="Arial" w:hAnsi="Arial"/>
      <w:sz w:val="24"/>
    </w:rPr>
  </w:style>
  <w:style w:type="character" w:customStyle="1" w:styleId="Rfrencesbibliographiques12Car">
    <w:name w:val="Références bibliographiques 12 Car"/>
    <w:link w:val="Rfrencesbibliographiques12"/>
    <w:rsid w:val="00B84B6D"/>
    <w:rPr>
      <w:rFonts w:ascii="Arial" w:eastAsia="Times New Roman" w:hAnsi="Arial" w:cs="Times New Roman"/>
      <w:sz w:val="24"/>
      <w:szCs w:val="20"/>
      <w:lang w:eastAsia="fr-FR"/>
    </w:rPr>
  </w:style>
  <w:style w:type="paragraph" w:customStyle="1" w:styleId="Corpsdetexte12retrait5mm">
    <w:name w:val="Corps de texte 12 + retrait 5mm"/>
    <w:basedOn w:val="Corpsdetexte12"/>
    <w:link w:val="Corpsdetexte12retrait5mmCar"/>
    <w:rsid w:val="0004371B"/>
    <w:pPr>
      <w:ind w:firstLine="284"/>
    </w:pPr>
    <w:rPr>
      <w:iCs w:val="0"/>
    </w:rPr>
  </w:style>
  <w:style w:type="character" w:customStyle="1" w:styleId="Corpsdetexte12Car">
    <w:name w:val="Corps de texte 12 Car"/>
    <w:link w:val="Corpsdetexte12"/>
    <w:rsid w:val="00531856"/>
    <w:rPr>
      <w:rFonts w:ascii="Arial" w:eastAsia="Times New Roman" w:hAnsi="Arial" w:cs="Times New Roman"/>
      <w:iCs/>
      <w:sz w:val="24"/>
      <w:szCs w:val="20"/>
      <w:lang w:eastAsia="x-none"/>
    </w:rPr>
  </w:style>
  <w:style w:type="character" w:customStyle="1" w:styleId="Corpsdetexte12retrait5mmCar">
    <w:name w:val="Corps de texte 12 + retrait 5mm Car"/>
    <w:link w:val="Corpsdetexte12retrait5mm"/>
    <w:rsid w:val="0004371B"/>
    <w:rPr>
      <w:rFonts w:ascii="Arial" w:eastAsia="Times New Roman" w:hAnsi="Arial" w:cs="Times New Roman"/>
      <w:sz w:val="24"/>
      <w:szCs w:val="20"/>
      <w:lang w:eastAsia="x-none"/>
    </w:rPr>
  </w:style>
  <w:style w:type="paragraph" w:customStyle="1" w:styleId="Style12ptPremireligne05cm">
    <w:name w:val="Style 12 pt Première ligne : 05 cm"/>
    <w:basedOn w:val="Normal"/>
    <w:rsid w:val="00B84B6D"/>
    <w:pPr>
      <w:ind w:firstLine="284"/>
    </w:pPr>
    <w:rPr>
      <w:rFonts w:ascii="Arial" w:hAnsi="Arial"/>
      <w:sz w:val="24"/>
    </w:rPr>
  </w:style>
  <w:style w:type="paragraph" w:styleId="Sous-titre">
    <w:name w:val="Subtitle"/>
    <w:basedOn w:val="Normal"/>
    <w:next w:val="Normal"/>
    <w:link w:val="Sous-titreCar"/>
    <w:qFormat/>
    <w:rsid w:val="00B84B6D"/>
    <w:pPr>
      <w:spacing w:after="60"/>
      <w:jc w:val="center"/>
      <w:outlineLvl w:val="1"/>
    </w:pPr>
    <w:rPr>
      <w:rFonts w:ascii="Cambria" w:hAnsi="Cambria"/>
      <w:sz w:val="24"/>
      <w:szCs w:val="24"/>
      <w:lang w:val="x-none" w:eastAsia="x-none"/>
    </w:rPr>
  </w:style>
  <w:style w:type="character" w:customStyle="1" w:styleId="Sous-titreCar">
    <w:name w:val="Sous-titre Car"/>
    <w:basedOn w:val="Policepardfaut"/>
    <w:link w:val="Sous-titre"/>
    <w:rsid w:val="00B84B6D"/>
    <w:rPr>
      <w:rFonts w:ascii="Cambria" w:eastAsia="Times New Roman" w:hAnsi="Cambria" w:cs="Times New Roman"/>
      <w:sz w:val="24"/>
      <w:szCs w:val="24"/>
      <w:lang w:val="x-none" w:eastAsia="x-none"/>
    </w:rPr>
  </w:style>
  <w:style w:type="paragraph" w:styleId="Listenumros2">
    <w:name w:val="List Number 2"/>
    <w:basedOn w:val="Normal"/>
    <w:uiPriority w:val="99"/>
    <w:semiHidden/>
    <w:unhideWhenUsed/>
    <w:rsid w:val="00B84B6D"/>
    <w:pPr>
      <w:ind w:left="720" w:hanging="360"/>
      <w:contextualSpacing/>
    </w:pPr>
  </w:style>
  <w:style w:type="paragraph" w:styleId="Pieddepage">
    <w:name w:val="footer"/>
    <w:basedOn w:val="Normal"/>
    <w:link w:val="PieddepageCar"/>
    <w:uiPriority w:val="99"/>
    <w:unhideWhenUsed/>
    <w:rsid w:val="0013118E"/>
    <w:pPr>
      <w:tabs>
        <w:tab w:val="center" w:pos="4536"/>
        <w:tab w:val="right" w:pos="9072"/>
      </w:tabs>
    </w:pPr>
  </w:style>
  <w:style w:type="character" w:customStyle="1" w:styleId="PieddepageCar">
    <w:name w:val="Pied de page Car"/>
    <w:basedOn w:val="Policepardfaut"/>
    <w:link w:val="Pieddepage"/>
    <w:uiPriority w:val="99"/>
    <w:rsid w:val="0013118E"/>
    <w:rPr>
      <w:rFonts w:ascii="Avant Garde" w:eastAsia="Times New Roman" w:hAnsi="Avant Garde" w:cs="Times New Roman"/>
      <w:sz w:val="20"/>
      <w:szCs w:val="20"/>
      <w:lang w:eastAsia="fr-FR"/>
    </w:rPr>
  </w:style>
  <w:style w:type="paragraph" w:styleId="Lgende">
    <w:name w:val="caption"/>
    <w:basedOn w:val="Normal"/>
    <w:next w:val="Normal"/>
    <w:link w:val="LgendeCar"/>
    <w:unhideWhenUsed/>
    <w:qFormat/>
    <w:rsid w:val="0004371B"/>
    <w:pPr>
      <w:spacing w:after="200"/>
    </w:pPr>
    <w:rPr>
      <w:i/>
      <w:iCs/>
      <w:color w:val="44546A" w:themeColor="text2"/>
      <w:sz w:val="18"/>
      <w:szCs w:val="18"/>
    </w:rPr>
  </w:style>
  <w:style w:type="table" w:styleId="Grilledutableau">
    <w:name w:val="Table Grid"/>
    <w:basedOn w:val="TableauNormal"/>
    <w:uiPriority w:val="39"/>
    <w:rsid w:val="0004371B"/>
    <w:pPr>
      <w:spacing w:after="0" w:line="240" w:lineRule="auto"/>
    </w:pPr>
    <w:rPr>
      <w:rFonts w:ascii="Tms Rmn" w:eastAsia="Times New Roman" w:hAnsi="Tms Rmn" w:cs="Times New Roman"/>
      <w:sz w:val="20"/>
      <w:szCs w:val="20"/>
      <w:lang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D75D12"/>
    <w:rPr>
      <w:color w:val="808080"/>
    </w:rPr>
  </w:style>
  <w:style w:type="character" w:styleId="Marquedecommentaire">
    <w:name w:val="annotation reference"/>
    <w:basedOn w:val="Policepardfaut"/>
    <w:uiPriority w:val="99"/>
    <w:semiHidden/>
    <w:unhideWhenUsed/>
    <w:rsid w:val="002F2741"/>
    <w:rPr>
      <w:sz w:val="16"/>
      <w:szCs w:val="16"/>
    </w:rPr>
  </w:style>
  <w:style w:type="paragraph" w:styleId="Commentaire">
    <w:name w:val="annotation text"/>
    <w:basedOn w:val="Normal"/>
    <w:link w:val="CommentaireCar"/>
    <w:uiPriority w:val="99"/>
    <w:unhideWhenUsed/>
    <w:rsid w:val="002F2741"/>
  </w:style>
  <w:style w:type="character" w:customStyle="1" w:styleId="CommentaireCar">
    <w:name w:val="Commentaire Car"/>
    <w:basedOn w:val="Policepardfaut"/>
    <w:link w:val="Commentaire"/>
    <w:uiPriority w:val="99"/>
    <w:rsid w:val="002F2741"/>
    <w:rPr>
      <w:rFonts w:ascii="Avant Garde" w:eastAsia="Times New Roman" w:hAnsi="Avant Garde"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F2741"/>
    <w:rPr>
      <w:b/>
      <w:bCs/>
    </w:rPr>
  </w:style>
  <w:style w:type="character" w:customStyle="1" w:styleId="ObjetducommentaireCar">
    <w:name w:val="Objet du commentaire Car"/>
    <w:basedOn w:val="CommentaireCar"/>
    <w:link w:val="Objetducommentaire"/>
    <w:uiPriority w:val="99"/>
    <w:semiHidden/>
    <w:rsid w:val="002F2741"/>
    <w:rPr>
      <w:rFonts w:ascii="Avant Garde" w:eastAsia="Times New Roman" w:hAnsi="Avant Garde" w:cs="Times New Roman"/>
      <w:b/>
      <w:bCs/>
      <w:sz w:val="20"/>
      <w:szCs w:val="20"/>
      <w:lang w:eastAsia="fr-FR"/>
    </w:rPr>
  </w:style>
  <w:style w:type="paragraph" w:styleId="Rvision">
    <w:name w:val="Revision"/>
    <w:hidden/>
    <w:uiPriority w:val="99"/>
    <w:semiHidden/>
    <w:rsid w:val="00786586"/>
    <w:pPr>
      <w:spacing w:after="0" w:line="240" w:lineRule="auto"/>
    </w:pPr>
    <w:rPr>
      <w:rFonts w:ascii="Avant Garde" w:eastAsia="Times New Roman" w:hAnsi="Avant Garde" w:cs="Times New Roman"/>
      <w:sz w:val="20"/>
      <w:szCs w:val="20"/>
      <w:lang w:eastAsia="fr-FR"/>
    </w:rPr>
  </w:style>
  <w:style w:type="paragraph" w:styleId="Paragraphedeliste">
    <w:name w:val="List Paragraph"/>
    <w:basedOn w:val="Normal"/>
    <w:uiPriority w:val="34"/>
    <w:qFormat/>
    <w:rsid w:val="00366E7A"/>
    <w:pPr>
      <w:widowControl w:val="0"/>
      <w:wordWrap w:val="0"/>
      <w:autoSpaceDE w:val="0"/>
      <w:autoSpaceDN w:val="0"/>
      <w:ind w:left="720"/>
      <w:contextualSpacing/>
      <w:jc w:val="both"/>
    </w:pPr>
    <w:rPr>
      <w:rFonts w:ascii="Times New Roman" w:eastAsia="Malgun Gothic" w:hAnsi="Times New Roman"/>
      <w:kern w:val="2"/>
      <w:sz w:val="18"/>
      <w:szCs w:val="22"/>
      <w:lang w:val="en-US" w:eastAsia="ko-KR"/>
    </w:rPr>
  </w:style>
  <w:style w:type="paragraph" w:customStyle="1" w:styleId="Legendefigure">
    <w:name w:val="Legende figure"/>
    <w:basedOn w:val="Normal"/>
    <w:next w:val="Normal"/>
    <w:qFormat/>
    <w:rsid w:val="00006106"/>
    <w:pPr>
      <w:widowControl w:val="0"/>
      <w:numPr>
        <w:numId w:val="4"/>
      </w:numPr>
      <w:tabs>
        <w:tab w:val="clear" w:pos="1440"/>
        <w:tab w:val="left" w:pos="851"/>
      </w:tabs>
      <w:spacing w:before="120" w:after="240"/>
      <w:jc w:val="center"/>
    </w:pPr>
    <w:rPr>
      <w:rFonts w:ascii="Times New Roman" w:hAnsi="Times New Roman"/>
      <w:i/>
    </w:rPr>
  </w:style>
  <w:style w:type="paragraph" w:customStyle="1" w:styleId="TexteCourant">
    <w:name w:val="Texte Courant"/>
    <w:link w:val="TexteCourantCar"/>
    <w:uiPriority w:val="99"/>
    <w:qFormat/>
    <w:rsid w:val="00006106"/>
    <w:pPr>
      <w:autoSpaceDE w:val="0"/>
      <w:autoSpaceDN w:val="0"/>
      <w:adjustRightInd w:val="0"/>
      <w:spacing w:before="120" w:after="0" w:line="240" w:lineRule="auto"/>
      <w:ind w:firstLine="284"/>
      <w:jc w:val="both"/>
    </w:pPr>
    <w:rPr>
      <w:rFonts w:ascii="Times New Roman" w:eastAsia="Times New Roman" w:hAnsi="Times New Roman" w:cs="Univers"/>
      <w:color w:val="000000"/>
      <w:w w:val="0"/>
      <w:sz w:val="20"/>
      <w:szCs w:val="16"/>
      <w:lang w:eastAsia="fr-FR"/>
    </w:rPr>
  </w:style>
  <w:style w:type="character" w:customStyle="1" w:styleId="GrasExtra">
    <w:name w:val="Gras Extra"/>
    <w:uiPriority w:val="99"/>
    <w:rsid w:val="00006106"/>
    <w:rPr>
      <w:color w:val="000000"/>
    </w:rPr>
  </w:style>
  <w:style w:type="paragraph" w:customStyle="1" w:styleId="image">
    <w:name w:val="image"/>
    <w:basedOn w:val="TexteCourant"/>
    <w:qFormat/>
    <w:rsid w:val="00006106"/>
    <w:pPr>
      <w:spacing w:before="240" w:after="120"/>
      <w:ind w:firstLine="0"/>
      <w:jc w:val="center"/>
    </w:pPr>
    <w:rPr>
      <w:noProof/>
    </w:rPr>
  </w:style>
  <w:style w:type="paragraph" w:customStyle="1" w:styleId="quation">
    <w:name w:val="équation"/>
    <w:basedOn w:val="TexteCourant"/>
    <w:qFormat/>
    <w:rsid w:val="00006106"/>
    <w:pPr>
      <w:ind w:firstLine="0"/>
      <w:jc w:val="center"/>
    </w:pPr>
    <w:rPr>
      <w:rFonts w:cs="Arial"/>
      <w:w w:val="100"/>
      <w:szCs w:val="24"/>
    </w:rPr>
  </w:style>
  <w:style w:type="character" w:customStyle="1" w:styleId="TexteCourantCar">
    <w:name w:val="Texte Courant Car"/>
    <w:basedOn w:val="Policepardfaut"/>
    <w:link w:val="TexteCourant"/>
    <w:uiPriority w:val="99"/>
    <w:rsid w:val="00006106"/>
    <w:rPr>
      <w:rFonts w:ascii="Times New Roman" w:eastAsia="Times New Roman" w:hAnsi="Times New Roman" w:cs="Univers"/>
      <w:color w:val="000000"/>
      <w:w w:val="0"/>
      <w:sz w:val="20"/>
      <w:szCs w:val="16"/>
      <w:lang w:eastAsia="fr-FR"/>
    </w:rPr>
  </w:style>
  <w:style w:type="paragraph" w:customStyle="1" w:styleId="FCUTexte">
    <w:name w:val="FCU Texte"/>
    <w:basedOn w:val="Normal"/>
    <w:link w:val="FCUTexteCar"/>
    <w:qFormat/>
    <w:rsid w:val="007361AC"/>
    <w:pPr>
      <w:spacing w:after="160" w:line="259" w:lineRule="auto"/>
      <w:jc w:val="both"/>
    </w:pPr>
    <w:rPr>
      <w:rFonts w:ascii="Cambria Math" w:eastAsiaTheme="minorHAnsi" w:hAnsi="Cambria Math" w:cstheme="minorBidi"/>
      <w:sz w:val="22"/>
      <w:szCs w:val="22"/>
      <w:lang w:eastAsia="en-US"/>
    </w:rPr>
  </w:style>
  <w:style w:type="character" w:customStyle="1" w:styleId="FCUTexteCar">
    <w:name w:val="FCU Texte Car"/>
    <w:basedOn w:val="Policepardfaut"/>
    <w:link w:val="FCUTexte"/>
    <w:rsid w:val="007361AC"/>
    <w:rPr>
      <w:rFonts w:ascii="Cambria Math" w:hAnsi="Cambria Math"/>
    </w:rPr>
  </w:style>
  <w:style w:type="paragraph" w:customStyle="1" w:styleId="Textecriture">
    <w:name w:val="Texte écriture"/>
    <w:basedOn w:val="Corpsdetexte12retrait5mm"/>
    <w:link w:val="TextecritureCar"/>
    <w:qFormat/>
    <w:rsid w:val="0013662E"/>
    <w:pPr>
      <w:ind w:firstLine="0"/>
    </w:pPr>
    <w:rPr>
      <w:iCs/>
    </w:rPr>
  </w:style>
  <w:style w:type="character" w:customStyle="1" w:styleId="TextecritureCar">
    <w:name w:val="Texte écriture Car"/>
    <w:basedOn w:val="Corpsdetexte12retrait5mmCar"/>
    <w:link w:val="Textecriture"/>
    <w:rsid w:val="0013662E"/>
    <w:rPr>
      <w:rFonts w:ascii="Arial" w:eastAsia="Times New Roman" w:hAnsi="Arial" w:cs="Times New Roman"/>
      <w:iCs/>
      <w:sz w:val="24"/>
      <w:szCs w:val="20"/>
      <w:lang w:eastAsia="x-none"/>
    </w:rPr>
  </w:style>
  <w:style w:type="character" w:customStyle="1" w:styleId="LgendeCar">
    <w:name w:val="Légende Car"/>
    <w:link w:val="Lgende"/>
    <w:rsid w:val="0013662E"/>
    <w:rPr>
      <w:rFonts w:ascii="Avant Garde" w:eastAsia="Times New Roman" w:hAnsi="Avant Garde" w:cs="Times New Roman"/>
      <w:i/>
      <w:iCs/>
      <w:color w:val="44546A" w:themeColor="text2"/>
      <w:sz w:val="18"/>
      <w:szCs w:val="18"/>
      <w:lang w:eastAsia="fr-FR"/>
    </w:rPr>
  </w:style>
  <w:style w:type="paragraph" w:styleId="Textedebulles">
    <w:name w:val="Balloon Text"/>
    <w:basedOn w:val="Normal"/>
    <w:link w:val="TextedebullesCar"/>
    <w:uiPriority w:val="99"/>
    <w:semiHidden/>
    <w:unhideWhenUsed/>
    <w:rsid w:val="0040536D"/>
    <w:rPr>
      <w:rFonts w:ascii="Segoe UI" w:hAnsi="Segoe UI" w:cs="Segoe UI"/>
      <w:sz w:val="18"/>
      <w:szCs w:val="18"/>
    </w:rPr>
  </w:style>
  <w:style w:type="character" w:customStyle="1" w:styleId="TextedebullesCar">
    <w:name w:val="Texte de bulles Car"/>
    <w:basedOn w:val="Policepardfaut"/>
    <w:link w:val="Textedebulles"/>
    <w:uiPriority w:val="99"/>
    <w:semiHidden/>
    <w:rsid w:val="0040536D"/>
    <w:rPr>
      <w:rFonts w:ascii="Segoe UI" w:eastAsia="Times New Roman"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611000">
      <w:bodyDiv w:val="1"/>
      <w:marLeft w:val="0"/>
      <w:marRight w:val="0"/>
      <w:marTop w:val="0"/>
      <w:marBottom w:val="0"/>
      <w:divBdr>
        <w:top w:val="none" w:sz="0" w:space="0" w:color="auto"/>
        <w:left w:val="none" w:sz="0" w:space="0" w:color="auto"/>
        <w:bottom w:val="none" w:sz="0" w:space="0" w:color="auto"/>
        <w:right w:val="none" w:sz="0" w:space="0" w:color="auto"/>
      </w:divBdr>
    </w:div>
    <w:div w:id="926040905">
      <w:bodyDiv w:val="1"/>
      <w:marLeft w:val="0"/>
      <w:marRight w:val="0"/>
      <w:marTop w:val="0"/>
      <w:marBottom w:val="0"/>
      <w:divBdr>
        <w:top w:val="none" w:sz="0" w:space="0" w:color="auto"/>
        <w:left w:val="none" w:sz="0" w:space="0" w:color="auto"/>
        <w:bottom w:val="none" w:sz="0" w:space="0" w:color="auto"/>
        <w:right w:val="none" w:sz="0" w:space="0" w:color="auto"/>
      </w:divBdr>
    </w:div>
    <w:div w:id="933510427">
      <w:bodyDiv w:val="1"/>
      <w:marLeft w:val="0"/>
      <w:marRight w:val="0"/>
      <w:marTop w:val="0"/>
      <w:marBottom w:val="0"/>
      <w:divBdr>
        <w:top w:val="none" w:sz="0" w:space="0" w:color="auto"/>
        <w:left w:val="none" w:sz="0" w:space="0" w:color="auto"/>
        <w:bottom w:val="none" w:sz="0" w:space="0" w:color="auto"/>
        <w:right w:val="none" w:sz="0" w:space="0" w:color="auto"/>
      </w:divBdr>
    </w:div>
    <w:div w:id="1063673350">
      <w:bodyDiv w:val="1"/>
      <w:marLeft w:val="0"/>
      <w:marRight w:val="0"/>
      <w:marTop w:val="0"/>
      <w:marBottom w:val="0"/>
      <w:divBdr>
        <w:top w:val="none" w:sz="0" w:space="0" w:color="auto"/>
        <w:left w:val="none" w:sz="0" w:space="0" w:color="auto"/>
        <w:bottom w:val="none" w:sz="0" w:space="0" w:color="auto"/>
        <w:right w:val="none" w:sz="0" w:space="0" w:color="auto"/>
      </w:divBdr>
    </w:div>
    <w:div w:id="1069421222">
      <w:bodyDiv w:val="1"/>
      <w:marLeft w:val="0"/>
      <w:marRight w:val="0"/>
      <w:marTop w:val="0"/>
      <w:marBottom w:val="0"/>
      <w:divBdr>
        <w:top w:val="none" w:sz="0" w:space="0" w:color="auto"/>
        <w:left w:val="none" w:sz="0" w:space="0" w:color="auto"/>
        <w:bottom w:val="none" w:sz="0" w:space="0" w:color="auto"/>
        <w:right w:val="none" w:sz="0" w:space="0" w:color="auto"/>
      </w:divBdr>
    </w:div>
    <w:div w:id="1144277186">
      <w:bodyDiv w:val="1"/>
      <w:marLeft w:val="0"/>
      <w:marRight w:val="0"/>
      <w:marTop w:val="0"/>
      <w:marBottom w:val="0"/>
      <w:divBdr>
        <w:top w:val="none" w:sz="0" w:space="0" w:color="auto"/>
        <w:left w:val="none" w:sz="0" w:space="0" w:color="auto"/>
        <w:bottom w:val="none" w:sz="0" w:space="0" w:color="auto"/>
        <w:right w:val="none" w:sz="0" w:space="0" w:color="auto"/>
      </w:divBdr>
    </w:div>
    <w:div w:id="1230577842">
      <w:bodyDiv w:val="1"/>
      <w:marLeft w:val="0"/>
      <w:marRight w:val="0"/>
      <w:marTop w:val="0"/>
      <w:marBottom w:val="0"/>
      <w:divBdr>
        <w:top w:val="none" w:sz="0" w:space="0" w:color="auto"/>
        <w:left w:val="none" w:sz="0" w:space="0" w:color="auto"/>
        <w:bottom w:val="none" w:sz="0" w:space="0" w:color="auto"/>
        <w:right w:val="none" w:sz="0" w:space="0" w:color="auto"/>
      </w:divBdr>
    </w:div>
    <w:div w:id="1283533768">
      <w:bodyDiv w:val="1"/>
      <w:marLeft w:val="0"/>
      <w:marRight w:val="0"/>
      <w:marTop w:val="0"/>
      <w:marBottom w:val="0"/>
      <w:divBdr>
        <w:top w:val="none" w:sz="0" w:space="0" w:color="auto"/>
        <w:left w:val="none" w:sz="0" w:space="0" w:color="auto"/>
        <w:bottom w:val="none" w:sz="0" w:space="0" w:color="auto"/>
        <w:right w:val="none" w:sz="0" w:space="0" w:color="auto"/>
      </w:divBdr>
    </w:div>
    <w:div w:id="1342590760">
      <w:bodyDiv w:val="1"/>
      <w:marLeft w:val="0"/>
      <w:marRight w:val="0"/>
      <w:marTop w:val="0"/>
      <w:marBottom w:val="0"/>
      <w:divBdr>
        <w:top w:val="none" w:sz="0" w:space="0" w:color="auto"/>
        <w:left w:val="none" w:sz="0" w:space="0" w:color="auto"/>
        <w:bottom w:val="none" w:sz="0" w:space="0" w:color="auto"/>
        <w:right w:val="none" w:sz="0" w:space="0" w:color="auto"/>
      </w:divBdr>
    </w:div>
    <w:div w:id="1374889469">
      <w:bodyDiv w:val="1"/>
      <w:marLeft w:val="0"/>
      <w:marRight w:val="0"/>
      <w:marTop w:val="0"/>
      <w:marBottom w:val="0"/>
      <w:divBdr>
        <w:top w:val="none" w:sz="0" w:space="0" w:color="auto"/>
        <w:left w:val="none" w:sz="0" w:space="0" w:color="auto"/>
        <w:bottom w:val="none" w:sz="0" w:space="0" w:color="auto"/>
        <w:right w:val="none" w:sz="0" w:space="0" w:color="auto"/>
      </w:divBdr>
    </w:div>
    <w:div w:id="1595893133">
      <w:bodyDiv w:val="1"/>
      <w:marLeft w:val="0"/>
      <w:marRight w:val="0"/>
      <w:marTop w:val="0"/>
      <w:marBottom w:val="0"/>
      <w:divBdr>
        <w:top w:val="none" w:sz="0" w:space="0" w:color="auto"/>
        <w:left w:val="none" w:sz="0" w:space="0" w:color="auto"/>
        <w:bottom w:val="none" w:sz="0" w:space="0" w:color="auto"/>
        <w:right w:val="none" w:sz="0" w:space="0" w:color="auto"/>
      </w:divBdr>
    </w:div>
    <w:div w:id="1760826847">
      <w:bodyDiv w:val="1"/>
      <w:marLeft w:val="0"/>
      <w:marRight w:val="0"/>
      <w:marTop w:val="0"/>
      <w:marBottom w:val="0"/>
      <w:divBdr>
        <w:top w:val="none" w:sz="0" w:space="0" w:color="auto"/>
        <w:left w:val="none" w:sz="0" w:space="0" w:color="auto"/>
        <w:bottom w:val="none" w:sz="0" w:space="0" w:color="auto"/>
        <w:right w:val="none" w:sz="0" w:space="0" w:color="auto"/>
      </w:divBdr>
    </w:div>
    <w:div w:id="1766344297">
      <w:bodyDiv w:val="1"/>
      <w:marLeft w:val="0"/>
      <w:marRight w:val="0"/>
      <w:marTop w:val="0"/>
      <w:marBottom w:val="0"/>
      <w:divBdr>
        <w:top w:val="none" w:sz="0" w:space="0" w:color="auto"/>
        <w:left w:val="none" w:sz="0" w:space="0" w:color="auto"/>
        <w:bottom w:val="none" w:sz="0" w:space="0" w:color="auto"/>
        <w:right w:val="none" w:sz="0" w:space="0" w:color="auto"/>
      </w:divBdr>
    </w:div>
    <w:div w:id="1935359035">
      <w:bodyDiv w:val="1"/>
      <w:marLeft w:val="0"/>
      <w:marRight w:val="0"/>
      <w:marTop w:val="0"/>
      <w:marBottom w:val="0"/>
      <w:divBdr>
        <w:top w:val="none" w:sz="0" w:space="0" w:color="auto"/>
        <w:left w:val="none" w:sz="0" w:space="0" w:color="auto"/>
        <w:bottom w:val="none" w:sz="0" w:space="0" w:color="auto"/>
        <w:right w:val="none" w:sz="0" w:space="0" w:color="auto"/>
      </w:divBdr>
    </w:div>
    <w:div w:id="1969244095">
      <w:bodyDiv w:val="1"/>
      <w:marLeft w:val="0"/>
      <w:marRight w:val="0"/>
      <w:marTop w:val="0"/>
      <w:marBottom w:val="0"/>
      <w:divBdr>
        <w:top w:val="none" w:sz="0" w:space="0" w:color="auto"/>
        <w:left w:val="none" w:sz="0" w:space="0" w:color="auto"/>
        <w:bottom w:val="none" w:sz="0" w:space="0" w:color="auto"/>
        <w:right w:val="none" w:sz="0" w:space="0" w:color="auto"/>
      </w:divBdr>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9375619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865B3-4554-4BFA-A721-BD07783AF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9</Pages>
  <Words>3552</Words>
  <Characters>19542</Characters>
  <Application>Microsoft Office Word</Application>
  <DocSecurity>0</DocSecurity>
  <Lines>162</Lines>
  <Paragraphs>46</Paragraphs>
  <ScaleCrop>false</ScaleCrop>
  <HeadingPairs>
    <vt:vector size="2" baseType="variant">
      <vt:variant>
        <vt:lpstr>Titre</vt:lpstr>
      </vt:variant>
      <vt:variant>
        <vt:i4>1</vt:i4>
      </vt:variant>
    </vt:vector>
  </HeadingPairs>
  <TitlesOfParts>
    <vt:vector size="1" baseType="lpstr">
      <vt:lpstr/>
    </vt:vector>
  </TitlesOfParts>
  <Company>INSA Lyon</Company>
  <LinksUpToDate>false</LinksUpToDate>
  <CharactersWithSpaces>23048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Briancon</dc:creator>
  <cp:keywords/>
  <dc:description/>
  <cp:lastModifiedBy>RICHA Tatiana</cp:lastModifiedBy>
  <cp:revision>10</cp:revision>
  <cp:lastPrinted>2022-02-19T12:04:00Z</cp:lastPrinted>
  <dcterms:created xsi:type="dcterms:W3CDTF">2022-05-03T14:11:00Z</dcterms:created>
  <dcterms:modified xsi:type="dcterms:W3CDTF">2022-05-03T15:08:00Z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9f0c854c-8a17-366b-98ea-dce875cfea5f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