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5AB0" w:rsidRPr="00016AF4" w:rsidRDefault="00D35AB0" w:rsidP="00D35AB0">
      <w:pPr>
        <w:pStyle w:val="Sous-titre"/>
        <w:spacing w:after="240"/>
        <w:jc w:val="left"/>
        <w:rPr>
          <w:rFonts w:ascii="Arial" w:hAnsi="Arial" w:cs="Arial"/>
          <w:b/>
          <w:bCs/>
          <w:kern w:val="28"/>
          <w:sz w:val="30"/>
          <w:szCs w:val="30"/>
          <w:lang w:val="fr-FR" w:eastAsia="fr-FR"/>
        </w:rPr>
      </w:pPr>
      <w:r w:rsidRPr="00016AF4">
        <w:rPr>
          <w:rFonts w:ascii="Arial" w:hAnsi="Arial" w:cs="Arial"/>
          <w:b/>
          <w:bCs/>
          <w:kern w:val="28"/>
          <w:sz w:val="30"/>
          <w:szCs w:val="30"/>
          <w:lang w:val="fr-FR" w:eastAsia="fr-FR"/>
        </w:rPr>
        <w:t>GRAND PARIS EXPRESS LIGNE 16 – TRAITEMENTS DE TERRAIN POUR LA MAITRISE DE L’EAU</w:t>
      </w:r>
    </w:p>
    <w:p w:rsidR="00D35AB0" w:rsidRPr="00016AF4" w:rsidRDefault="00D35AB0" w:rsidP="00D35AB0">
      <w:pPr>
        <w:pStyle w:val="Sous-titre"/>
        <w:spacing w:after="240"/>
        <w:jc w:val="left"/>
        <w:rPr>
          <w:rFonts w:ascii="Arial" w:hAnsi="Arial" w:cs="Arial"/>
          <w:b/>
          <w:i/>
          <w:sz w:val="26"/>
          <w:szCs w:val="26"/>
          <w:lang w:val="en-US"/>
        </w:rPr>
      </w:pPr>
      <w:r w:rsidRPr="00016AF4">
        <w:rPr>
          <w:rFonts w:ascii="Arial" w:hAnsi="Arial" w:cs="Arial"/>
          <w:b/>
          <w:i/>
          <w:sz w:val="26"/>
          <w:szCs w:val="26"/>
          <w:lang w:val="en-US"/>
        </w:rPr>
        <w:t xml:space="preserve">GRAND PARIS EXPRESS LINE 16 - FEEDBACK FROM SOIL TREATMENTS FOR WATER CONTROL </w:t>
      </w:r>
    </w:p>
    <w:p w:rsidR="00D35AB0" w:rsidRPr="008E5637" w:rsidRDefault="00D35AB0" w:rsidP="00D35AB0">
      <w:pPr>
        <w:pStyle w:val="affiliationdesauteurs"/>
        <w:rPr>
          <w:i w:val="0"/>
          <w:lang w:val="en-US"/>
        </w:rPr>
      </w:pPr>
      <w:r w:rsidRPr="008E5637">
        <w:rPr>
          <w:i w:val="0"/>
          <w:lang w:val="en-US"/>
        </w:rPr>
        <w:t>Alexandre GIROUX</w:t>
      </w:r>
      <w:r w:rsidRPr="008E5637">
        <w:rPr>
          <w:i w:val="0"/>
          <w:vertAlign w:val="superscript"/>
          <w:lang w:val="en-US"/>
        </w:rPr>
        <w:t>1</w:t>
      </w:r>
      <w:r w:rsidRPr="008E5637">
        <w:rPr>
          <w:i w:val="0"/>
          <w:lang w:val="en-US"/>
        </w:rPr>
        <w:t>, Pascal CHALIVAT</w:t>
      </w:r>
      <w:r w:rsidRPr="008E5637">
        <w:rPr>
          <w:i w:val="0"/>
          <w:vertAlign w:val="superscript"/>
          <w:lang w:val="en-US"/>
        </w:rPr>
        <w:t>2</w:t>
      </w:r>
      <w:r w:rsidRPr="008E5637">
        <w:rPr>
          <w:i w:val="0"/>
          <w:lang w:val="en-US"/>
        </w:rPr>
        <w:t>, Van-Tri NGUYEN</w:t>
      </w:r>
      <w:r w:rsidRPr="008E5637">
        <w:rPr>
          <w:i w:val="0"/>
          <w:vertAlign w:val="superscript"/>
          <w:lang w:val="en-US"/>
        </w:rPr>
        <w:t>2</w:t>
      </w:r>
      <w:r w:rsidRPr="008E5637">
        <w:rPr>
          <w:i w:val="0"/>
          <w:lang w:val="en-US"/>
        </w:rPr>
        <w:t>, Valentina CIOCI</w:t>
      </w:r>
      <w:r w:rsidRPr="008E5637">
        <w:rPr>
          <w:i w:val="0"/>
          <w:vertAlign w:val="superscript"/>
          <w:lang w:val="en-US"/>
        </w:rPr>
        <w:t>3</w:t>
      </w:r>
      <w:r w:rsidRPr="008E5637">
        <w:rPr>
          <w:i w:val="0"/>
          <w:lang w:val="en-US"/>
        </w:rPr>
        <w:t>, Parfait POUEMI</w:t>
      </w:r>
      <w:r w:rsidRPr="008E5637">
        <w:rPr>
          <w:i w:val="0"/>
          <w:vertAlign w:val="superscript"/>
          <w:lang w:val="en-US"/>
        </w:rPr>
        <w:t>1</w:t>
      </w:r>
      <w:r w:rsidRPr="008E5637">
        <w:rPr>
          <w:i w:val="0"/>
          <w:lang w:val="en-US"/>
        </w:rPr>
        <w:t>, Cédric ZIEM</w:t>
      </w:r>
      <w:r w:rsidRPr="008E5637">
        <w:rPr>
          <w:i w:val="0"/>
          <w:vertAlign w:val="superscript"/>
          <w:lang w:val="en-US"/>
        </w:rPr>
        <w:t>1</w:t>
      </w:r>
      <w:r w:rsidRPr="008E5637">
        <w:rPr>
          <w:i w:val="0"/>
          <w:lang w:val="en-US"/>
        </w:rPr>
        <w:t>,</w:t>
      </w:r>
      <w:r>
        <w:rPr>
          <w:i w:val="0"/>
          <w:lang w:val="en-US"/>
        </w:rPr>
        <w:t xml:space="preserve"> </w:t>
      </w:r>
      <w:r w:rsidRPr="008E5637">
        <w:rPr>
          <w:i w:val="0"/>
          <w:lang w:val="en-US"/>
        </w:rPr>
        <w:t>Bruno PALLU</w:t>
      </w:r>
      <w:r w:rsidRPr="008E5637">
        <w:rPr>
          <w:i w:val="0"/>
          <w:vertAlign w:val="superscript"/>
          <w:lang w:val="en-US"/>
        </w:rPr>
        <w:t>1</w:t>
      </w:r>
      <w:r w:rsidRPr="008E5637">
        <w:rPr>
          <w:i w:val="0"/>
          <w:lang w:val="en-US"/>
        </w:rPr>
        <w:t>, Charles KREZIAK</w:t>
      </w:r>
      <w:r w:rsidRPr="008E5637">
        <w:rPr>
          <w:i w:val="0"/>
          <w:vertAlign w:val="superscript"/>
          <w:lang w:val="en-US"/>
        </w:rPr>
        <w:t>4</w:t>
      </w:r>
      <w:r w:rsidRPr="008E5637">
        <w:rPr>
          <w:i w:val="0"/>
          <w:lang w:val="en-US"/>
        </w:rPr>
        <w:t>, Mariano FERRARI</w:t>
      </w:r>
      <w:r w:rsidRPr="008E5637">
        <w:rPr>
          <w:i w:val="0"/>
          <w:vertAlign w:val="superscript"/>
          <w:lang w:val="en-US"/>
        </w:rPr>
        <w:t>1</w:t>
      </w:r>
    </w:p>
    <w:p w:rsidR="00D35AB0" w:rsidRPr="00016AF4" w:rsidRDefault="00D35AB0" w:rsidP="00D35AB0">
      <w:pPr>
        <w:pStyle w:val="affiliationdesauteurs"/>
      </w:pPr>
      <w:r w:rsidRPr="00016AF4">
        <w:rPr>
          <w:vertAlign w:val="superscript"/>
        </w:rPr>
        <w:t>1</w:t>
      </w:r>
      <w:r w:rsidRPr="00016AF4">
        <w:t xml:space="preserve"> Egis, Guyancourt, France</w:t>
      </w:r>
    </w:p>
    <w:p w:rsidR="00D35AB0" w:rsidRPr="00016AF4" w:rsidRDefault="00D35AB0" w:rsidP="00D35AB0">
      <w:pPr>
        <w:pStyle w:val="affiliationdesauteurs"/>
      </w:pPr>
      <w:r w:rsidRPr="00016AF4">
        <w:rPr>
          <w:vertAlign w:val="superscript"/>
        </w:rPr>
        <w:t xml:space="preserve">2 </w:t>
      </w:r>
      <w:r w:rsidRPr="00016AF4">
        <w:t>Eiffage Infrastructure, Vélizy-Villacoublay, France</w:t>
      </w:r>
    </w:p>
    <w:p w:rsidR="00D35AB0" w:rsidRPr="00016AF4" w:rsidRDefault="00D35AB0" w:rsidP="00D35AB0">
      <w:pPr>
        <w:pStyle w:val="affiliationdesauteurs"/>
      </w:pPr>
      <w:r w:rsidRPr="00016AF4">
        <w:rPr>
          <w:vertAlign w:val="superscript"/>
        </w:rPr>
        <w:t>3</w:t>
      </w:r>
      <w:r w:rsidRPr="00016AF4">
        <w:t xml:space="preserve"> Webuild, Milan, Italie</w:t>
      </w:r>
    </w:p>
    <w:p w:rsidR="00D35AB0" w:rsidRPr="00016AF4" w:rsidRDefault="00D35AB0" w:rsidP="00D35AB0">
      <w:pPr>
        <w:pStyle w:val="affiliationdesauteurs"/>
      </w:pPr>
      <w:r w:rsidRPr="00016AF4">
        <w:rPr>
          <w:vertAlign w:val="superscript"/>
        </w:rPr>
        <w:t>4</w:t>
      </w:r>
      <w:r w:rsidRPr="00016AF4">
        <w:t xml:space="preserve"> Société du Grand Paris, Saint-Denis, France</w:t>
      </w:r>
    </w:p>
    <w:p w:rsidR="00D35AB0" w:rsidRPr="00016AF4" w:rsidRDefault="00D35AB0" w:rsidP="00D35AB0">
      <w:pPr>
        <w:pStyle w:val="textedursum"/>
      </w:pPr>
    </w:p>
    <w:p w:rsidR="00D35AB0" w:rsidRPr="00016AF4" w:rsidRDefault="00D35AB0" w:rsidP="00D35AB0">
      <w:pPr>
        <w:pStyle w:val="textedursum"/>
        <w:spacing w:before="240" w:after="240"/>
      </w:pPr>
      <w:r w:rsidRPr="00016AF4">
        <w:rPr>
          <w:b/>
        </w:rPr>
        <w:t>RÉSUMÉ –</w:t>
      </w:r>
      <w:r w:rsidRPr="00016AF4">
        <w:t xml:space="preserve"> La ligne 16 du métro du Grand Paris Express comporte 29 km de tunnel, 9 gares et 37 ouvrages annexes. Le creusement se fait dans des terrains perméables et sous nappe. Des traitements de sols pour maitriser les venues d’eau sont donc nécessaires aux interfaces entre tunnels et ouvrages. Le</w:t>
      </w:r>
      <w:r>
        <w:t>s</w:t>
      </w:r>
      <w:r w:rsidRPr="00016AF4">
        <w:t xml:space="preserve"> retour</w:t>
      </w:r>
      <w:r>
        <w:t>s</w:t>
      </w:r>
      <w:r w:rsidRPr="00016AF4">
        <w:t xml:space="preserve"> d’expérience des méthodes de traitement, contrôles et adaptations s</w:t>
      </w:r>
      <w:r>
        <w:t>on</w:t>
      </w:r>
      <w:r w:rsidRPr="00016AF4">
        <w:t>t présenté</w:t>
      </w:r>
      <w:r>
        <w:t>s</w:t>
      </w:r>
      <w:r w:rsidRPr="00016AF4">
        <w:t>.</w:t>
      </w:r>
    </w:p>
    <w:p w:rsidR="00D35AB0" w:rsidRPr="00016AF4" w:rsidRDefault="00D35AB0" w:rsidP="00D35AB0">
      <w:pPr>
        <w:pStyle w:val="textofenglishabstract"/>
        <w:spacing w:after="480"/>
        <w:rPr>
          <w:sz w:val="24"/>
          <w:lang w:val="en-US"/>
        </w:rPr>
      </w:pPr>
      <w:r w:rsidRPr="00016AF4">
        <w:rPr>
          <w:b/>
          <w:sz w:val="24"/>
          <w:lang w:val="en-US"/>
        </w:rPr>
        <w:t>ABSTRACT</w:t>
      </w:r>
      <w:r w:rsidRPr="00016AF4">
        <w:rPr>
          <w:sz w:val="24"/>
          <w:lang w:val="en-US"/>
        </w:rPr>
        <w:t xml:space="preserve"> </w:t>
      </w:r>
      <w:r w:rsidRPr="00016AF4">
        <w:rPr>
          <w:b/>
          <w:sz w:val="24"/>
          <w:lang w:val="en-US"/>
        </w:rPr>
        <w:t>–</w:t>
      </w:r>
      <w:r w:rsidRPr="00016AF4">
        <w:rPr>
          <w:sz w:val="24"/>
          <w:lang w:val="en-US"/>
        </w:rPr>
        <w:t xml:space="preserve"> Line 16 of the Grand Paris Express metro </w:t>
      </w:r>
      <w:r>
        <w:rPr>
          <w:sz w:val="24"/>
          <w:lang w:val="en-US"/>
        </w:rPr>
        <w:t>comprises</w:t>
      </w:r>
      <w:r w:rsidRPr="00016AF4">
        <w:rPr>
          <w:sz w:val="24"/>
          <w:lang w:val="en-US"/>
        </w:rPr>
        <w:t xml:space="preserve"> 29 km of tunnels, 9 stations and 37 shafts. The digging is </w:t>
      </w:r>
      <w:r>
        <w:rPr>
          <w:sz w:val="24"/>
          <w:lang w:val="en-US"/>
        </w:rPr>
        <w:t>carried out in</w:t>
      </w:r>
      <w:r w:rsidRPr="00016AF4">
        <w:rPr>
          <w:sz w:val="24"/>
          <w:lang w:val="en-US"/>
        </w:rPr>
        <w:t xml:space="preserve"> permeable ground layer</w:t>
      </w:r>
      <w:r>
        <w:rPr>
          <w:sz w:val="24"/>
          <w:lang w:val="en-US"/>
        </w:rPr>
        <w:t>s</w:t>
      </w:r>
      <w:r w:rsidRPr="00016AF4">
        <w:rPr>
          <w:sz w:val="24"/>
          <w:lang w:val="en-US"/>
        </w:rPr>
        <w:t xml:space="preserve"> and under the </w:t>
      </w:r>
      <w:proofErr w:type="spellStart"/>
      <w:r w:rsidRPr="00016AF4">
        <w:rPr>
          <w:sz w:val="24"/>
          <w:lang w:val="en-US"/>
        </w:rPr>
        <w:t>watertable</w:t>
      </w:r>
      <w:proofErr w:type="spellEnd"/>
      <w:r w:rsidRPr="00016AF4">
        <w:rPr>
          <w:sz w:val="24"/>
          <w:lang w:val="en-US"/>
        </w:rPr>
        <w:t>. Soil treatments to control water inflows are necessary at the interfaces between tunnels and shafts or stations. Feedback</w:t>
      </w:r>
      <w:r>
        <w:rPr>
          <w:sz w:val="24"/>
          <w:lang w:val="en-US"/>
        </w:rPr>
        <w:t>s</w:t>
      </w:r>
      <w:r w:rsidRPr="00016AF4">
        <w:rPr>
          <w:sz w:val="24"/>
          <w:lang w:val="en-US"/>
        </w:rPr>
        <w:t xml:space="preserve"> from the treatment methods, controls and adaptations </w:t>
      </w:r>
      <w:r>
        <w:rPr>
          <w:sz w:val="24"/>
          <w:lang w:val="en-US"/>
        </w:rPr>
        <w:t>are</w:t>
      </w:r>
      <w:r w:rsidRPr="00016AF4">
        <w:rPr>
          <w:sz w:val="24"/>
          <w:lang w:val="en-US"/>
        </w:rPr>
        <w:t xml:space="preserve"> shown.</w:t>
      </w:r>
    </w:p>
    <w:p w:rsidR="00D35AB0" w:rsidRPr="00016AF4" w:rsidRDefault="00D35AB0" w:rsidP="00D35AB0">
      <w:pPr>
        <w:pStyle w:val="Titre1"/>
        <w:rPr>
          <w:color w:val="000000" w:themeColor="text1"/>
          <w:lang w:val="fr-FR"/>
        </w:rPr>
      </w:pPr>
      <w:r w:rsidRPr="00016AF4">
        <w:rPr>
          <w:color w:val="000000" w:themeColor="text1"/>
          <w:lang w:val="fr-FR"/>
        </w:rPr>
        <w:t>Introduction</w:t>
      </w:r>
    </w:p>
    <w:p w:rsidR="00D35AB0" w:rsidRPr="00016AF4" w:rsidRDefault="00D35AB0" w:rsidP="00D35AB0">
      <w:pPr>
        <w:pStyle w:val="Corpsdetexte12retrait5mm"/>
        <w:rPr>
          <w:rStyle w:val="Corpsdetexte12Car"/>
          <w:lang w:val="fr-FR"/>
        </w:rPr>
      </w:pPr>
      <w:r w:rsidRPr="00016AF4">
        <w:rPr>
          <w:rStyle w:val="Corpsdetexte12Car"/>
          <w:lang w:val="fr-FR"/>
        </w:rPr>
        <w:t>Dans le cadre des chantiers souterrains, il est parfois nécessaire de creuser en présence d’une nappe phréatique. Ces travaux difficiles, présentent des risques réels pour le chantier, la sécurité du personnel, les riverains, les ouvrages mitoyens. S’ils ne sont pas parfaitement maitrisés, des conséquences plus ou moins graves avec un allongement du calendrier d’exécution et un dépassement du budget peuvent survenir.</w:t>
      </w:r>
    </w:p>
    <w:p w:rsidR="00D35AB0" w:rsidRPr="00016AF4" w:rsidRDefault="00D35AB0" w:rsidP="00D35AB0">
      <w:pPr>
        <w:pStyle w:val="Corpsdetexte12retrait5mm"/>
        <w:ind w:firstLine="284"/>
        <w:rPr>
          <w:rStyle w:val="Corpsdetexte12Car"/>
          <w:lang w:val="fr-FR"/>
        </w:rPr>
      </w:pPr>
      <w:r w:rsidRPr="00016AF4">
        <w:rPr>
          <w:rStyle w:val="Corpsdetexte12Car"/>
          <w:lang w:val="fr-FR"/>
        </w:rPr>
        <w:t>Le projet de la ligne 16 du métro du Grand Paris Express est enterré entre 10 et 50 m de profondeur et presque toujours en-dessous de la nappe phréatique. Des traitements de terrain ont ainsi été réalisés afin de maitriser les risques associés à ces travaux. Les techniques mises en œuvre dépendent de plusieurs facteurs parmi lesquels le contexte géotechnique, les contraintes d’emprises en surface mais surtout les méthodes des entreprises spécialisées.</w:t>
      </w:r>
    </w:p>
    <w:p w:rsidR="00D35AB0" w:rsidRPr="00016AF4" w:rsidRDefault="00D35AB0" w:rsidP="00D35AB0">
      <w:pPr>
        <w:pStyle w:val="Corpsdetexte12retrait5mm"/>
        <w:ind w:firstLine="284"/>
        <w:rPr>
          <w:rStyle w:val="Corpsdetexte12Car"/>
          <w:lang w:val="fr-FR"/>
        </w:rPr>
      </w:pPr>
      <w:r w:rsidRPr="00016AF4">
        <w:rPr>
          <w:rStyle w:val="Corpsdetexte12Car"/>
          <w:lang w:val="fr-FR"/>
        </w:rPr>
        <w:t>Après une présentation de l’ampleur du projet, du contexte géotechnique et des contraintes associées, les techniques de traitements et les contrôles mis en œuvre sur les deux premiers lots de génie civil seront détaillés</w:t>
      </w:r>
      <w:r>
        <w:rPr>
          <w:rStyle w:val="Corpsdetexte12Car"/>
          <w:lang w:val="fr-FR"/>
        </w:rPr>
        <w:t>.</w:t>
      </w:r>
      <w:r w:rsidRPr="00016AF4">
        <w:rPr>
          <w:rStyle w:val="Corpsdetexte12Car"/>
          <w:lang w:val="fr-FR"/>
        </w:rPr>
        <w:t xml:space="preserve"> Ensuite, la dernière partie expliquera comment les titulaires des marchés de génie</w:t>
      </w:r>
      <w:r>
        <w:rPr>
          <w:rStyle w:val="Corpsdetexte12Car"/>
          <w:lang w:val="fr-FR"/>
        </w:rPr>
        <w:t xml:space="preserve"> </w:t>
      </w:r>
      <w:r w:rsidRPr="00016AF4">
        <w:rPr>
          <w:rStyle w:val="Corpsdetexte12Car"/>
          <w:lang w:val="fr-FR"/>
        </w:rPr>
        <w:t xml:space="preserve">civil se sont adaptés aux aléas survenus et présentera les parades utilisées pour effectuer les travaux en toute sécurité. </w:t>
      </w:r>
    </w:p>
    <w:p w:rsidR="00D35AB0" w:rsidRPr="00016AF4" w:rsidRDefault="00D35AB0" w:rsidP="00D35AB0">
      <w:pPr>
        <w:pStyle w:val="Corpsdetexte12retrait5mm"/>
        <w:ind w:firstLine="284"/>
        <w:rPr>
          <w:rStyle w:val="Corpsdetexte12Car"/>
          <w:color w:val="000000" w:themeColor="text1"/>
          <w:lang w:val="fr-FR"/>
        </w:rPr>
      </w:pPr>
    </w:p>
    <w:p w:rsidR="00D35AB0" w:rsidRPr="00016AF4" w:rsidRDefault="00D35AB0" w:rsidP="00D35AB0">
      <w:pPr>
        <w:pStyle w:val="Titre1"/>
        <w:rPr>
          <w:lang w:val="fr-FR"/>
        </w:rPr>
      </w:pPr>
      <w:r w:rsidRPr="00016AF4">
        <w:rPr>
          <w:lang w:val="fr-FR"/>
        </w:rPr>
        <w:t>Présentation du projet et des traitements de terrain associés</w:t>
      </w:r>
    </w:p>
    <w:p w:rsidR="00D35AB0" w:rsidRPr="00016AF4" w:rsidRDefault="00D35AB0" w:rsidP="00D35AB0">
      <w:pPr>
        <w:pStyle w:val="Titre2"/>
        <w:numPr>
          <w:ilvl w:val="1"/>
          <w:numId w:val="1"/>
        </w:numPr>
      </w:pPr>
      <w:r w:rsidRPr="00016AF4">
        <w:t>Un projet souterrain hors norme</w:t>
      </w:r>
    </w:p>
    <w:p w:rsidR="00D35AB0" w:rsidRPr="00016AF4" w:rsidRDefault="00D35AB0" w:rsidP="00D35AB0">
      <w:pPr>
        <w:pStyle w:val="Corpsdetexte12retrait5mm"/>
        <w:rPr>
          <w:rStyle w:val="Corpsdetexte12Car"/>
          <w:lang w:val="fr-FR"/>
        </w:rPr>
      </w:pPr>
      <w:r w:rsidRPr="00016AF4">
        <w:rPr>
          <w:rStyle w:val="Corpsdetexte12Car"/>
          <w:lang w:val="fr-FR"/>
        </w:rPr>
        <w:t>Le Grand Paris Express est un projet exceptionnel, sous la Maitrise d’Ouvrage de la SOCIETE DU GRAND PARIS (SGP) qui comprend la création de quatre nouvelles lignes principales périphériques (15,</w:t>
      </w:r>
      <w:r>
        <w:rPr>
          <w:rStyle w:val="Corpsdetexte12Car"/>
          <w:lang w:val="fr-FR"/>
        </w:rPr>
        <w:t xml:space="preserve"> </w:t>
      </w:r>
      <w:r w:rsidRPr="00016AF4">
        <w:rPr>
          <w:rStyle w:val="Corpsdetexte12Car"/>
          <w:lang w:val="fr-FR"/>
        </w:rPr>
        <w:t>16,</w:t>
      </w:r>
      <w:r>
        <w:rPr>
          <w:rStyle w:val="Corpsdetexte12Car"/>
          <w:lang w:val="fr-FR"/>
        </w:rPr>
        <w:t xml:space="preserve"> </w:t>
      </w:r>
      <w:r w:rsidRPr="00016AF4">
        <w:rPr>
          <w:rStyle w:val="Corpsdetexte12Car"/>
          <w:lang w:val="fr-FR"/>
        </w:rPr>
        <w:t xml:space="preserve">17 et 18) ainsi que l’extension au Nord et au Sud de la </w:t>
      </w:r>
      <w:r w:rsidRPr="00016AF4">
        <w:rPr>
          <w:rStyle w:val="Corpsdetexte12Car"/>
          <w:lang w:val="fr-FR"/>
        </w:rPr>
        <w:lastRenderedPageBreak/>
        <w:t>ligne 14. La ligne 16, située au Nord-Est de la région parisienne, reliera la gare de Saint-Denis Pleyel à Noisy-Champs (</w:t>
      </w:r>
      <w:r w:rsidRPr="00016AF4">
        <w:rPr>
          <w:rStyle w:val="Corpsdetexte12Car"/>
          <w:highlight w:val="yellow"/>
          <w:lang w:val="fr-FR"/>
        </w:rPr>
        <w:fldChar w:fldCharType="begin"/>
      </w:r>
      <w:r w:rsidRPr="00016AF4">
        <w:rPr>
          <w:rStyle w:val="Corpsdetexte12Car"/>
          <w:highlight w:val="yellow"/>
          <w:lang w:val="fr-FR"/>
        </w:rPr>
        <w:instrText xml:space="preserve"> REF _Ref92802825 \h </w:instrText>
      </w:r>
      <w:r w:rsidRPr="00016AF4">
        <w:rPr>
          <w:rStyle w:val="Corpsdetexte12Car"/>
          <w:highlight w:val="yellow"/>
          <w:lang w:val="fr-FR"/>
        </w:rPr>
      </w:r>
      <w:r w:rsidRPr="00016AF4">
        <w:rPr>
          <w:rStyle w:val="Corpsdetexte12Car"/>
          <w:highlight w:val="yellow"/>
          <w:lang w:val="fr-FR"/>
        </w:rPr>
        <w:fldChar w:fldCharType="separate"/>
      </w:r>
      <w:r w:rsidRPr="00016AF4">
        <w:t xml:space="preserve">Figure </w:t>
      </w:r>
      <w:r>
        <w:rPr>
          <w:noProof/>
        </w:rPr>
        <w:t>1</w:t>
      </w:r>
      <w:r w:rsidRPr="00016AF4">
        <w:rPr>
          <w:rStyle w:val="Corpsdetexte12Car"/>
          <w:highlight w:val="yellow"/>
          <w:lang w:val="fr-FR"/>
        </w:rPr>
        <w:fldChar w:fldCharType="end"/>
      </w:r>
      <w:r w:rsidRPr="00016AF4">
        <w:rPr>
          <w:rStyle w:val="Corpsdetexte12Car"/>
          <w:lang w:val="fr-FR"/>
        </w:rPr>
        <w:t xml:space="preserve">). La Maitrise d’œuvre infrastructure est assurée par le groupement EGIS-TRACTEBEL. Longue de 29 km environ, cette infrastructure traversera 16 communes sur deux départements (Seine Saint-Denis et Seine et Marne), desservant près de 800 000 habitants. 9 tunneliers mécanisés (TBM = Tunnel </w:t>
      </w:r>
      <w:proofErr w:type="spellStart"/>
      <w:r w:rsidRPr="00016AF4">
        <w:rPr>
          <w:rStyle w:val="Corpsdetexte12Car"/>
          <w:lang w:val="fr-FR"/>
        </w:rPr>
        <w:t>Boring</w:t>
      </w:r>
      <w:proofErr w:type="spellEnd"/>
      <w:r w:rsidRPr="00016AF4">
        <w:rPr>
          <w:rStyle w:val="Corpsdetexte12Car"/>
          <w:lang w:val="fr-FR"/>
        </w:rPr>
        <w:t xml:space="preserve"> Machine) de 10 m de diamètre, à pression de terre creuseront la partie souterraine, reliant entre elles 9 gares, dont 3 emblématiques, et une trentaine de puits de ventilation ou d’accès des secours. La réalisation du génie civil a été répartie entre EIFFAGE (lot 1), WEBUILD-NGE (lot 2), et RAZEL (lot 3).</w:t>
      </w:r>
    </w:p>
    <w:p w:rsidR="00D35AB0" w:rsidRPr="00016AF4" w:rsidRDefault="00D35AB0" w:rsidP="00D35AB0">
      <w:pPr>
        <w:pStyle w:val="Corpsdetexte12retrait5mm"/>
        <w:ind w:firstLine="284"/>
        <w:jc w:val="center"/>
        <w:rPr>
          <w:rStyle w:val="Corpsdetexte12Car"/>
          <w:lang w:val="fr-FR"/>
        </w:rPr>
      </w:pPr>
      <w:r w:rsidRPr="00016AF4">
        <w:rPr>
          <w:noProof/>
          <w:lang w:val="fr-FR" w:eastAsia="fr-FR"/>
        </w:rPr>
        <w:drawing>
          <wp:inline distT="0" distB="0" distL="0" distR="0" wp14:anchorId="48E595BA" wp14:editId="2AADE44D">
            <wp:extent cx="4068000" cy="2912688"/>
            <wp:effectExtent l="0" t="0" r="889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 du projet (002).PNG"/>
                    <pic:cNvPicPr/>
                  </pic:nvPicPr>
                  <pic:blipFill>
                    <a:blip r:embed="rId7">
                      <a:extLst>
                        <a:ext uri="{28A0092B-C50C-407E-A947-70E740481C1C}">
                          <a14:useLocalDpi xmlns:a14="http://schemas.microsoft.com/office/drawing/2010/main" val="0"/>
                        </a:ext>
                      </a:extLst>
                    </a:blip>
                    <a:stretch>
                      <a:fillRect/>
                    </a:stretch>
                  </pic:blipFill>
                  <pic:spPr>
                    <a:xfrm>
                      <a:off x="0" y="0"/>
                      <a:ext cx="4068000" cy="2912688"/>
                    </a:xfrm>
                    <a:prstGeom prst="rect">
                      <a:avLst/>
                    </a:prstGeom>
                  </pic:spPr>
                </pic:pic>
              </a:graphicData>
            </a:graphic>
          </wp:inline>
        </w:drawing>
      </w:r>
    </w:p>
    <w:p w:rsidR="00D35AB0" w:rsidRPr="00016AF4" w:rsidRDefault="00D35AB0" w:rsidP="00D35AB0">
      <w:pPr>
        <w:pStyle w:val="titredefigure"/>
        <w:spacing w:before="0"/>
      </w:pPr>
      <w:bookmarkStart w:id="0" w:name="_Ref92802825"/>
      <w:r w:rsidRPr="00016AF4">
        <w:t xml:space="preserve">Figure </w:t>
      </w:r>
      <w:r w:rsidRPr="00016AF4">
        <w:rPr>
          <w:noProof/>
        </w:rPr>
        <w:fldChar w:fldCharType="begin"/>
      </w:r>
      <w:r w:rsidRPr="00016AF4">
        <w:rPr>
          <w:noProof/>
        </w:rPr>
        <w:instrText xml:space="preserve"> SEQ Figure \* ARABIC </w:instrText>
      </w:r>
      <w:r w:rsidRPr="00016AF4">
        <w:rPr>
          <w:noProof/>
        </w:rPr>
        <w:fldChar w:fldCharType="separate"/>
      </w:r>
      <w:r>
        <w:rPr>
          <w:noProof/>
        </w:rPr>
        <w:t>1</w:t>
      </w:r>
      <w:r w:rsidRPr="00016AF4">
        <w:rPr>
          <w:noProof/>
        </w:rPr>
        <w:fldChar w:fldCharType="end"/>
      </w:r>
      <w:bookmarkEnd w:id="0"/>
      <w:r w:rsidRPr="00016AF4">
        <w:t xml:space="preserve"> : Plan d’implantation de la ligne 16 </w:t>
      </w:r>
      <w:r>
        <w:t>- Société du Grand Paris</w:t>
      </w:r>
    </w:p>
    <w:p w:rsidR="00D35AB0" w:rsidRPr="00016AF4" w:rsidRDefault="00D35AB0" w:rsidP="00D35AB0">
      <w:pPr>
        <w:pStyle w:val="Titre2"/>
        <w:numPr>
          <w:ilvl w:val="1"/>
          <w:numId w:val="1"/>
        </w:numPr>
      </w:pPr>
      <w:r w:rsidRPr="00016AF4">
        <w:t>Présentation des traitements de terrain</w:t>
      </w:r>
    </w:p>
    <w:p w:rsidR="00D35AB0" w:rsidRPr="00016AF4" w:rsidRDefault="00D35AB0" w:rsidP="00D35AB0">
      <w:pPr>
        <w:pStyle w:val="Corpsdetexte12retrait5mm"/>
        <w:rPr>
          <w:rStyle w:val="Corpsdetexte12Car"/>
          <w:lang w:val="fr-FR"/>
        </w:rPr>
      </w:pPr>
      <w:r w:rsidRPr="00016AF4">
        <w:rPr>
          <w:rStyle w:val="Corpsdetexte12Car"/>
          <w:lang w:val="fr-FR"/>
        </w:rPr>
        <w:t xml:space="preserve">Les tunnels sont positionnés à une profondeur de 10 à 50 m par rapport à la surface. L’entrée et la sortie en terre des tunneliers dans les ouvrages à ciel ouvert, ainsi que le creusement en traditionnel des rameaux (galeries) reliant les tunnels aux ouvrages annexes (puits de ventilation et de secours), sont réalisés sous la nappe phréatique. Des arrivées d’eaux souterraines à haute pression, éventuellement accompagnées de fines (débourrage), sont un des risques géotechniques identifiés. Des traitements de terrain sont exécutés afin de maitriser ces venues d’eau (bouchons) et éviter des désordres en surface (cf. </w:t>
      </w:r>
      <w:r w:rsidRPr="00016AF4">
        <w:rPr>
          <w:rStyle w:val="Corpsdetexte12Car"/>
          <w:lang w:val="fr-FR"/>
        </w:rPr>
        <w:fldChar w:fldCharType="begin"/>
      </w:r>
      <w:r w:rsidRPr="00016AF4">
        <w:rPr>
          <w:rStyle w:val="Corpsdetexte12Car"/>
          <w:lang w:val="fr-FR"/>
        </w:rPr>
        <w:instrText xml:space="preserve"> REF _Ref92803252 \h </w:instrText>
      </w:r>
      <w:r w:rsidRPr="00016AF4">
        <w:rPr>
          <w:rStyle w:val="Corpsdetexte12Car"/>
          <w:lang w:val="fr-FR"/>
        </w:rPr>
      </w:r>
      <w:r w:rsidRPr="00016AF4">
        <w:rPr>
          <w:rStyle w:val="Corpsdetexte12Car"/>
          <w:lang w:val="fr-FR"/>
        </w:rPr>
        <w:fldChar w:fldCharType="separate"/>
      </w:r>
      <w:r w:rsidRPr="00016AF4">
        <w:t xml:space="preserve">Figure </w:t>
      </w:r>
      <w:r>
        <w:rPr>
          <w:noProof/>
        </w:rPr>
        <w:t>2</w:t>
      </w:r>
      <w:r w:rsidRPr="00016AF4">
        <w:rPr>
          <w:rStyle w:val="Corpsdetexte12Car"/>
          <w:lang w:val="fr-FR"/>
        </w:rPr>
        <w:fldChar w:fldCharType="end"/>
      </w:r>
      <w:r w:rsidRPr="00016AF4">
        <w:rPr>
          <w:rStyle w:val="Corpsdetexte12Car"/>
          <w:lang w:val="fr-FR"/>
        </w:rPr>
        <w:t xml:space="preserve">). Pour atteindre ces objectifs, deux types de techniques de traitement du sol ont été appliqués : le </w:t>
      </w:r>
      <w:r>
        <w:rPr>
          <w:rStyle w:val="Corpsdetexte12Car"/>
          <w:lang w:val="fr-FR"/>
        </w:rPr>
        <w:t>jet-grouting</w:t>
      </w:r>
      <w:r w:rsidRPr="00016AF4">
        <w:rPr>
          <w:rStyle w:val="Corpsdetexte12Car"/>
          <w:lang w:val="fr-FR"/>
        </w:rPr>
        <w:t xml:space="preserve"> et l’injection répétitive et sélective (IRS).</w:t>
      </w:r>
    </w:p>
    <w:p w:rsidR="00D35AB0" w:rsidRPr="00016AF4" w:rsidRDefault="00D35AB0" w:rsidP="00D35AB0">
      <w:pPr>
        <w:pStyle w:val="Corpsdetexte12retrait5mm"/>
        <w:ind w:firstLine="284"/>
        <w:jc w:val="center"/>
        <w:rPr>
          <w:rStyle w:val="Corpsdetexte12Car"/>
          <w:lang w:val="fr-FR"/>
        </w:rPr>
      </w:pPr>
      <w:r w:rsidRPr="00016AF4">
        <w:rPr>
          <w:rStyle w:val="Corpsdetexte12Car"/>
          <w:noProof/>
          <w:lang w:val="fr-FR" w:eastAsia="fr-FR"/>
        </w:rPr>
        <w:drawing>
          <wp:inline distT="0" distB="0" distL="0" distR="0" wp14:anchorId="6C1C2EBE" wp14:editId="103A27E3">
            <wp:extent cx="5857001" cy="2304288"/>
            <wp:effectExtent l="0" t="0" r="0" b="1270"/>
            <wp:docPr id="3" name="Image 3" descr="C:\Users\vtrnguyen\Desktop\GEO\Article - Grand Paris Express\JNGG 2022\Brouillon\Photos\Bouchon + ram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trnguyen\Desktop\GEO\Article - Grand Paris Express\JNGG 2022\Brouillon\Photos\Bouchon + ramea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3734" cy="2314805"/>
                    </a:xfrm>
                    <a:prstGeom prst="rect">
                      <a:avLst/>
                    </a:prstGeom>
                    <a:noFill/>
                    <a:ln>
                      <a:noFill/>
                    </a:ln>
                  </pic:spPr>
                </pic:pic>
              </a:graphicData>
            </a:graphic>
          </wp:inline>
        </w:drawing>
      </w:r>
    </w:p>
    <w:p w:rsidR="00D35AB0" w:rsidRPr="00016AF4" w:rsidRDefault="00D35AB0" w:rsidP="00D35AB0">
      <w:pPr>
        <w:pStyle w:val="titredefigure"/>
        <w:spacing w:before="0"/>
      </w:pPr>
      <w:bookmarkStart w:id="1" w:name="_Ref92803252"/>
      <w:r w:rsidRPr="00016AF4">
        <w:t xml:space="preserve">Figure </w:t>
      </w:r>
      <w:r w:rsidRPr="00016AF4">
        <w:rPr>
          <w:noProof/>
        </w:rPr>
        <w:fldChar w:fldCharType="begin"/>
      </w:r>
      <w:r w:rsidRPr="00016AF4">
        <w:rPr>
          <w:noProof/>
        </w:rPr>
        <w:instrText xml:space="preserve"> SEQ Figure \* ARABIC </w:instrText>
      </w:r>
      <w:r w:rsidRPr="00016AF4">
        <w:rPr>
          <w:noProof/>
        </w:rPr>
        <w:fldChar w:fldCharType="separate"/>
      </w:r>
      <w:r>
        <w:rPr>
          <w:noProof/>
        </w:rPr>
        <w:t>2</w:t>
      </w:r>
      <w:r w:rsidRPr="00016AF4">
        <w:rPr>
          <w:noProof/>
        </w:rPr>
        <w:fldChar w:fldCharType="end"/>
      </w:r>
      <w:bookmarkEnd w:id="1"/>
      <w:r w:rsidRPr="00016AF4">
        <w:t> : Vue en 3D des bouchons traités - Eiffage</w:t>
      </w:r>
    </w:p>
    <w:p w:rsidR="00D35AB0" w:rsidRPr="00016AF4" w:rsidRDefault="00D35AB0" w:rsidP="00D35AB0">
      <w:pPr>
        <w:pStyle w:val="Titre2"/>
        <w:numPr>
          <w:ilvl w:val="1"/>
          <w:numId w:val="1"/>
        </w:numPr>
      </w:pPr>
      <w:r w:rsidRPr="00016AF4">
        <w:lastRenderedPageBreak/>
        <w:t>Géologie rencontrée</w:t>
      </w:r>
    </w:p>
    <w:p w:rsidR="00D35AB0" w:rsidRPr="00016AF4" w:rsidRDefault="00D35AB0" w:rsidP="00D35AB0">
      <w:pPr>
        <w:pStyle w:val="Corpsdetexte12retrait5mm"/>
        <w:rPr>
          <w:rStyle w:val="Corpsdetexte12Car"/>
          <w:lang w:val="fr-FR"/>
        </w:rPr>
      </w:pPr>
      <w:r w:rsidRPr="00016AF4">
        <w:rPr>
          <w:rStyle w:val="Corpsdetexte12Car"/>
          <w:lang w:val="fr-FR"/>
        </w:rPr>
        <w:t>Le tracé du tunnelier est implanté dans les formations tertiaires du bassin Parisien :</w:t>
      </w:r>
    </w:p>
    <w:p w:rsidR="00D35AB0" w:rsidRPr="00016AF4" w:rsidRDefault="00D35AB0" w:rsidP="00D35AB0">
      <w:pPr>
        <w:pStyle w:val="Corpsdetexte12retrait5mm"/>
        <w:numPr>
          <w:ilvl w:val="0"/>
          <w:numId w:val="8"/>
        </w:numPr>
        <w:rPr>
          <w:rStyle w:val="Corpsdetexte12Car"/>
          <w:lang w:val="fr-FR"/>
        </w:rPr>
      </w:pPr>
      <w:r w:rsidRPr="00016AF4">
        <w:rPr>
          <w:rStyle w:val="Corpsdetexte12Car"/>
          <w:lang w:val="fr-FR"/>
        </w:rPr>
        <w:t>Le Calcaire de Saint</w:t>
      </w:r>
      <w:r>
        <w:rPr>
          <w:rStyle w:val="Corpsdetexte12Car"/>
          <w:lang w:val="fr-FR"/>
        </w:rPr>
        <w:t>-</w:t>
      </w:r>
      <w:r w:rsidRPr="00016AF4">
        <w:rPr>
          <w:rStyle w:val="Corpsdetexte12Car"/>
          <w:lang w:val="fr-FR"/>
        </w:rPr>
        <w:t>Ouen (SO) est constitué d’un faciès carbonaté à dominance de calcaire marneux, beige-blanchâtre à légèrement rosé ;</w:t>
      </w:r>
    </w:p>
    <w:p w:rsidR="00D35AB0" w:rsidRPr="00016AF4" w:rsidRDefault="00D35AB0" w:rsidP="00D35AB0">
      <w:pPr>
        <w:pStyle w:val="Corpsdetexte12retrait5mm"/>
        <w:numPr>
          <w:ilvl w:val="0"/>
          <w:numId w:val="8"/>
        </w:numPr>
        <w:rPr>
          <w:rStyle w:val="Corpsdetexte12Car"/>
          <w:lang w:val="fr-FR"/>
        </w:rPr>
      </w:pPr>
      <w:r w:rsidRPr="00016AF4">
        <w:rPr>
          <w:rStyle w:val="Corpsdetexte12Car"/>
          <w:lang w:val="fr-FR"/>
        </w:rPr>
        <w:t xml:space="preserve">Les Sables de Beauchamp (SB) se composent d’un sable fin limoneux, cohésif et compact, parfois grésifié ou complètement lâche et pulvérulent. Ils comportent parfois un niveau médian de moindre perméabilité ; </w:t>
      </w:r>
    </w:p>
    <w:p w:rsidR="00D35AB0" w:rsidRPr="00016AF4" w:rsidRDefault="00D35AB0" w:rsidP="00D35AB0">
      <w:pPr>
        <w:pStyle w:val="Corpsdetexte12retrait5mm"/>
        <w:numPr>
          <w:ilvl w:val="0"/>
          <w:numId w:val="8"/>
        </w:numPr>
        <w:rPr>
          <w:rStyle w:val="Corpsdetexte12Car"/>
          <w:lang w:val="fr-FR"/>
        </w:rPr>
      </w:pPr>
      <w:bookmarkStart w:id="2" w:name="_Hlk92297086"/>
      <w:r w:rsidRPr="00016AF4">
        <w:rPr>
          <w:rStyle w:val="Corpsdetexte12Car"/>
          <w:lang w:val="fr-FR"/>
        </w:rPr>
        <w:t>Les Marnes et Caillasses (MC) sont essentiellement un calcaire marneux, tendre à semi-rocheux. Dans sa partie inférieure, on retrouve majoritairement des bancs rocheux durs, souvent fracturés</w:t>
      </w:r>
      <w:bookmarkEnd w:id="2"/>
      <w:r w:rsidRPr="00016AF4">
        <w:rPr>
          <w:rStyle w:val="Corpsdetexte12Car"/>
          <w:lang w:val="fr-FR"/>
        </w:rPr>
        <w:t xml:space="preserve"> ; </w:t>
      </w:r>
    </w:p>
    <w:p w:rsidR="00D35AB0" w:rsidRPr="00016AF4" w:rsidRDefault="00D35AB0" w:rsidP="00D35AB0">
      <w:pPr>
        <w:pStyle w:val="Corpsdetexte12retrait5mm"/>
        <w:numPr>
          <w:ilvl w:val="0"/>
          <w:numId w:val="8"/>
        </w:numPr>
        <w:rPr>
          <w:rStyle w:val="Corpsdetexte12Car"/>
          <w:lang w:val="fr-FR"/>
        </w:rPr>
      </w:pPr>
      <w:r w:rsidRPr="00016AF4">
        <w:rPr>
          <w:rStyle w:val="Corpsdetexte12Car"/>
          <w:lang w:val="fr-FR"/>
        </w:rPr>
        <w:t xml:space="preserve">Le Calcaire </w:t>
      </w:r>
      <w:r>
        <w:rPr>
          <w:rStyle w:val="Corpsdetexte12Car"/>
          <w:lang w:val="fr-FR"/>
        </w:rPr>
        <w:t>g</w:t>
      </w:r>
      <w:r w:rsidRPr="00016AF4">
        <w:rPr>
          <w:rStyle w:val="Corpsdetexte12Car"/>
          <w:lang w:val="fr-FR"/>
        </w:rPr>
        <w:t xml:space="preserve">rossier (CG). La partie supérieure est constituée d’un calcaire dur, faisant apparaître des bancs coquilliers. La partie inférieure apparaît parfois plus altérée, avec présence de glauconie. Sa perméabilité est majoritairement due à l’existence de fissures plutôt horizontales. </w:t>
      </w:r>
    </w:p>
    <w:p w:rsidR="00D35AB0" w:rsidRPr="00016AF4" w:rsidRDefault="00D35AB0" w:rsidP="00D35AB0">
      <w:pPr>
        <w:pStyle w:val="Corpsdetexte12retrait5mm"/>
        <w:ind w:firstLine="284"/>
        <w:rPr>
          <w:rStyle w:val="Corpsdetexte12Car"/>
          <w:lang w:val="fr-FR"/>
        </w:rPr>
      </w:pPr>
      <w:r w:rsidRPr="00016AF4">
        <w:rPr>
          <w:rStyle w:val="Corpsdetexte12Car"/>
          <w:lang w:val="fr-FR"/>
        </w:rPr>
        <w:t xml:space="preserve">Deux nappes superposées sont en interaction avec les ouvrages souterrains au droit de l’ensemble du projet ; la nappe du Bartonien qui baigne les formations au-dessus de l’écran médian des SB et la nappe du Lutétien dans le CG, les MC et la partie inférieure des SB. La quasi intégralité des creusements se font sous nappe. L’objectif est donc de ramener la perméabilité des sols (cf. </w:t>
      </w:r>
      <w:r w:rsidRPr="00016AF4">
        <w:rPr>
          <w:rStyle w:val="Corpsdetexte12Car"/>
          <w:lang w:val="fr-FR"/>
        </w:rPr>
        <w:fldChar w:fldCharType="begin"/>
      </w:r>
      <w:r w:rsidRPr="00016AF4">
        <w:rPr>
          <w:rStyle w:val="Corpsdetexte12Car"/>
          <w:lang w:val="fr-FR"/>
        </w:rPr>
        <w:instrText xml:space="preserve"> REF _Ref92803214 \h </w:instrText>
      </w:r>
      <w:r w:rsidRPr="00016AF4">
        <w:rPr>
          <w:rStyle w:val="Corpsdetexte12Car"/>
          <w:lang w:val="fr-FR"/>
        </w:rPr>
      </w:r>
      <w:r w:rsidRPr="00016AF4">
        <w:rPr>
          <w:rStyle w:val="Corpsdetexte12Car"/>
          <w:lang w:val="fr-FR"/>
        </w:rPr>
        <w:fldChar w:fldCharType="separate"/>
      </w:r>
      <w:r w:rsidRPr="00016AF4">
        <w:rPr>
          <w:sz w:val="22"/>
          <w:szCs w:val="22"/>
        </w:rPr>
        <w:t xml:space="preserve">Tableau </w:t>
      </w:r>
      <w:r>
        <w:rPr>
          <w:i/>
          <w:noProof/>
          <w:sz w:val="22"/>
          <w:szCs w:val="22"/>
        </w:rPr>
        <w:t>1</w:t>
      </w:r>
      <w:r w:rsidRPr="00016AF4">
        <w:rPr>
          <w:rStyle w:val="Corpsdetexte12Car"/>
          <w:lang w:val="fr-FR"/>
        </w:rPr>
        <w:fldChar w:fldCharType="end"/>
      </w:r>
      <w:r w:rsidRPr="00016AF4">
        <w:rPr>
          <w:rStyle w:val="Corpsdetexte12Car"/>
          <w:lang w:val="fr-FR"/>
        </w:rPr>
        <w:t>) à des valeurs de 5E</w:t>
      </w:r>
      <w:r w:rsidRPr="00016AF4">
        <w:rPr>
          <w:rStyle w:val="Corpsdetexte12Car"/>
          <w:vertAlign w:val="superscript"/>
          <w:lang w:val="fr-FR"/>
        </w:rPr>
        <w:t>-6</w:t>
      </w:r>
      <w:r w:rsidRPr="00016AF4">
        <w:rPr>
          <w:rStyle w:val="Corpsdetexte12Car"/>
          <w:lang w:val="fr-FR"/>
        </w:rPr>
        <w:t xml:space="preserve"> à 5E</w:t>
      </w:r>
      <w:r w:rsidRPr="00016AF4">
        <w:rPr>
          <w:rStyle w:val="Corpsdetexte12Car"/>
          <w:vertAlign w:val="superscript"/>
          <w:lang w:val="fr-FR"/>
        </w:rPr>
        <w:t>-7</w:t>
      </w:r>
      <w:r w:rsidRPr="00016AF4">
        <w:rPr>
          <w:rStyle w:val="Corpsdetexte12Car"/>
          <w:lang w:val="fr-FR"/>
        </w:rPr>
        <w:t> m/s.</w:t>
      </w:r>
    </w:p>
    <w:p w:rsidR="00D35AB0" w:rsidRPr="00016AF4" w:rsidRDefault="00D35AB0" w:rsidP="00D35AB0">
      <w:pPr>
        <w:pStyle w:val="Lgende"/>
        <w:keepNext/>
        <w:jc w:val="center"/>
      </w:pPr>
      <w:bookmarkStart w:id="3" w:name="_Ref92803214"/>
      <w:r w:rsidRPr="00016AF4">
        <w:rPr>
          <w:i w:val="0"/>
          <w:color w:val="auto"/>
          <w:sz w:val="22"/>
          <w:szCs w:val="22"/>
        </w:rPr>
        <w:t xml:space="preserve">Tableau </w:t>
      </w:r>
      <w:r w:rsidRPr="00016AF4">
        <w:rPr>
          <w:i w:val="0"/>
          <w:color w:val="auto"/>
          <w:sz w:val="22"/>
          <w:szCs w:val="22"/>
        </w:rPr>
        <w:fldChar w:fldCharType="begin"/>
      </w:r>
      <w:r w:rsidRPr="00016AF4">
        <w:rPr>
          <w:i w:val="0"/>
          <w:color w:val="auto"/>
          <w:sz w:val="22"/>
          <w:szCs w:val="22"/>
        </w:rPr>
        <w:instrText xml:space="preserve"> SEQ Tableau \* ARABIC </w:instrText>
      </w:r>
      <w:r w:rsidRPr="00016AF4">
        <w:rPr>
          <w:i w:val="0"/>
          <w:color w:val="auto"/>
          <w:sz w:val="22"/>
          <w:szCs w:val="22"/>
        </w:rPr>
        <w:fldChar w:fldCharType="separate"/>
      </w:r>
      <w:r>
        <w:rPr>
          <w:i w:val="0"/>
          <w:noProof/>
          <w:color w:val="auto"/>
          <w:sz w:val="22"/>
          <w:szCs w:val="22"/>
        </w:rPr>
        <w:t>1</w:t>
      </w:r>
      <w:r w:rsidRPr="00016AF4">
        <w:rPr>
          <w:i w:val="0"/>
          <w:color w:val="auto"/>
          <w:sz w:val="22"/>
          <w:szCs w:val="22"/>
        </w:rPr>
        <w:fldChar w:fldCharType="end"/>
      </w:r>
      <w:bookmarkEnd w:id="3"/>
      <w:r w:rsidRPr="00016AF4">
        <w:rPr>
          <w:i w:val="0"/>
          <w:color w:val="auto"/>
          <w:sz w:val="22"/>
          <w:szCs w:val="22"/>
        </w:rPr>
        <w:t>: Gammes de perméabilité des formations excavées</w:t>
      </w:r>
    </w:p>
    <w:tbl>
      <w:tblPr>
        <w:tblW w:w="76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391"/>
        <w:gridCol w:w="1206"/>
        <w:gridCol w:w="2067"/>
        <w:gridCol w:w="1986"/>
      </w:tblGrid>
      <w:tr w:rsidR="00D35AB0" w:rsidRPr="00016AF4" w:rsidTr="00F66695">
        <w:trPr>
          <w:trHeight w:val="193"/>
          <w:jc w:val="center"/>
        </w:trPr>
        <w:tc>
          <w:tcPr>
            <w:tcW w:w="3596" w:type="dxa"/>
            <w:gridSpan w:val="2"/>
            <w:tcBorders>
              <w:top w:val="single" w:sz="6" w:space="0" w:color="auto"/>
              <w:left w:val="single" w:sz="6" w:space="0" w:color="auto"/>
              <w:bottom w:val="single" w:sz="6" w:space="0" w:color="auto"/>
              <w:right w:val="single" w:sz="6" w:space="0" w:color="auto"/>
            </w:tcBorders>
            <w:vAlign w:val="center"/>
            <w:hideMark/>
          </w:tcPr>
          <w:p w:rsidR="00D35AB0" w:rsidRPr="00016AF4" w:rsidRDefault="00D35AB0" w:rsidP="00F66695">
            <w:pPr>
              <w:pStyle w:val="Corpsdetexte12retrait5mm"/>
              <w:spacing w:line="254" w:lineRule="auto"/>
              <w:jc w:val="center"/>
              <w:rPr>
                <w:rStyle w:val="Corpsdetexte12Car"/>
                <w:color w:val="000000" w:themeColor="text1"/>
                <w:sz w:val="22"/>
                <w:szCs w:val="22"/>
                <w:lang w:val="fr-FR"/>
              </w:rPr>
            </w:pPr>
            <w:r w:rsidRPr="00016AF4">
              <w:rPr>
                <w:rStyle w:val="Corpsdetexte12Car"/>
                <w:color w:val="000000" w:themeColor="text1"/>
                <w:sz w:val="22"/>
                <w:szCs w:val="22"/>
                <w:lang w:val="fr-FR"/>
              </w:rPr>
              <w:t>Formation</w:t>
            </w:r>
          </w:p>
        </w:tc>
        <w:tc>
          <w:tcPr>
            <w:tcW w:w="2066" w:type="dxa"/>
            <w:tcBorders>
              <w:top w:val="single" w:sz="6" w:space="0" w:color="auto"/>
              <w:left w:val="single" w:sz="6" w:space="0" w:color="auto"/>
              <w:bottom w:val="single" w:sz="6" w:space="0" w:color="auto"/>
              <w:right w:val="single" w:sz="6" w:space="0" w:color="auto"/>
            </w:tcBorders>
            <w:vAlign w:val="center"/>
            <w:hideMark/>
          </w:tcPr>
          <w:p w:rsidR="00D35AB0" w:rsidRPr="00016AF4" w:rsidRDefault="00D35AB0" w:rsidP="00F66695">
            <w:pPr>
              <w:pStyle w:val="Corpsdetexte12retrait5mm"/>
              <w:spacing w:line="254" w:lineRule="auto"/>
              <w:jc w:val="center"/>
              <w:rPr>
                <w:rStyle w:val="Corpsdetexte12Car"/>
                <w:color w:val="000000" w:themeColor="text1"/>
                <w:sz w:val="22"/>
                <w:szCs w:val="22"/>
                <w:lang w:val="fr-FR"/>
              </w:rPr>
            </w:pPr>
            <w:proofErr w:type="spellStart"/>
            <w:proofErr w:type="gramStart"/>
            <w:r w:rsidRPr="00016AF4">
              <w:rPr>
                <w:rStyle w:val="Corpsdetexte12Car"/>
                <w:color w:val="000000" w:themeColor="text1"/>
                <w:sz w:val="22"/>
                <w:szCs w:val="22"/>
                <w:lang w:val="fr-FR"/>
              </w:rPr>
              <w:t>k</w:t>
            </w:r>
            <w:r w:rsidRPr="00016AF4">
              <w:rPr>
                <w:rStyle w:val="Corpsdetexte12Car"/>
                <w:color w:val="000000" w:themeColor="text1"/>
                <w:sz w:val="22"/>
                <w:szCs w:val="22"/>
                <w:vertAlign w:val="subscript"/>
                <w:lang w:val="fr-FR"/>
              </w:rPr>
              <w:t>h</w:t>
            </w:r>
            <w:proofErr w:type="spellEnd"/>
            <w:proofErr w:type="gramEnd"/>
            <w:r w:rsidRPr="00016AF4">
              <w:rPr>
                <w:rStyle w:val="Corpsdetexte12Car"/>
                <w:color w:val="000000" w:themeColor="text1"/>
                <w:sz w:val="22"/>
                <w:szCs w:val="22"/>
                <w:lang w:val="fr-FR"/>
              </w:rPr>
              <w:t xml:space="preserve"> (m/s)</w:t>
            </w:r>
          </w:p>
        </w:tc>
        <w:tc>
          <w:tcPr>
            <w:tcW w:w="1985" w:type="dxa"/>
            <w:tcBorders>
              <w:top w:val="single" w:sz="6" w:space="0" w:color="auto"/>
              <w:left w:val="single" w:sz="6" w:space="0" w:color="auto"/>
              <w:bottom w:val="single" w:sz="6" w:space="0" w:color="auto"/>
              <w:right w:val="single" w:sz="6" w:space="0" w:color="auto"/>
            </w:tcBorders>
            <w:vAlign w:val="center"/>
            <w:hideMark/>
          </w:tcPr>
          <w:p w:rsidR="00D35AB0" w:rsidRPr="00016AF4" w:rsidRDefault="00D35AB0" w:rsidP="00F66695">
            <w:pPr>
              <w:pStyle w:val="Corpsdetexte12retrait5mm"/>
              <w:spacing w:line="254" w:lineRule="auto"/>
              <w:jc w:val="center"/>
              <w:rPr>
                <w:rStyle w:val="Corpsdetexte12Car"/>
                <w:color w:val="000000" w:themeColor="text1"/>
                <w:sz w:val="22"/>
                <w:szCs w:val="22"/>
                <w:lang w:val="fr-FR"/>
              </w:rPr>
            </w:pPr>
            <w:proofErr w:type="spellStart"/>
            <w:proofErr w:type="gramStart"/>
            <w:r w:rsidRPr="00016AF4">
              <w:rPr>
                <w:rStyle w:val="Corpsdetexte12Car"/>
                <w:color w:val="000000" w:themeColor="text1"/>
                <w:sz w:val="22"/>
                <w:szCs w:val="22"/>
                <w:lang w:val="fr-FR"/>
              </w:rPr>
              <w:t>k</w:t>
            </w:r>
            <w:r w:rsidRPr="00016AF4">
              <w:rPr>
                <w:rStyle w:val="Corpsdetexte12Car"/>
                <w:color w:val="000000" w:themeColor="text1"/>
                <w:sz w:val="22"/>
                <w:szCs w:val="22"/>
                <w:vertAlign w:val="subscript"/>
                <w:lang w:val="fr-FR"/>
              </w:rPr>
              <w:t>v</w:t>
            </w:r>
            <w:proofErr w:type="spellEnd"/>
            <w:proofErr w:type="gramEnd"/>
            <w:r w:rsidRPr="00016AF4">
              <w:rPr>
                <w:rStyle w:val="Corpsdetexte12Car"/>
                <w:color w:val="000000" w:themeColor="text1"/>
                <w:sz w:val="22"/>
                <w:szCs w:val="22"/>
                <w:lang w:val="fr-FR"/>
              </w:rPr>
              <w:t xml:space="preserve"> (m/s)</w:t>
            </w:r>
          </w:p>
        </w:tc>
      </w:tr>
      <w:tr w:rsidR="00D35AB0" w:rsidRPr="00016AF4" w:rsidTr="00F66695">
        <w:trPr>
          <w:trHeight w:val="296"/>
          <w:jc w:val="center"/>
        </w:trPr>
        <w:tc>
          <w:tcPr>
            <w:tcW w:w="3596" w:type="dxa"/>
            <w:gridSpan w:val="2"/>
            <w:tcBorders>
              <w:top w:val="single" w:sz="6" w:space="0" w:color="auto"/>
              <w:left w:val="single" w:sz="6" w:space="0" w:color="auto"/>
              <w:bottom w:val="single" w:sz="6" w:space="0" w:color="auto"/>
              <w:right w:val="single" w:sz="6" w:space="0" w:color="auto"/>
            </w:tcBorders>
            <w:vAlign w:val="center"/>
            <w:hideMark/>
          </w:tcPr>
          <w:p w:rsidR="00D35AB0" w:rsidRPr="00016AF4" w:rsidRDefault="00D35AB0" w:rsidP="00F66695">
            <w:pPr>
              <w:pStyle w:val="Corpsdetexte12retrait5mm"/>
              <w:spacing w:line="254" w:lineRule="auto"/>
              <w:jc w:val="center"/>
              <w:rPr>
                <w:rStyle w:val="Corpsdetexte12Car"/>
                <w:color w:val="000000" w:themeColor="text1"/>
                <w:sz w:val="22"/>
                <w:szCs w:val="22"/>
                <w:lang w:val="fr-FR"/>
              </w:rPr>
            </w:pPr>
            <w:r w:rsidRPr="00016AF4">
              <w:rPr>
                <w:rStyle w:val="Corpsdetexte12Car"/>
                <w:color w:val="000000" w:themeColor="text1"/>
                <w:sz w:val="22"/>
                <w:szCs w:val="22"/>
                <w:lang w:val="fr-FR"/>
              </w:rPr>
              <w:t>Calcaires de Saint-Ouen</w:t>
            </w:r>
          </w:p>
        </w:tc>
        <w:tc>
          <w:tcPr>
            <w:tcW w:w="2066" w:type="dxa"/>
            <w:tcBorders>
              <w:top w:val="single" w:sz="6" w:space="0" w:color="auto"/>
              <w:left w:val="single" w:sz="6" w:space="0" w:color="auto"/>
              <w:bottom w:val="single" w:sz="6" w:space="0" w:color="auto"/>
              <w:right w:val="single" w:sz="6" w:space="0" w:color="auto"/>
            </w:tcBorders>
            <w:vAlign w:val="center"/>
            <w:hideMark/>
          </w:tcPr>
          <w:p w:rsidR="00D35AB0" w:rsidRPr="00016AF4" w:rsidRDefault="00D35AB0" w:rsidP="00F66695">
            <w:pPr>
              <w:pStyle w:val="Corpsdetexte12retrait5mm"/>
              <w:spacing w:line="254" w:lineRule="auto"/>
              <w:jc w:val="center"/>
              <w:rPr>
                <w:rStyle w:val="Corpsdetexte12Car"/>
                <w:color w:val="000000" w:themeColor="text1"/>
                <w:sz w:val="22"/>
                <w:szCs w:val="22"/>
                <w:lang w:val="fr-FR"/>
              </w:rPr>
            </w:pPr>
            <w:r w:rsidRPr="00016AF4">
              <w:rPr>
                <w:rStyle w:val="Corpsdetexte12Car"/>
                <w:color w:val="000000" w:themeColor="text1"/>
                <w:sz w:val="22"/>
                <w:szCs w:val="22"/>
                <w:lang w:val="fr-FR"/>
              </w:rPr>
              <w:t>1</w:t>
            </w:r>
            <w:r>
              <w:rPr>
                <w:rStyle w:val="Corpsdetexte12Car"/>
                <w:color w:val="000000" w:themeColor="text1"/>
                <w:sz w:val="22"/>
                <w:szCs w:val="22"/>
                <w:lang w:val="fr-FR"/>
              </w:rPr>
              <w:t xml:space="preserve"> </w:t>
            </w:r>
            <w:r w:rsidRPr="00016AF4">
              <w:rPr>
                <w:rStyle w:val="Corpsdetexte12Car"/>
                <w:color w:val="000000" w:themeColor="text1"/>
                <w:sz w:val="22"/>
                <w:szCs w:val="22"/>
                <w:lang w:val="fr-FR"/>
              </w:rPr>
              <w:t>E</w:t>
            </w:r>
            <w:r w:rsidRPr="00016AF4">
              <w:rPr>
                <w:rStyle w:val="Corpsdetexte12Car"/>
                <w:color w:val="000000" w:themeColor="text1"/>
                <w:sz w:val="22"/>
                <w:szCs w:val="22"/>
                <w:vertAlign w:val="superscript"/>
                <w:lang w:val="fr-FR"/>
              </w:rPr>
              <w:t>-5</w:t>
            </w:r>
            <w:r w:rsidRPr="00016AF4">
              <w:rPr>
                <w:rStyle w:val="Corpsdetexte12Car"/>
                <w:color w:val="000000" w:themeColor="text1"/>
                <w:sz w:val="22"/>
                <w:szCs w:val="22"/>
                <w:lang w:val="fr-FR"/>
              </w:rPr>
              <w:t xml:space="preserve"> à 3</w:t>
            </w:r>
            <w:r>
              <w:rPr>
                <w:rStyle w:val="Corpsdetexte12Car"/>
                <w:color w:val="000000" w:themeColor="text1"/>
                <w:sz w:val="22"/>
                <w:szCs w:val="22"/>
                <w:lang w:val="fr-FR"/>
              </w:rPr>
              <w:t xml:space="preserve"> </w:t>
            </w:r>
            <w:r w:rsidRPr="00016AF4">
              <w:rPr>
                <w:rStyle w:val="Corpsdetexte12Car"/>
                <w:color w:val="000000" w:themeColor="text1"/>
                <w:sz w:val="22"/>
                <w:szCs w:val="22"/>
                <w:lang w:val="fr-FR"/>
              </w:rPr>
              <w:t>E</w:t>
            </w:r>
            <w:r w:rsidRPr="00016AF4">
              <w:rPr>
                <w:rStyle w:val="Corpsdetexte12Car"/>
                <w:color w:val="000000" w:themeColor="text1"/>
                <w:sz w:val="22"/>
                <w:szCs w:val="22"/>
                <w:vertAlign w:val="superscript"/>
                <w:lang w:val="fr-FR"/>
              </w:rPr>
              <w:t>-3</w:t>
            </w:r>
          </w:p>
        </w:tc>
        <w:tc>
          <w:tcPr>
            <w:tcW w:w="1985" w:type="dxa"/>
            <w:tcBorders>
              <w:top w:val="single" w:sz="6" w:space="0" w:color="auto"/>
              <w:left w:val="single" w:sz="6" w:space="0" w:color="auto"/>
              <w:bottom w:val="single" w:sz="6" w:space="0" w:color="auto"/>
              <w:right w:val="single" w:sz="6" w:space="0" w:color="auto"/>
            </w:tcBorders>
            <w:vAlign w:val="center"/>
            <w:hideMark/>
          </w:tcPr>
          <w:p w:rsidR="00D35AB0" w:rsidRPr="00016AF4" w:rsidRDefault="00D35AB0" w:rsidP="00F66695">
            <w:pPr>
              <w:pStyle w:val="Corpsdetexte12retrait5mm"/>
              <w:spacing w:line="254" w:lineRule="auto"/>
              <w:jc w:val="center"/>
              <w:rPr>
                <w:rStyle w:val="Corpsdetexte12Car"/>
                <w:color w:val="000000" w:themeColor="text1"/>
                <w:sz w:val="22"/>
                <w:szCs w:val="22"/>
                <w:lang w:val="fr-FR"/>
              </w:rPr>
            </w:pPr>
            <w:r w:rsidRPr="00016AF4">
              <w:rPr>
                <w:rStyle w:val="Corpsdetexte12Car"/>
                <w:color w:val="000000" w:themeColor="text1"/>
                <w:sz w:val="22"/>
                <w:szCs w:val="22"/>
                <w:lang w:val="fr-FR"/>
              </w:rPr>
              <w:t>2</w:t>
            </w:r>
            <w:r>
              <w:rPr>
                <w:rStyle w:val="Corpsdetexte12Car"/>
                <w:color w:val="000000" w:themeColor="text1"/>
                <w:sz w:val="22"/>
                <w:szCs w:val="22"/>
                <w:lang w:val="fr-FR"/>
              </w:rPr>
              <w:t xml:space="preserve"> </w:t>
            </w:r>
            <w:r w:rsidRPr="00016AF4">
              <w:rPr>
                <w:rStyle w:val="Corpsdetexte12Car"/>
                <w:color w:val="000000" w:themeColor="text1"/>
                <w:sz w:val="22"/>
                <w:szCs w:val="22"/>
                <w:lang w:val="fr-FR"/>
              </w:rPr>
              <w:t>E</w:t>
            </w:r>
            <w:r w:rsidRPr="00016AF4">
              <w:rPr>
                <w:rStyle w:val="Corpsdetexte12Car"/>
                <w:color w:val="000000" w:themeColor="text1"/>
                <w:sz w:val="22"/>
                <w:szCs w:val="22"/>
                <w:vertAlign w:val="superscript"/>
                <w:lang w:val="fr-FR"/>
              </w:rPr>
              <w:t>-6</w:t>
            </w:r>
            <w:r w:rsidRPr="00016AF4">
              <w:rPr>
                <w:rStyle w:val="Corpsdetexte12Car"/>
                <w:color w:val="000000" w:themeColor="text1"/>
                <w:sz w:val="22"/>
                <w:szCs w:val="22"/>
                <w:lang w:val="fr-FR"/>
              </w:rPr>
              <w:t xml:space="preserve"> à 3</w:t>
            </w:r>
            <w:r>
              <w:rPr>
                <w:rStyle w:val="Corpsdetexte12Car"/>
                <w:color w:val="000000" w:themeColor="text1"/>
                <w:sz w:val="22"/>
                <w:szCs w:val="22"/>
                <w:lang w:val="fr-FR"/>
              </w:rPr>
              <w:t xml:space="preserve"> </w:t>
            </w:r>
            <w:r w:rsidRPr="00016AF4">
              <w:rPr>
                <w:rStyle w:val="Corpsdetexte12Car"/>
                <w:color w:val="000000" w:themeColor="text1"/>
                <w:sz w:val="22"/>
                <w:szCs w:val="22"/>
                <w:lang w:val="fr-FR"/>
              </w:rPr>
              <w:t>E</w:t>
            </w:r>
            <w:r w:rsidRPr="00016AF4">
              <w:rPr>
                <w:rStyle w:val="Corpsdetexte12Car"/>
                <w:color w:val="000000" w:themeColor="text1"/>
                <w:sz w:val="22"/>
                <w:szCs w:val="22"/>
                <w:vertAlign w:val="superscript"/>
                <w:lang w:val="fr-FR"/>
              </w:rPr>
              <w:t>-3</w:t>
            </w:r>
          </w:p>
        </w:tc>
      </w:tr>
      <w:tr w:rsidR="00D35AB0" w:rsidRPr="00016AF4" w:rsidTr="00F66695">
        <w:trPr>
          <w:trHeight w:val="224"/>
          <w:jc w:val="center"/>
        </w:trPr>
        <w:tc>
          <w:tcPr>
            <w:tcW w:w="2390" w:type="dxa"/>
            <w:vMerge w:val="restart"/>
            <w:tcBorders>
              <w:top w:val="single" w:sz="6" w:space="0" w:color="auto"/>
              <w:left w:val="single" w:sz="6" w:space="0" w:color="auto"/>
              <w:bottom w:val="single" w:sz="6" w:space="0" w:color="auto"/>
              <w:right w:val="single" w:sz="6" w:space="0" w:color="auto"/>
            </w:tcBorders>
            <w:vAlign w:val="center"/>
            <w:hideMark/>
          </w:tcPr>
          <w:p w:rsidR="00D35AB0" w:rsidRPr="00016AF4" w:rsidRDefault="00D35AB0" w:rsidP="00F66695">
            <w:pPr>
              <w:pStyle w:val="Corpsdetexte12retrait5mm"/>
              <w:spacing w:line="254" w:lineRule="auto"/>
              <w:jc w:val="center"/>
              <w:rPr>
                <w:rStyle w:val="Corpsdetexte12Car"/>
                <w:color w:val="000000" w:themeColor="text1"/>
                <w:sz w:val="22"/>
                <w:szCs w:val="22"/>
                <w:lang w:val="fr-FR"/>
              </w:rPr>
            </w:pPr>
            <w:r w:rsidRPr="00016AF4">
              <w:rPr>
                <w:rStyle w:val="Corpsdetexte12Car"/>
                <w:color w:val="000000" w:themeColor="text1"/>
                <w:sz w:val="22"/>
                <w:szCs w:val="22"/>
                <w:lang w:val="fr-FR"/>
              </w:rPr>
              <w:t>Sables de Beauchamp</w:t>
            </w:r>
          </w:p>
        </w:tc>
        <w:tc>
          <w:tcPr>
            <w:tcW w:w="1206" w:type="dxa"/>
            <w:tcBorders>
              <w:top w:val="single" w:sz="6" w:space="0" w:color="auto"/>
              <w:left w:val="single" w:sz="6" w:space="0" w:color="auto"/>
              <w:bottom w:val="single" w:sz="6" w:space="0" w:color="auto"/>
              <w:right w:val="single" w:sz="6" w:space="0" w:color="auto"/>
            </w:tcBorders>
            <w:vAlign w:val="center"/>
            <w:hideMark/>
          </w:tcPr>
          <w:p w:rsidR="00D35AB0" w:rsidRPr="00016AF4" w:rsidRDefault="00D35AB0" w:rsidP="00F66695">
            <w:pPr>
              <w:pStyle w:val="Corpsdetexte12retrait5mm"/>
              <w:spacing w:line="254" w:lineRule="auto"/>
              <w:jc w:val="center"/>
              <w:rPr>
                <w:rStyle w:val="Corpsdetexte12Car"/>
                <w:color w:val="000000" w:themeColor="text1"/>
                <w:sz w:val="22"/>
                <w:szCs w:val="22"/>
                <w:lang w:val="fr-FR"/>
              </w:rPr>
            </w:pPr>
            <w:r w:rsidRPr="00016AF4">
              <w:rPr>
                <w:rStyle w:val="Corpsdetexte12Car"/>
                <w:color w:val="000000" w:themeColor="text1"/>
                <w:sz w:val="22"/>
                <w:szCs w:val="22"/>
                <w:lang w:val="fr-FR"/>
              </w:rPr>
              <w:t>Sableux</w:t>
            </w:r>
          </w:p>
        </w:tc>
        <w:tc>
          <w:tcPr>
            <w:tcW w:w="2066" w:type="dxa"/>
            <w:tcBorders>
              <w:top w:val="single" w:sz="6" w:space="0" w:color="auto"/>
              <w:left w:val="single" w:sz="6" w:space="0" w:color="auto"/>
              <w:bottom w:val="single" w:sz="6" w:space="0" w:color="auto"/>
              <w:right w:val="single" w:sz="6" w:space="0" w:color="auto"/>
            </w:tcBorders>
            <w:vAlign w:val="center"/>
            <w:hideMark/>
          </w:tcPr>
          <w:p w:rsidR="00D35AB0" w:rsidRPr="00016AF4" w:rsidRDefault="00D35AB0" w:rsidP="00F66695">
            <w:pPr>
              <w:pStyle w:val="Corpsdetexte12retrait5mm"/>
              <w:spacing w:line="254" w:lineRule="auto"/>
              <w:jc w:val="center"/>
              <w:rPr>
                <w:rStyle w:val="Corpsdetexte12Car"/>
                <w:color w:val="000000" w:themeColor="text1"/>
                <w:sz w:val="22"/>
                <w:szCs w:val="22"/>
                <w:lang w:val="fr-FR"/>
              </w:rPr>
            </w:pPr>
            <w:r w:rsidRPr="00016AF4">
              <w:rPr>
                <w:rStyle w:val="Corpsdetexte12Car"/>
                <w:color w:val="000000" w:themeColor="text1"/>
                <w:sz w:val="22"/>
                <w:szCs w:val="22"/>
                <w:lang w:val="fr-FR"/>
              </w:rPr>
              <w:t>2</w:t>
            </w:r>
            <w:r>
              <w:rPr>
                <w:rStyle w:val="Corpsdetexte12Car"/>
                <w:color w:val="000000" w:themeColor="text1"/>
                <w:sz w:val="22"/>
                <w:szCs w:val="22"/>
                <w:lang w:val="fr-FR"/>
              </w:rPr>
              <w:t xml:space="preserve"> </w:t>
            </w:r>
            <w:r w:rsidRPr="00016AF4">
              <w:rPr>
                <w:rStyle w:val="Corpsdetexte12Car"/>
                <w:color w:val="000000" w:themeColor="text1"/>
                <w:sz w:val="22"/>
                <w:szCs w:val="22"/>
                <w:lang w:val="fr-FR"/>
              </w:rPr>
              <w:t>E</w:t>
            </w:r>
            <w:r w:rsidRPr="00016AF4">
              <w:rPr>
                <w:rStyle w:val="Corpsdetexte12Car"/>
                <w:color w:val="000000" w:themeColor="text1"/>
                <w:sz w:val="22"/>
                <w:szCs w:val="22"/>
                <w:vertAlign w:val="superscript"/>
                <w:lang w:val="fr-FR"/>
              </w:rPr>
              <w:t>-5</w:t>
            </w:r>
            <w:r w:rsidRPr="00016AF4">
              <w:rPr>
                <w:rStyle w:val="Corpsdetexte12Car"/>
                <w:color w:val="000000" w:themeColor="text1"/>
                <w:sz w:val="22"/>
                <w:szCs w:val="22"/>
                <w:lang w:val="fr-FR"/>
              </w:rPr>
              <w:t xml:space="preserve"> à 9</w:t>
            </w:r>
            <w:r>
              <w:rPr>
                <w:rStyle w:val="Corpsdetexte12Car"/>
                <w:color w:val="000000" w:themeColor="text1"/>
                <w:sz w:val="22"/>
                <w:szCs w:val="22"/>
                <w:lang w:val="fr-FR"/>
              </w:rPr>
              <w:t xml:space="preserve"> </w:t>
            </w:r>
            <w:r w:rsidRPr="00016AF4">
              <w:rPr>
                <w:rStyle w:val="Corpsdetexte12Car"/>
                <w:color w:val="000000" w:themeColor="text1"/>
                <w:sz w:val="22"/>
                <w:szCs w:val="22"/>
                <w:lang w:val="fr-FR"/>
              </w:rPr>
              <w:t>E</w:t>
            </w:r>
            <w:r w:rsidRPr="00016AF4">
              <w:rPr>
                <w:rStyle w:val="Corpsdetexte12Car"/>
                <w:color w:val="000000" w:themeColor="text1"/>
                <w:sz w:val="22"/>
                <w:szCs w:val="22"/>
                <w:vertAlign w:val="superscript"/>
                <w:lang w:val="fr-FR"/>
              </w:rPr>
              <w:t>-4</w:t>
            </w:r>
          </w:p>
        </w:tc>
        <w:tc>
          <w:tcPr>
            <w:tcW w:w="1985" w:type="dxa"/>
            <w:tcBorders>
              <w:top w:val="single" w:sz="6" w:space="0" w:color="auto"/>
              <w:left w:val="single" w:sz="6" w:space="0" w:color="auto"/>
              <w:bottom w:val="single" w:sz="6" w:space="0" w:color="auto"/>
              <w:right w:val="single" w:sz="6" w:space="0" w:color="auto"/>
            </w:tcBorders>
            <w:vAlign w:val="center"/>
            <w:hideMark/>
          </w:tcPr>
          <w:p w:rsidR="00D35AB0" w:rsidRPr="00016AF4" w:rsidRDefault="00D35AB0" w:rsidP="00F66695">
            <w:pPr>
              <w:pStyle w:val="Corpsdetexte12retrait5mm"/>
              <w:spacing w:line="254" w:lineRule="auto"/>
              <w:jc w:val="center"/>
              <w:rPr>
                <w:rStyle w:val="Corpsdetexte12Car"/>
                <w:color w:val="000000" w:themeColor="text1"/>
                <w:sz w:val="22"/>
                <w:szCs w:val="22"/>
                <w:lang w:val="fr-FR"/>
              </w:rPr>
            </w:pPr>
            <w:r w:rsidRPr="00016AF4">
              <w:rPr>
                <w:rStyle w:val="Corpsdetexte12Car"/>
                <w:color w:val="000000" w:themeColor="text1"/>
                <w:sz w:val="22"/>
                <w:szCs w:val="22"/>
                <w:lang w:val="fr-FR"/>
              </w:rPr>
              <w:t>2</w:t>
            </w:r>
            <w:r>
              <w:rPr>
                <w:rStyle w:val="Corpsdetexte12Car"/>
                <w:color w:val="000000" w:themeColor="text1"/>
                <w:sz w:val="22"/>
                <w:szCs w:val="22"/>
                <w:lang w:val="fr-FR"/>
              </w:rPr>
              <w:t xml:space="preserve"> </w:t>
            </w:r>
            <w:r w:rsidRPr="00016AF4">
              <w:rPr>
                <w:rStyle w:val="Corpsdetexte12Car"/>
                <w:color w:val="000000" w:themeColor="text1"/>
                <w:sz w:val="22"/>
                <w:szCs w:val="22"/>
                <w:lang w:val="fr-FR"/>
              </w:rPr>
              <w:t>E</w:t>
            </w:r>
            <w:r w:rsidRPr="00016AF4">
              <w:rPr>
                <w:rStyle w:val="Corpsdetexte12Car"/>
                <w:color w:val="000000" w:themeColor="text1"/>
                <w:sz w:val="22"/>
                <w:szCs w:val="22"/>
                <w:vertAlign w:val="superscript"/>
                <w:lang w:val="fr-FR"/>
              </w:rPr>
              <w:t>-6</w:t>
            </w:r>
            <w:r w:rsidRPr="00016AF4">
              <w:rPr>
                <w:rStyle w:val="Corpsdetexte12Car"/>
                <w:color w:val="000000" w:themeColor="text1"/>
                <w:sz w:val="22"/>
                <w:szCs w:val="22"/>
                <w:lang w:val="fr-FR"/>
              </w:rPr>
              <w:t xml:space="preserve"> à 2</w:t>
            </w:r>
            <w:r>
              <w:rPr>
                <w:rStyle w:val="Corpsdetexte12Car"/>
                <w:color w:val="000000" w:themeColor="text1"/>
                <w:sz w:val="22"/>
                <w:szCs w:val="22"/>
                <w:lang w:val="fr-FR"/>
              </w:rPr>
              <w:t xml:space="preserve"> </w:t>
            </w:r>
            <w:r w:rsidRPr="00016AF4">
              <w:rPr>
                <w:rStyle w:val="Corpsdetexte12Car"/>
                <w:color w:val="000000" w:themeColor="text1"/>
                <w:sz w:val="22"/>
                <w:szCs w:val="22"/>
                <w:lang w:val="fr-FR"/>
              </w:rPr>
              <w:t>E</w:t>
            </w:r>
            <w:r w:rsidRPr="00016AF4">
              <w:rPr>
                <w:rStyle w:val="Corpsdetexte12Car"/>
                <w:color w:val="000000" w:themeColor="text1"/>
                <w:sz w:val="22"/>
                <w:szCs w:val="22"/>
                <w:vertAlign w:val="superscript"/>
                <w:lang w:val="fr-FR"/>
              </w:rPr>
              <w:t>-4</w:t>
            </w:r>
          </w:p>
        </w:tc>
      </w:tr>
      <w:tr w:rsidR="00D35AB0" w:rsidRPr="00016AF4" w:rsidTr="00F66695">
        <w:trPr>
          <w:trHeight w:val="236"/>
          <w:jc w:val="center"/>
        </w:trPr>
        <w:tc>
          <w:tcPr>
            <w:tcW w:w="3596" w:type="dxa"/>
            <w:vMerge/>
            <w:tcBorders>
              <w:top w:val="single" w:sz="6" w:space="0" w:color="auto"/>
              <w:left w:val="single" w:sz="6" w:space="0" w:color="auto"/>
              <w:bottom w:val="single" w:sz="6" w:space="0" w:color="auto"/>
              <w:right w:val="single" w:sz="6" w:space="0" w:color="auto"/>
            </w:tcBorders>
            <w:vAlign w:val="center"/>
            <w:hideMark/>
          </w:tcPr>
          <w:p w:rsidR="00D35AB0" w:rsidRPr="00016AF4" w:rsidRDefault="00D35AB0" w:rsidP="00F66695">
            <w:pPr>
              <w:spacing w:line="256" w:lineRule="auto"/>
              <w:rPr>
                <w:rStyle w:val="Corpsdetexte12Car"/>
                <w:rFonts w:eastAsiaTheme="minorHAnsi"/>
                <w:iCs/>
                <w:color w:val="000000" w:themeColor="text1"/>
                <w:sz w:val="22"/>
                <w:szCs w:val="22"/>
                <w:lang w:val="fr-FR"/>
              </w:rPr>
            </w:pPr>
          </w:p>
        </w:tc>
        <w:tc>
          <w:tcPr>
            <w:tcW w:w="1206" w:type="dxa"/>
            <w:tcBorders>
              <w:top w:val="single" w:sz="6" w:space="0" w:color="auto"/>
              <w:left w:val="single" w:sz="6" w:space="0" w:color="auto"/>
              <w:bottom w:val="single" w:sz="6" w:space="0" w:color="auto"/>
              <w:right w:val="single" w:sz="6" w:space="0" w:color="auto"/>
            </w:tcBorders>
            <w:vAlign w:val="center"/>
            <w:hideMark/>
          </w:tcPr>
          <w:p w:rsidR="00D35AB0" w:rsidRPr="00016AF4" w:rsidRDefault="00D35AB0" w:rsidP="00F66695">
            <w:pPr>
              <w:pStyle w:val="Corpsdetexte12retrait5mm"/>
              <w:spacing w:line="254" w:lineRule="auto"/>
              <w:jc w:val="center"/>
              <w:rPr>
                <w:rStyle w:val="Corpsdetexte12Car"/>
                <w:color w:val="000000" w:themeColor="text1"/>
                <w:sz w:val="22"/>
                <w:szCs w:val="22"/>
                <w:lang w:val="fr-FR"/>
              </w:rPr>
            </w:pPr>
            <w:r w:rsidRPr="00016AF4">
              <w:rPr>
                <w:rStyle w:val="Corpsdetexte12Car"/>
                <w:color w:val="000000" w:themeColor="text1"/>
                <w:sz w:val="22"/>
                <w:szCs w:val="22"/>
                <w:lang w:val="fr-FR"/>
              </w:rPr>
              <w:t>Argileux</w:t>
            </w:r>
          </w:p>
        </w:tc>
        <w:tc>
          <w:tcPr>
            <w:tcW w:w="2066" w:type="dxa"/>
            <w:tcBorders>
              <w:top w:val="single" w:sz="6" w:space="0" w:color="auto"/>
              <w:left w:val="single" w:sz="6" w:space="0" w:color="auto"/>
              <w:bottom w:val="single" w:sz="6" w:space="0" w:color="auto"/>
              <w:right w:val="single" w:sz="6" w:space="0" w:color="auto"/>
            </w:tcBorders>
            <w:vAlign w:val="center"/>
            <w:hideMark/>
          </w:tcPr>
          <w:p w:rsidR="00D35AB0" w:rsidRPr="00016AF4" w:rsidRDefault="00D35AB0" w:rsidP="00F66695">
            <w:pPr>
              <w:pStyle w:val="Corpsdetexte12retrait5mm"/>
              <w:spacing w:line="254" w:lineRule="auto"/>
              <w:jc w:val="center"/>
              <w:rPr>
                <w:rStyle w:val="Corpsdetexte12Car"/>
                <w:color w:val="000000" w:themeColor="text1"/>
                <w:sz w:val="22"/>
                <w:szCs w:val="22"/>
                <w:lang w:val="fr-FR"/>
              </w:rPr>
            </w:pPr>
            <w:r w:rsidRPr="00016AF4">
              <w:rPr>
                <w:rStyle w:val="Corpsdetexte12Car"/>
                <w:color w:val="000000" w:themeColor="text1"/>
                <w:sz w:val="22"/>
                <w:szCs w:val="22"/>
                <w:lang w:val="fr-FR"/>
              </w:rPr>
              <w:t>1</w:t>
            </w:r>
            <w:r>
              <w:rPr>
                <w:rStyle w:val="Corpsdetexte12Car"/>
                <w:color w:val="000000" w:themeColor="text1"/>
                <w:sz w:val="22"/>
                <w:szCs w:val="22"/>
                <w:lang w:val="fr-FR"/>
              </w:rPr>
              <w:t xml:space="preserve"> </w:t>
            </w:r>
            <w:r w:rsidRPr="00016AF4">
              <w:rPr>
                <w:rStyle w:val="Corpsdetexte12Car"/>
                <w:color w:val="000000" w:themeColor="text1"/>
                <w:sz w:val="22"/>
                <w:szCs w:val="22"/>
                <w:lang w:val="fr-FR"/>
              </w:rPr>
              <w:t>E</w:t>
            </w:r>
            <w:r w:rsidRPr="00016AF4">
              <w:rPr>
                <w:rStyle w:val="Corpsdetexte12Car"/>
                <w:color w:val="000000" w:themeColor="text1"/>
                <w:sz w:val="22"/>
                <w:szCs w:val="22"/>
                <w:vertAlign w:val="superscript"/>
                <w:lang w:val="fr-FR"/>
              </w:rPr>
              <w:t>-8</w:t>
            </w:r>
            <w:r w:rsidRPr="00016AF4">
              <w:rPr>
                <w:rStyle w:val="Corpsdetexte12Car"/>
                <w:color w:val="000000" w:themeColor="text1"/>
                <w:sz w:val="22"/>
                <w:szCs w:val="22"/>
                <w:lang w:val="fr-FR"/>
              </w:rPr>
              <w:t xml:space="preserve"> à 1</w:t>
            </w:r>
            <w:r>
              <w:rPr>
                <w:rStyle w:val="Corpsdetexte12Car"/>
                <w:color w:val="000000" w:themeColor="text1"/>
                <w:sz w:val="22"/>
                <w:szCs w:val="22"/>
                <w:lang w:val="fr-FR"/>
              </w:rPr>
              <w:t xml:space="preserve"> </w:t>
            </w:r>
            <w:r w:rsidRPr="00016AF4">
              <w:rPr>
                <w:rStyle w:val="Corpsdetexte12Car"/>
                <w:color w:val="000000" w:themeColor="text1"/>
                <w:sz w:val="22"/>
                <w:szCs w:val="22"/>
                <w:lang w:val="fr-FR"/>
              </w:rPr>
              <w:t>E</w:t>
            </w:r>
            <w:r w:rsidRPr="00016AF4">
              <w:rPr>
                <w:rStyle w:val="Corpsdetexte12Car"/>
                <w:color w:val="000000" w:themeColor="text1"/>
                <w:sz w:val="22"/>
                <w:szCs w:val="22"/>
                <w:vertAlign w:val="superscript"/>
                <w:lang w:val="fr-FR"/>
              </w:rPr>
              <w:t>-7</w:t>
            </w:r>
          </w:p>
        </w:tc>
        <w:tc>
          <w:tcPr>
            <w:tcW w:w="1985" w:type="dxa"/>
            <w:tcBorders>
              <w:top w:val="single" w:sz="6" w:space="0" w:color="auto"/>
              <w:left w:val="single" w:sz="6" w:space="0" w:color="auto"/>
              <w:bottom w:val="single" w:sz="6" w:space="0" w:color="auto"/>
              <w:right w:val="single" w:sz="6" w:space="0" w:color="auto"/>
            </w:tcBorders>
            <w:vAlign w:val="center"/>
            <w:hideMark/>
          </w:tcPr>
          <w:p w:rsidR="00D35AB0" w:rsidRPr="00016AF4" w:rsidRDefault="00D35AB0" w:rsidP="00F66695">
            <w:pPr>
              <w:pStyle w:val="Corpsdetexte12retrait5mm"/>
              <w:spacing w:line="254" w:lineRule="auto"/>
              <w:jc w:val="center"/>
              <w:rPr>
                <w:rStyle w:val="Corpsdetexte12Car"/>
                <w:color w:val="000000" w:themeColor="text1"/>
                <w:sz w:val="22"/>
                <w:szCs w:val="22"/>
                <w:lang w:val="fr-FR"/>
              </w:rPr>
            </w:pPr>
            <w:r w:rsidRPr="00016AF4">
              <w:rPr>
                <w:rStyle w:val="Corpsdetexte12Car"/>
                <w:color w:val="000000" w:themeColor="text1"/>
                <w:sz w:val="22"/>
                <w:szCs w:val="22"/>
                <w:lang w:val="fr-FR"/>
              </w:rPr>
              <w:t>2</w:t>
            </w:r>
            <w:r>
              <w:rPr>
                <w:rStyle w:val="Corpsdetexte12Car"/>
                <w:color w:val="000000" w:themeColor="text1"/>
                <w:sz w:val="22"/>
                <w:szCs w:val="22"/>
                <w:lang w:val="fr-FR"/>
              </w:rPr>
              <w:t xml:space="preserve"> </w:t>
            </w:r>
            <w:r w:rsidRPr="00016AF4">
              <w:rPr>
                <w:rStyle w:val="Corpsdetexte12Car"/>
                <w:color w:val="000000" w:themeColor="text1"/>
                <w:sz w:val="22"/>
                <w:szCs w:val="22"/>
                <w:lang w:val="fr-FR"/>
              </w:rPr>
              <w:t>E</w:t>
            </w:r>
            <w:r w:rsidRPr="00016AF4">
              <w:rPr>
                <w:rStyle w:val="Corpsdetexte12Car"/>
                <w:color w:val="000000" w:themeColor="text1"/>
                <w:sz w:val="22"/>
                <w:szCs w:val="22"/>
                <w:vertAlign w:val="superscript"/>
                <w:lang w:val="fr-FR"/>
              </w:rPr>
              <w:t>-10</w:t>
            </w:r>
            <w:r w:rsidRPr="00016AF4">
              <w:rPr>
                <w:rStyle w:val="Corpsdetexte12Car"/>
                <w:color w:val="000000" w:themeColor="text1"/>
                <w:sz w:val="22"/>
                <w:szCs w:val="22"/>
                <w:lang w:val="fr-FR"/>
              </w:rPr>
              <w:t xml:space="preserve"> à 1</w:t>
            </w:r>
            <w:r>
              <w:rPr>
                <w:rStyle w:val="Corpsdetexte12Car"/>
                <w:color w:val="000000" w:themeColor="text1"/>
                <w:sz w:val="22"/>
                <w:szCs w:val="22"/>
                <w:lang w:val="fr-FR"/>
              </w:rPr>
              <w:t xml:space="preserve"> </w:t>
            </w:r>
            <w:r w:rsidRPr="00016AF4">
              <w:rPr>
                <w:rStyle w:val="Corpsdetexte12Car"/>
                <w:color w:val="000000" w:themeColor="text1"/>
                <w:sz w:val="22"/>
                <w:szCs w:val="22"/>
                <w:lang w:val="fr-FR"/>
              </w:rPr>
              <w:t>E</w:t>
            </w:r>
            <w:r w:rsidRPr="00016AF4">
              <w:rPr>
                <w:rStyle w:val="Corpsdetexte12Car"/>
                <w:color w:val="000000" w:themeColor="text1"/>
                <w:sz w:val="22"/>
                <w:szCs w:val="22"/>
                <w:vertAlign w:val="superscript"/>
                <w:lang w:val="fr-FR"/>
              </w:rPr>
              <w:t>-8</w:t>
            </w:r>
          </w:p>
        </w:tc>
      </w:tr>
      <w:tr w:rsidR="00D35AB0" w:rsidRPr="00016AF4" w:rsidTr="00F66695">
        <w:trPr>
          <w:trHeight w:val="224"/>
          <w:jc w:val="center"/>
        </w:trPr>
        <w:tc>
          <w:tcPr>
            <w:tcW w:w="3596" w:type="dxa"/>
            <w:gridSpan w:val="2"/>
            <w:tcBorders>
              <w:top w:val="single" w:sz="6" w:space="0" w:color="auto"/>
              <w:left w:val="single" w:sz="6" w:space="0" w:color="auto"/>
              <w:bottom w:val="single" w:sz="6" w:space="0" w:color="auto"/>
              <w:right w:val="single" w:sz="6" w:space="0" w:color="auto"/>
            </w:tcBorders>
            <w:vAlign w:val="center"/>
            <w:hideMark/>
          </w:tcPr>
          <w:p w:rsidR="00D35AB0" w:rsidRPr="00016AF4" w:rsidRDefault="00D35AB0" w:rsidP="00F66695">
            <w:pPr>
              <w:pStyle w:val="Corpsdetexte12retrait5mm"/>
              <w:spacing w:line="254" w:lineRule="auto"/>
              <w:jc w:val="center"/>
              <w:rPr>
                <w:rStyle w:val="Corpsdetexte12Car"/>
                <w:color w:val="000000" w:themeColor="text1"/>
                <w:sz w:val="22"/>
                <w:szCs w:val="22"/>
                <w:lang w:val="fr-FR"/>
              </w:rPr>
            </w:pPr>
            <w:r w:rsidRPr="00016AF4">
              <w:rPr>
                <w:rStyle w:val="Corpsdetexte12Car"/>
                <w:color w:val="000000" w:themeColor="text1"/>
                <w:sz w:val="22"/>
                <w:szCs w:val="22"/>
                <w:lang w:val="fr-FR"/>
              </w:rPr>
              <w:t>Marnes et Caillasses</w:t>
            </w:r>
          </w:p>
        </w:tc>
        <w:tc>
          <w:tcPr>
            <w:tcW w:w="2066" w:type="dxa"/>
            <w:tcBorders>
              <w:top w:val="single" w:sz="6" w:space="0" w:color="auto"/>
              <w:left w:val="single" w:sz="6" w:space="0" w:color="auto"/>
              <w:bottom w:val="single" w:sz="6" w:space="0" w:color="auto"/>
              <w:right w:val="single" w:sz="6" w:space="0" w:color="auto"/>
            </w:tcBorders>
            <w:vAlign w:val="center"/>
            <w:hideMark/>
          </w:tcPr>
          <w:p w:rsidR="00D35AB0" w:rsidRPr="00016AF4" w:rsidRDefault="00D35AB0" w:rsidP="00F66695">
            <w:pPr>
              <w:pStyle w:val="Corpsdetexte12retrait5mm"/>
              <w:spacing w:line="254" w:lineRule="auto"/>
              <w:jc w:val="center"/>
              <w:rPr>
                <w:rStyle w:val="Corpsdetexte12Car"/>
                <w:color w:val="000000" w:themeColor="text1"/>
                <w:sz w:val="22"/>
                <w:szCs w:val="22"/>
                <w:lang w:val="fr-FR"/>
              </w:rPr>
            </w:pPr>
            <w:r w:rsidRPr="00016AF4">
              <w:rPr>
                <w:rStyle w:val="Corpsdetexte12Car"/>
                <w:color w:val="000000" w:themeColor="text1"/>
                <w:sz w:val="22"/>
                <w:szCs w:val="22"/>
                <w:lang w:val="fr-FR"/>
              </w:rPr>
              <w:t>5</w:t>
            </w:r>
            <w:r>
              <w:rPr>
                <w:rStyle w:val="Corpsdetexte12Car"/>
                <w:color w:val="000000" w:themeColor="text1"/>
                <w:sz w:val="22"/>
                <w:szCs w:val="22"/>
                <w:lang w:val="fr-FR"/>
              </w:rPr>
              <w:t xml:space="preserve"> </w:t>
            </w:r>
            <w:r w:rsidRPr="00016AF4">
              <w:rPr>
                <w:rStyle w:val="Corpsdetexte12Car"/>
                <w:color w:val="000000" w:themeColor="text1"/>
                <w:sz w:val="22"/>
                <w:szCs w:val="22"/>
                <w:lang w:val="fr-FR"/>
              </w:rPr>
              <w:t>E</w:t>
            </w:r>
            <w:r w:rsidRPr="00016AF4">
              <w:rPr>
                <w:rStyle w:val="Corpsdetexte12Car"/>
                <w:color w:val="000000" w:themeColor="text1"/>
                <w:sz w:val="22"/>
                <w:szCs w:val="22"/>
                <w:vertAlign w:val="superscript"/>
                <w:lang w:val="fr-FR"/>
              </w:rPr>
              <w:t>-5</w:t>
            </w:r>
            <w:r w:rsidRPr="00016AF4">
              <w:rPr>
                <w:rStyle w:val="Corpsdetexte12Car"/>
                <w:color w:val="000000" w:themeColor="text1"/>
                <w:sz w:val="22"/>
                <w:szCs w:val="22"/>
                <w:lang w:val="fr-FR"/>
              </w:rPr>
              <w:t xml:space="preserve"> à 5</w:t>
            </w:r>
            <w:r>
              <w:rPr>
                <w:rStyle w:val="Corpsdetexte12Car"/>
                <w:color w:val="000000" w:themeColor="text1"/>
                <w:sz w:val="22"/>
                <w:szCs w:val="22"/>
                <w:lang w:val="fr-FR"/>
              </w:rPr>
              <w:t xml:space="preserve"> </w:t>
            </w:r>
            <w:r w:rsidRPr="00016AF4">
              <w:rPr>
                <w:rStyle w:val="Corpsdetexte12Car"/>
                <w:color w:val="000000" w:themeColor="text1"/>
                <w:sz w:val="22"/>
                <w:szCs w:val="22"/>
                <w:lang w:val="fr-FR"/>
              </w:rPr>
              <w:t>E</w:t>
            </w:r>
            <w:r w:rsidRPr="00016AF4">
              <w:rPr>
                <w:rStyle w:val="Corpsdetexte12Car"/>
                <w:color w:val="000000" w:themeColor="text1"/>
                <w:sz w:val="22"/>
                <w:szCs w:val="22"/>
                <w:vertAlign w:val="superscript"/>
                <w:lang w:val="fr-FR"/>
              </w:rPr>
              <w:t>-4</w:t>
            </w:r>
          </w:p>
        </w:tc>
        <w:tc>
          <w:tcPr>
            <w:tcW w:w="1985" w:type="dxa"/>
            <w:tcBorders>
              <w:top w:val="single" w:sz="6" w:space="0" w:color="auto"/>
              <w:left w:val="single" w:sz="6" w:space="0" w:color="auto"/>
              <w:bottom w:val="single" w:sz="6" w:space="0" w:color="auto"/>
              <w:right w:val="single" w:sz="6" w:space="0" w:color="auto"/>
            </w:tcBorders>
            <w:vAlign w:val="center"/>
            <w:hideMark/>
          </w:tcPr>
          <w:p w:rsidR="00D35AB0" w:rsidRPr="00016AF4" w:rsidRDefault="00D35AB0" w:rsidP="00F66695">
            <w:pPr>
              <w:pStyle w:val="Corpsdetexte12retrait5mm"/>
              <w:spacing w:line="254" w:lineRule="auto"/>
              <w:jc w:val="center"/>
              <w:rPr>
                <w:rStyle w:val="Corpsdetexte12Car"/>
                <w:color w:val="000000" w:themeColor="text1"/>
                <w:sz w:val="22"/>
                <w:szCs w:val="22"/>
                <w:lang w:val="fr-FR"/>
              </w:rPr>
            </w:pPr>
            <w:r w:rsidRPr="00016AF4">
              <w:rPr>
                <w:rStyle w:val="Corpsdetexte12Car"/>
                <w:color w:val="000000" w:themeColor="text1"/>
                <w:sz w:val="22"/>
                <w:szCs w:val="22"/>
                <w:lang w:val="fr-FR"/>
              </w:rPr>
              <w:t>1</w:t>
            </w:r>
            <w:r>
              <w:rPr>
                <w:rStyle w:val="Corpsdetexte12Car"/>
                <w:color w:val="000000" w:themeColor="text1"/>
                <w:sz w:val="22"/>
                <w:szCs w:val="22"/>
                <w:lang w:val="fr-FR"/>
              </w:rPr>
              <w:t xml:space="preserve"> </w:t>
            </w:r>
            <w:r w:rsidRPr="00016AF4">
              <w:rPr>
                <w:rStyle w:val="Corpsdetexte12Car"/>
                <w:color w:val="000000" w:themeColor="text1"/>
                <w:sz w:val="22"/>
                <w:szCs w:val="22"/>
                <w:lang w:val="fr-FR"/>
              </w:rPr>
              <w:t>E</w:t>
            </w:r>
            <w:r w:rsidRPr="00016AF4">
              <w:rPr>
                <w:rStyle w:val="Corpsdetexte12Car"/>
                <w:color w:val="000000" w:themeColor="text1"/>
                <w:sz w:val="22"/>
                <w:szCs w:val="22"/>
                <w:vertAlign w:val="superscript"/>
                <w:lang w:val="fr-FR"/>
              </w:rPr>
              <w:t>-5</w:t>
            </w:r>
            <w:r w:rsidRPr="00016AF4">
              <w:rPr>
                <w:rStyle w:val="Corpsdetexte12Car"/>
                <w:color w:val="000000" w:themeColor="text1"/>
                <w:sz w:val="22"/>
                <w:szCs w:val="22"/>
                <w:lang w:val="fr-FR"/>
              </w:rPr>
              <w:t xml:space="preserve"> à 5</w:t>
            </w:r>
            <w:r>
              <w:rPr>
                <w:rStyle w:val="Corpsdetexte12Car"/>
                <w:color w:val="000000" w:themeColor="text1"/>
                <w:sz w:val="22"/>
                <w:szCs w:val="22"/>
                <w:lang w:val="fr-FR"/>
              </w:rPr>
              <w:t xml:space="preserve"> </w:t>
            </w:r>
            <w:r w:rsidRPr="00016AF4">
              <w:rPr>
                <w:rStyle w:val="Corpsdetexte12Car"/>
                <w:color w:val="000000" w:themeColor="text1"/>
                <w:sz w:val="22"/>
                <w:szCs w:val="22"/>
                <w:lang w:val="fr-FR"/>
              </w:rPr>
              <w:t>E</w:t>
            </w:r>
            <w:r w:rsidRPr="00016AF4">
              <w:rPr>
                <w:rStyle w:val="Corpsdetexte12Car"/>
                <w:color w:val="000000" w:themeColor="text1"/>
                <w:sz w:val="22"/>
                <w:szCs w:val="22"/>
                <w:vertAlign w:val="superscript"/>
                <w:lang w:val="fr-FR"/>
              </w:rPr>
              <w:t>-4</w:t>
            </w:r>
          </w:p>
        </w:tc>
      </w:tr>
    </w:tbl>
    <w:p w:rsidR="00D35AB0" w:rsidRPr="00016AF4" w:rsidRDefault="00D35AB0" w:rsidP="00D35AB0">
      <w:pPr>
        <w:pStyle w:val="Corpsdetexte12retrait5mm"/>
        <w:ind w:firstLine="357"/>
        <w:rPr>
          <w:rStyle w:val="Corpsdetexte12Car"/>
          <w:lang w:val="fr-FR"/>
        </w:rPr>
      </w:pPr>
      <w:r w:rsidRPr="00016AF4">
        <w:rPr>
          <w:rStyle w:val="Corpsdetexte12Car"/>
          <w:lang w:val="fr-FR"/>
        </w:rPr>
        <w:t>Les principales difficultés sont liées à la réalisation de creusement sur des fronts mixtes (SO/SB, SB/MC ou MC/CG) qui ne sont pas traités par la même technique et à l’hétérogénéité des terrains rencontrés. En particulier, dans les SB : des alternances de couches grésifiées, sableuses et argileuses. Cette configuration géologique complexe a justifié la réalisation d’un puits d’essai préalable (Giroux 2021).</w:t>
      </w:r>
    </w:p>
    <w:p w:rsidR="00D35AB0" w:rsidRPr="00016AF4" w:rsidRDefault="00D35AB0" w:rsidP="00D35AB0">
      <w:pPr>
        <w:spacing w:after="160" w:line="259" w:lineRule="auto"/>
        <w:rPr>
          <w:rStyle w:val="Corpsdetexte12Car"/>
          <w:iCs/>
          <w:lang w:val="fr-FR"/>
        </w:rPr>
      </w:pPr>
    </w:p>
    <w:p w:rsidR="00D35AB0" w:rsidRPr="00016AF4" w:rsidRDefault="00D35AB0" w:rsidP="00D35AB0">
      <w:pPr>
        <w:pStyle w:val="Titre1"/>
        <w:rPr>
          <w:lang w:val="fr-FR"/>
        </w:rPr>
      </w:pPr>
      <w:r w:rsidRPr="00016AF4">
        <w:rPr>
          <w:lang w:val="fr-FR"/>
        </w:rPr>
        <w:t>Techniques et contrôles associés</w:t>
      </w:r>
    </w:p>
    <w:p w:rsidR="00D35AB0" w:rsidRPr="00016AF4" w:rsidRDefault="00D35AB0" w:rsidP="00D35AB0">
      <w:pPr>
        <w:pStyle w:val="Titre2"/>
        <w:numPr>
          <w:ilvl w:val="1"/>
          <w:numId w:val="1"/>
        </w:numPr>
      </w:pPr>
      <w:r w:rsidRPr="00016AF4">
        <w:t>Traitements de terrain appliqués au projet</w:t>
      </w:r>
    </w:p>
    <w:p w:rsidR="00D35AB0" w:rsidRPr="00016AF4" w:rsidRDefault="00D35AB0" w:rsidP="00D35AB0">
      <w:pPr>
        <w:pStyle w:val="Corpsdetexte12retrait5mm"/>
        <w:rPr>
          <w:rStyle w:val="Corpsdetexte12Car"/>
          <w:lang w:val="fr-FR"/>
        </w:rPr>
      </w:pPr>
      <w:r w:rsidRPr="00016AF4">
        <w:rPr>
          <w:rStyle w:val="Corpsdetexte12Car"/>
          <w:lang w:val="fr-FR"/>
        </w:rPr>
        <w:t>Les traitement</w:t>
      </w:r>
      <w:r>
        <w:rPr>
          <w:rStyle w:val="Corpsdetexte12Car"/>
          <w:lang w:val="fr-FR"/>
        </w:rPr>
        <w:t>s</w:t>
      </w:r>
      <w:r w:rsidRPr="00016AF4">
        <w:rPr>
          <w:rStyle w:val="Corpsdetexte12Car"/>
          <w:lang w:val="fr-FR"/>
        </w:rPr>
        <w:t xml:space="preserve"> utilisés sont le </w:t>
      </w:r>
      <w:r>
        <w:rPr>
          <w:rStyle w:val="Corpsdetexte12Car"/>
          <w:lang w:val="fr-FR"/>
        </w:rPr>
        <w:t>jet-grouting</w:t>
      </w:r>
      <w:r w:rsidRPr="00016AF4">
        <w:rPr>
          <w:rStyle w:val="Corpsdetexte12Car"/>
          <w:lang w:val="fr-FR"/>
        </w:rPr>
        <w:t xml:space="preserve"> pour les faciès sableux (SB) et les injections répétitives et sélectives IRS pour les terrains marneux à calcaires (SO, MC, CG). La plupart des traitements sont situés à l’interface entre deux formations différentes (SO, SB et MC). Dans ce cas, un traitement mixte avec un recouvrement d’un mètre entre les deux techniques est nécessaire pour assurer une bonne transition à l’interface (cf. </w:t>
      </w:r>
      <w:r w:rsidRPr="00016AF4">
        <w:rPr>
          <w:rStyle w:val="Corpsdetexte12Car"/>
          <w:lang w:val="fr-FR"/>
        </w:rPr>
        <w:fldChar w:fldCharType="begin"/>
      </w:r>
      <w:r w:rsidRPr="00016AF4">
        <w:rPr>
          <w:rStyle w:val="Corpsdetexte12Car"/>
          <w:lang w:val="fr-FR"/>
        </w:rPr>
        <w:instrText xml:space="preserve"> REF _Ref93056994 \h </w:instrText>
      </w:r>
      <w:r w:rsidRPr="00016AF4">
        <w:rPr>
          <w:rStyle w:val="Corpsdetexte12Car"/>
          <w:lang w:val="fr-FR"/>
        </w:rPr>
      </w:r>
      <w:r w:rsidRPr="00016AF4">
        <w:rPr>
          <w:rStyle w:val="Corpsdetexte12Car"/>
          <w:lang w:val="fr-FR"/>
        </w:rPr>
        <w:fldChar w:fldCharType="separate"/>
      </w:r>
      <w:r w:rsidRPr="00016AF4">
        <w:t xml:space="preserve">Figure </w:t>
      </w:r>
      <w:r>
        <w:rPr>
          <w:noProof/>
        </w:rPr>
        <w:t>3</w:t>
      </w:r>
      <w:r w:rsidRPr="00016AF4">
        <w:rPr>
          <w:rStyle w:val="Corpsdetexte12Car"/>
          <w:lang w:val="fr-FR"/>
        </w:rPr>
        <w:fldChar w:fldCharType="end"/>
      </w:r>
      <w:r w:rsidRPr="00016AF4">
        <w:rPr>
          <w:rStyle w:val="Corpsdetexte12Car"/>
          <w:lang w:val="fr-FR"/>
        </w:rPr>
        <w:t>).</w:t>
      </w:r>
      <w:r w:rsidRPr="00016AF4">
        <w:rPr>
          <w:lang w:val="fr-FR"/>
        </w:rPr>
        <w:t xml:space="preserve"> </w:t>
      </w:r>
      <w:r w:rsidRPr="00016AF4">
        <w:rPr>
          <w:rStyle w:val="Corpsdetexte12Car"/>
          <w:lang w:val="fr-FR"/>
        </w:rPr>
        <w:t>Les traitements de sols sont utilisés pour maitriser les venues d’eau lors du creusement des rameaux ou des entrées / sorties en terre des TBM. Ils préviennent également les phénomènes de break in (stabilité du front de taille lorsque le TBM entre en terre) et break out (inondations ou débourrage lors de l’entrée en station du TBM).</w:t>
      </w:r>
      <w:r>
        <w:rPr>
          <w:rStyle w:val="Corpsdetexte12Car"/>
          <w:lang w:val="fr-FR"/>
        </w:rPr>
        <w:t xml:space="preserve"> A</w:t>
      </w:r>
      <w:r w:rsidRPr="00016AF4">
        <w:rPr>
          <w:rStyle w:val="Corpsdetexte12Car"/>
          <w:lang w:val="fr-FR"/>
        </w:rPr>
        <w:t xml:space="preserve">fin de garantir un bon collage entre le bouchon et la paroi moulée, le traitement du sol est préférentiellement effectué après la paroi moulée. Dans certains cas, en raison des contraintes de planification chantier, le traitement du bouchon a dû être réalisé en premier. C’est le cas pour l’Ouvrage Annexe OA 401P : des colonnes de </w:t>
      </w:r>
      <w:r>
        <w:rPr>
          <w:rStyle w:val="Corpsdetexte12Car"/>
          <w:lang w:val="fr-FR"/>
        </w:rPr>
        <w:t>jet-grouting</w:t>
      </w:r>
      <w:r w:rsidRPr="00016AF4">
        <w:rPr>
          <w:rStyle w:val="Corpsdetexte12Car"/>
          <w:lang w:val="fr-FR"/>
        </w:rPr>
        <w:t xml:space="preserve"> ont été créées à cheval (cf. colonnes vertes </w:t>
      </w:r>
      <w:r w:rsidRPr="00016AF4">
        <w:rPr>
          <w:rStyle w:val="Corpsdetexte12Car"/>
          <w:lang w:val="fr-FR"/>
        </w:rPr>
        <w:fldChar w:fldCharType="begin"/>
      </w:r>
      <w:r w:rsidRPr="00016AF4">
        <w:rPr>
          <w:rStyle w:val="Corpsdetexte12Car"/>
          <w:lang w:val="fr-FR"/>
        </w:rPr>
        <w:instrText xml:space="preserve"> REF _Ref93057008 \h </w:instrText>
      </w:r>
      <w:r w:rsidRPr="00016AF4">
        <w:rPr>
          <w:rStyle w:val="Corpsdetexte12Car"/>
          <w:lang w:val="fr-FR"/>
        </w:rPr>
      </w:r>
      <w:r w:rsidRPr="00016AF4">
        <w:rPr>
          <w:rStyle w:val="Corpsdetexte12Car"/>
          <w:lang w:val="fr-FR"/>
        </w:rPr>
        <w:fldChar w:fldCharType="separate"/>
      </w:r>
      <w:r w:rsidRPr="00016AF4">
        <w:t xml:space="preserve">Figure </w:t>
      </w:r>
      <w:r>
        <w:rPr>
          <w:noProof/>
        </w:rPr>
        <w:t>4</w:t>
      </w:r>
      <w:r w:rsidRPr="00016AF4">
        <w:rPr>
          <w:rStyle w:val="Corpsdetexte12Car"/>
          <w:lang w:val="fr-FR"/>
        </w:rPr>
        <w:fldChar w:fldCharType="end"/>
      </w:r>
      <w:r w:rsidRPr="00016AF4">
        <w:rPr>
          <w:rStyle w:val="Corpsdetexte12Car"/>
          <w:lang w:val="fr-FR"/>
        </w:rPr>
        <w:t xml:space="preserve"> et </w:t>
      </w:r>
      <w:r w:rsidRPr="00016AF4">
        <w:rPr>
          <w:rStyle w:val="Corpsdetexte12Car"/>
          <w:lang w:val="fr-FR"/>
        </w:rPr>
        <w:fldChar w:fldCharType="begin"/>
      </w:r>
      <w:r w:rsidRPr="00016AF4">
        <w:rPr>
          <w:rStyle w:val="Corpsdetexte12Car"/>
          <w:lang w:val="fr-FR"/>
        </w:rPr>
        <w:instrText xml:space="preserve"> REF _Ref93057018 \h </w:instrText>
      </w:r>
      <w:r w:rsidRPr="00016AF4">
        <w:rPr>
          <w:rStyle w:val="Corpsdetexte12Car"/>
          <w:lang w:val="fr-FR"/>
        </w:rPr>
      </w:r>
      <w:r w:rsidRPr="00016AF4">
        <w:rPr>
          <w:rStyle w:val="Corpsdetexte12Car"/>
          <w:lang w:val="fr-FR"/>
        </w:rPr>
        <w:fldChar w:fldCharType="separate"/>
      </w:r>
      <w:r w:rsidRPr="00016AF4">
        <w:t xml:space="preserve">Figure </w:t>
      </w:r>
      <w:r>
        <w:rPr>
          <w:noProof/>
        </w:rPr>
        <w:t>5</w:t>
      </w:r>
      <w:r w:rsidRPr="00016AF4">
        <w:rPr>
          <w:rStyle w:val="Corpsdetexte12Car"/>
          <w:lang w:val="fr-FR"/>
        </w:rPr>
        <w:fldChar w:fldCharType="end"/>
      </w:r>
      <w:r w:rsidRPr="00016AF4">
        <w:rPr>
          <w:rStyle w:val="Corpsdetexte12Car"/>
          <w:lang w:val="fr-FR"/>
        </w:rPr>
        <w:t>) des futures parois pour assurer l’étanchéité du traitement et pour éviter des déviations importantes de l’outil de forage lors de la réalisation des parois.</w:t>
      </w:r>
    </w:p>
    <w:p w:rsidR="00D35AB0" w:rsidRPr="00016AF4" w:rsidRDefault="00D35AB0" w:rsidP="00D35AB0">
      <w:pPr>
        <w:pStyle w:val="Corpsdetexte12retrait5mm"/>
        <w:jc w:val="center"/>
        <w:rPr>
          <w:rStyle w:val="Corpsdetexte12Car"/>
          <w:lang w:val="fr-FR"/>
        </w:rPr>
      </w:pPr>
      <w:r w:rsidRPr="00016AF4">
        <w:rPr>
          <w:rStyle w:val="Corpsdetexte12Car"/>
          <w:noProof/>
          <w:lang w:val="fr-FR" w:eastAsia="fr-FR"/>
        </w:rPr>
        <w:lastRenderedPageBreak/>
        <w:drawing>
          <wp:inline distT="0" distB="0" distL="0" distR="0" wp14:anchorId="2218E27E" wp14:editId="2FB5CA00">
            <wp:extent cx="5404104" cy="2458129"/>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trnguyen\Desktop\GEO\Article - Grand Paris Express\JNGG 2022\Brouillon\Photos\Coupe de traitement.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15003" cy="2463086"/>
                    </a:xfrm>
                    <a:prstGeom prst="rect">
                      <a:avLst/>
                    </a:prstGeom>
                    <a:noFill/>
                    <a:ln>
                      <a:noFill/>
                    </a:ln>
                  </pic:spPr>
                </pic:pic>
              </a:graphicData>
            </a:graphic>
          </wp:inline>
        </w:drawing>
      </w:r>
    </w:p>
    <w:p w:rsidR="00D35AB0" w:rsidRPr="00016AF4" w:rsidRDefault="00D35AB0" w:rsidP="00D35AB0">
      <w:pPr>
        <w:pStyle w:val="titredefigure"/>
        <w:spacing w:before="0"/>
      </w:pPr>
      <w:bookmarkStart w:id="4" w:name="_Ref93056994"/>
      <w:r w:rsidRPr="00016AF4">
        <w:t xml:space="preserve">Figure </w:t>
      </w:r>
      <w:r w:rsidRPr="00016AF4">
        <w:rPr>
          <w:noProof/>
        </w:rPr>
        <w:fldChar w:fldCharType="begin"/>
      </w:r>
      <w:r w:rsidRPr="00016AF4">
        <w:rPr>
          <w:noProof/>
        </w:rPr>
        <w:instrText xml:space="preserve"> SEQ Figure \* ARABIC </w:instrText>
      </w:r>
      <w:r w:rsidRPr="00016AF4">
        <w:rPr>
          <w:noProof/>
        </w:rPr>
        <w:fldChar w:fldCharType="separate"/>
      </w:r>
      <w:r>
        <w:rPr>
          <w:noProof/>
        </w:rPr>
        <w:t>3</w:t>
      </w:r>
      <w:r w:rsidRPr="00016AF4">
        <w:rPr>
          <w:noProof/>
        </w:rPr>
        <w:fldChar w:fldCharType="end"/>
      </w:r>
      <w:bookmarkEnd w:id="4"/>
      <w:r w:rsidRPr="00016AF4">
        <w:t> : Coupe longitudinale d’un traitement mixte type - Eiffage</w:t>
      </w:r>
    </w:p>
    <w:p w:rsidR="00D35AB0" w:rsidRPr="00016AF4" w:rsidRDefault="00D35AB0" w:rsidP="00D35AB0">
      <w:pPr>
        <w:pStyle w:val="Corpsdetexte12retrait5mm"/>
        <w:jc w:val="center"/>
        <w:rPr>
          <w:rStyle w:val="Corpsdetexte12Car"/>
          <w:lang w:val="fr-FR"/>
        </w:rPr>
      </w:pPr>
      <w:r w:rsidRPr="00016AF4">
        <w:rPr>
          <w:noProof/>
          <w:lang w:val="fr-FR" w:eastAsia="fr-FR"/>
        </w:rPr>
        <w:drawing>
          <wp:inline distT="0" distB="0" distL="0" distR="0" wp14:anchorId="6C132DC0" wp14:editId="36CF1117">
            <wp:extent cx="3235727" cy="1645920"/>
            <wp:effectExtent l="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bwMode="auto">
                    <a:xfrm>
                      <a:off x="0" y="0"/>
                      <a:ext cx="3235727" cy="1645920"/>
                    </a:xfrm>
                    <a:prstGeom prst="rect">
                      <a:avLst/>
                    </a:prstGeom>
                    <a:ln>
                      <a:noFill/>
                    </a:ln>
                    <a:extLst>
                      <a:ext uri="{53640926-AAD7-44D8-BBD7-CCE9431645EC}">
                        <a14:shadowObscured xmlns:a14="http://schemas.microsoft.com/office/drawing/2010/main"/>
                      </a:ext>
                    </a:extLst>
                  </pic:spPr>
                </pic:pic>
              </a:graphicData>
            </a:graphic>
          </wp:inline>
        </w:drawing>
      </w:r>
    </w:p>
    <w:p w:rsidR="00D35AB0" w:rsidRPr="00016AF4" w:rsidRDefault="00D35AB0" w:rsidP="00D35AB0">
      <w:pPr>
        <w:pStyle w:val="titredefigure"/>
        <w:spacing w:before="0"/>
      </w:pPr>
      <w:bookmarkStart w:id="5" w:name="_Ref93057008"/>
      <w:r w:rsidRPr="00016AF4">
        <w:t xml:space="preserve">Figure </w:t>
      </w:r>
      <w:r w:rsidRPr="00016AF4">
        <w:rPr>
          <w:noProof/>
        </w:rPr>
        <w:fldChar w:fldCharType="begin"/>
      </w:r>
      <w:r w:rsidRPr="00016AF4">
        <w:rPr>
          <w:noProof/>
        </w:rPr>
        <w:instrText xml:space="preserve"> SEQ Figure \* ARABIC </w:instrText>
      </w:r>
      <w:r w:rsidRPr="00016AF4">
        <w:rPr>
          <w:noProof/>
        </w:rPr>
        <w:fldChar w:fldCharType="separate"/>
      </w:r>
      <w:r>
        <w:rPr>
          <w:noProof/>
        </w:rPr>
        <w:t>4</w:t>
      </w:r>
      <w:r w:rsidRPr="00016AF4">
        <w:rPr>
          <w:noProof/>
        </w:rPr>
        <w:fldChar w:fldCharType="end"/>
      </w:r>
      <w:bookmarkEnd w:id="5"/>
      <w:r w:rsidRPr="00016AF4">
        <w:t xml:space="preserve"> : Vue en plan du traitement en jet + colonnes vertes (OA 401P) – Webuild-NGE GC</w:t>
      </w:r>
    </w:p>
    <w:p w:rsidR="00D35AB0" w:rsidRPr="00016AF4" w:rsidRDefault="00D35AB0" w:rsidP="00D35AB0">
      <w:pPr>
        <w:pStyle w:val="titredefigure"/>
        <w:spacing w:before="0"/>
      </w:pPr>
      <w:r w:rsidRPr="00016AF4">
        <w:rPr>
          <w:noProof/>
        </w:rPr>
        <w:drawing>
          <wp:inline distT="0" distB="0" distL="0" distR="0" wp14:anchorId="40CF8063" wp14:editId="737D386B">
            <wp:extent cx="5504876" cy="1814107"/>
            <wp:effectExtent l="0" t="0" r="6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04876" cy="1814107"/>
                    </a:xfrm>
                    <a:prstGeom prst="rect">
                      <a:avLst/>
                    </a:prstGeom>
                    <a:ln>
                      <a:noFill/>
                    </a:ln>
                    <a:extLst>
                      <a:ext uri="{53640926-AAD7-44D8-BBD7-CCE9431645EC}">
                        <a14:shadowObscured xmlns:a14="http://schemas.microsoft.com/office/drawing/2010/main"/>
                      </a:ext>
                    </a:extLst>
                  </pic:spPr>
                </pic:pic>
              </a:graphicData>
            </a:graphic>
          </wp:inline>
        </w:drawing>
      </w:r>
    </w:p>
    <w:p w:rsidR="00D35AB0" w:rsidRPr="00016AF4" w:rsidRDefault="00D35AB0" w:rsidP="00D35AB0">
      <w:pPr>
        <w:pStyle w:val="titredefigure"/>
        <w:spacing w:before="0"/>
      </w:pPr>
      <w:bookmarkStart w:id="6" w:name="_Ref93057018"/>
      <w:r w:rsidRPr="00016AF4">
        <w:t xml:space="preserve">Figure </w:t>
      </w:r>
      <w:r w:rsidRPr="00016AF4">
        <w:rPr>
          <w:noProof/>
        </w:rPr>
        <w:fldChar w:fldCharType="begin"/>
      </w:r>
      <w:r w:rsidRPr="00016AF4">
        <w:rPr>
          <w:noProof/>
        </w:rPr>
        <w:instrText xml:space="preserve"> SEQ Figure \* ARABIC </w:instrText>
      </w:r>
      <w:r w:rsidRPr="00016AF4">
        <w:rPr>
          <w:noProof/>
        </w:rPr>
        <w:fldChar w:fldCharType="separate"/>
      </w:r>
      <w:r>
        <w:rPr>
          <w:noProof/>
        </w:rPr>
        <w:t>5</w:t>
      </w:r>
      <w:r w:rsidRPr="00016AF4">
        <w:rPr>
          <w:noProof/>
        </w:rPr>
        <w:fldChar w:fldCharType="end"/>
      </w:r>
      <w:bookmarkEnd w:id="6"/>
      <w:r w:rsidRPr="00016AF4">
        <w:t xml:space="preserve"> : Traitement E/S (a) du TBM : </w:t>
      </w:r>
      <w:r>
        <w:t>jet-grouting</w:t>
      </w:r>
      <w:r w:rsidRPr="00016AF4">
        <w:t xml:space="preserve"> (b) et IRS (c) (OA 401P) – Webuild-NGE GC</w:t>
      </w:r>
    </w:p>
    <w:p w:rsidR="00D35AB0" w:rsidRPr="00016AF4" w:rsidRDefault="00D35AB0" w:rsidP="00D35AB0">
      <w:pPr>
        <w:pStyle w:val="Corpsdetexte12retrait5mm"/>
        <w:ind w:firstLine="284"/>
        <w:rPr>
          <w:rStyle w:val="Corpsdetexte12Car"/>
          <w:lang w:val="fr-FR"/>
        </w:rPr>
      </w:pPr>
      <w:r w:rsidRPr="00016AF4">
        <w:rPr>
          <w:rStyle w:val="Corpsdetexte12Car"/>
          <w:lang w:val="fr-FR"/>
        </w:rPr>
        <w:t>L’impact de ces travaux</w:t>
      </w:r>
      <w:r>
        <w:rPr>
          <w:rStyle w:val="Corpsdetexte12Car"/>
          <w:lang w:val="fr-FR"/>
        </w:rPr>
        <w:t xml:space="preserve"> en surface</w:t>
      </w:r>
      <w:r w:rsidRPr="00016AF4">
        <w:rPr>
          <w:rStyle w:val="Corpsdetexte12Car"/>
          <w:lang w:val="fr-FR"/>
        </w:rPr>
        <w:t xml:space="preserve"> est contrôlé en continu par une instrumentation surveillant les mouvements pendant les phases d’injections avec alerte par mail dès le dépassement des seuils d’alertes.</w:t>
      </w:r>
    </w:p>
    <w:p w:rsidR="00D35AB0" w:rsidRPr="00016AF4" w:rsidRDefault="00D35AB0" w:rsidP="00D35AB0">
      <w:pPr>
        <w:pStyle w:val="Corpsdetexte12retrait5mm"/>
        <w:ind w:firstLine="284"/>
        <w:rPr>
          <w:rStyle w:val="Corpsdetexte12Car"/>
          <w:lang w:val="fr-FR"/>
        </w:rPr>
      </w:pPr>
      <w:r w:rsidRPr="00016AF4">
        <w:rPr>
          <w:rStyle w:val="Corpsdetexte12Car"/>
          <w:lang w:val="fr-FR"/>
        </w:rPr>
        <w:t>La méthode IRS (norme EN12715) consiste à injecter un coulis de ciment sous haute pression à l’aide d’un obturateur double dans un forage équipé de tube</w:t>
      </w:r>
      <w:r>
        <w:rPr>
          <w:rStyle w:val="Corpsdetexte12Car"/>
          <w:lang w:val="fr-FR"/>
        </w:rPr>
        <w:t>s</w:t>
      </w:r>
      <w:r w:rsidRPr="00016AF4">
        <w:rPr>
          <w:rStyle w:val="Corpsdetexte12Car"/>
          <w:lang w:val="fr-FR"/>
        </w:rPr>
        <w:t xml:space="preserve"> à manchettes préalablement scellés dans le terrain par un coulis de gaine. L’injection de chaque manchette est effectuée par phases successives espacées de 24h. Des critères d’arrêt de volume (selon l’indice des vides et le rayon d’action voulu) et de pression (type de terrain et contraintes environnementales – sensibilité des avoisinants) sont définis pour éviter les consommations de coulis importantes et les désordres en surface ou sur des structures enterrées proches. Le phasage des travaux est le suivant :</w:t>
      </w:r>
    </w:p>
    <w:p w:rsidR="00D35AB0" w:rsidRPr="00016AF4" w:rsidRDefault="00D35AB0" w:rsidP="00D35AB0">
      <w:pPr>
        <w:pStyle w:val="Corpsdetexte12retrait5mm"/>
        <w:numPr>
          <w:ilvl w:val="0"/>
          <w:numId w:val="7"/>
        </w:numPr>
        <w:rPr>
          <w:rStyle w:val="Corpsdetexte12Car"/>
          <w:lang w:val="fr-FR"/>
        </w:rPr>
      </w:pPr>
      <w:r w:rsidRPr="00016AF4">
        <w:rPr>
          <w:rStyle w:val="Corpsdetexte12Car"/>
          <w:lang w:val="fr-FR"/>
        </w:rPr>
        <w:t>Implantation et réalisation des forages ;</w:t>
      </w:r>
    </w:p>
    <w:p w:rsidR="00D35AB0" w:rsidRPr="00016AF4" w:rsidRDefault="00D35AB0" w:rsidP="00D35AB0">
      <w:pPr>
        <w:pStyle w:val="Corpsdetexte12retrait5mm"/>
        <w:numPr>
          <w:ilvl w:val="0"/>
          <w:numId w:val="7"/>
        </w:numPr>
        <w:rPr>
          <w:rStyle w:val="Corpsdetexte12Car"/>
          <w:lang w:val="fr-FR"/>
        </w:rPr>
      </w:pPr>
      <w:r w:rsidRPr="00016AF4">
        <w:rPr>
          <w:rStyle w:val="Corpsdetexte12Car"/>
          <w:lang w:val="fr-FR"/>
        </w:rPr>
        <w:lastRenderedPageBreak/>
        <w:t>Equipement des forages et injection coulis de gaine ;</w:t>
      </w:r>
    </w:p>
    <w:p w:rsidR="00D35AB0" w:rsidRPr="00016AF4" w:rsidRDefault="00D35AB0" w:rsidP="00D35AB0">
      <w:pPr>
        <w:pStyle w:val="Corpsdetexte12retrait5mm"/>
        <w:numPr>
          <w:ilvl w:val="0"/>
          <w:numId w:val="7"/>
        </w:numPr>
        <w:rPr>
          <w:rStyle w:val="Corpsdetexte12Car"/>
          <w:lang w:val="fr-FR"/>
        </w:rPr>
      </w:pPr>
      <w:r w:rsidRPr="00016AF4">
        <w:rPr>
          <w:rStyle w:val="Corpsdetexte12Car"/>
          <w:lang w:val="fr-FR"/>
        </w:rPr>
        <w:t>Injection de type IRS par passes remontantes de 33 cm ;</w:t>
      </w:r>
    </w:p>
    <w:p w:rsidR="00D35AB0" w:rsidRPr="00016AF4" w:rsidRDefault="00D35AB0" w:rsidP="00D35AB0">
      <w:pPr>
        <w:pStyle w:val="Corpsdetexte12retrait5mm"/>
        <w:numPr>
          <w:ilvl w:val="0"/>
          <w:numId w:val="7"/>
        </w:numPr>
        <w:rPr>
          <w:rStyle w:val="Corpsdetexte12Car"/>
          <w:lang w:val="fr-FR"/>
        </w:rPr>
      </w:pPr>
      <w:r w:rsidRPr="00016AF4">
        <w:rPr>
          <w:rStyle w:val="Corpsdetexte12Car"/>
          <w:lang w:val="fr-FR"/>
        </w:rPr>
        <w:t xml:space="preserve">Contrôle du bouchon par des forages carottés verticaux et des essais d’eaux. </w:t>
      </w:r>
    </w:p>
    <w:p w:rsidR="00D35AB0" w:rsidRPr="00016AF4" w:rsidRDefault="00D35AB0" w:rsidP="00D35AB0">
      <w:pPr>
        <w:pStyle w:val="Corpsdetexte12retrait5mm"/>
        <w:ind w:firstLine="284"/>
        <w:rPr>
          <w:rStyle w:val="Corpsdetexte12Car"/>
          <w:lang w:val="fr-FR"/>
        </w:rPr>
      </w:pPr>
      <w:r w:rsidRPr="00016AF4">
        <w:rPr>
          <w:rStyle w:val="Corpsdetexte12Car"/>
          <w:lang w:val="fr-FR"/>
        </w:rPr>
        <w:t>Les paramètres suivants ont été appliqués (Nguyen, Chalivat et al. 2022) :</w:t>
      </w:r>
    </w:p>
    <w:p w:rsidR="00D35AB0" w:rsidRPr="00016AF4" w:rsidRDefault="00D35AB0" w:rsidP="00D35AB0">
      <w:pPr>
        <w:pStyle w:val="Corpsdetexte12retrait5mm"/>
        <w:numPr>
          <w:ilvl w:val="0"/>
          <w:numId w:val="6"/>
        </w:numPr>
        <w:rPr>
          <w:rStyle w:val="Corpsdetexte12Car"/>
          <w:lang w:val="fr-FR"/>
        </w:rPr>
      </w:pPr>
      <w:r w:rsidRPr="00016AF4">
        <w:rPr>
          <w:rStyle w:val="Corpsdetexte12Car"/>
          <w:lang w:val="fr-FR"/>
        </w:rPr>
        <w:t>Maillage triangulaire (1,75 m pour les rameaux) à rectangulaire (2*2,25 m pour les bouchons d’entrée/sortie du tunnelier) ;</w:t>
      </w:r>
    </w:p>
    <w:p w:rsidR="00D35AB0" w:rsidRPr="00016AF4" w:rsidRDefault="00D35AB0" w:rsidP="00D35AB0">
      <w:pPr>
        <w:pStyle w:val="Corpsdetexte12retrait5mm"/>
        <w:numPr>
          <w:ilvl w:val="0"/>
          <w:numId w:val="6"/>
        </w:numPr>
        <w:rPr>
          <w:rStyle w:val="Corpsdetexte12Car"/>
          <w:lang w:val="fr-FR"/>
        </w:rPr>
      </w:pPr>
      <w:r w:rsidRPr="00016AF4">
        <w:rPr>
          <w:rStyle w:val="Corpsdetexte12Car"/>
          <w:lang w:val="fr-FR"/>
        </w:rPr>
        <w:t>Diamètre du forage : 90 à 180 mm en rotation simple sous fluide (eau ou coulis) ;</w:t>
      </w:r>
    </w:p>
    <w:p w:rsidR="00D35AB0" w:rsidRPr="00016AF4" w:rsidRDefault="00D35AB0" w:rsidP="00D35AB0">
      <w:pPr>
        <w:pStyle w:val="Corpsdetexte12retrait5mm"/>
        <w:numPr>
          <w:ilvl w:val="0"/>
          <w:numId w:val="6"/>
        </w:numPr>
        <w:rPr>
          <w:rStyle w:val="Corpsdetexte12Car"/>
          <w:lang w:val="fr-FR"/>
        </w:rPr>
      </w:pPr>
      <w:r w:rsidRPr="00016AF4">
        <w:rPr>
          <w:rStyle w:val="Corpsdetexte12Car"/>
          <w:lang w:val="fr-FR"/>
        </w:rPr>
        <w:t>Pression d’injection : 6 à 20 bars ;</w:t>
      </w:r>
    </w:p>
    <w:p w:rsidR="00D35AB0" w:rsidRPr="00016AF4" w:rsidRDefault="00D35AB0" w:rsidP="00D35AB0">
      <w:pPr>
        <w:pStyle w:val="Corpsdetexte12retrait5mm"/>
        <w:numPr>
          <w:ilvl w:val="0"/>
          <w:numId w:val="6"/>
        </w:numPr>
        <w:rPr>
          <w:rStyle w:val="Corpsdetexte12Car"/>
          <w:lang w:val="fr-FR"/>
        </w:rPr>
      </w:pPr>
      <w:r w:rsidRPr="00016AF4">
        <w:rPr>
          <w:rStyle w:val="Corpsdetexte12Car"/>
          <w:lang w:val="fr-FR"/>
        </w:rPr>
        <w:t>Volume d’injection moyen : 150 à 250 L/manchette</w:t>
      </w:r>
      <w:r>
        <w:rPr>
          <w:rStyle w:val="Corpsdetexte12Car"/>
          <w:lang w:val="fr-FR"/>
        </w:rPr>
        <w:t> ;</w:t>
      </w:r>
      <w:r w:rsidRPr="00016AF4">
        <w:rPr>
          <w:rStyle w:val="Corpsdetexte12Car"/>
          <w:lang w:val="fr-FR"/>
        </w:rPr>
        <w:t xml:space="preserve"> </w:t>
      </w:r>
    </w:p>
    <w:p w:rsidR="00D35AB0" w:rsidRPr="00016AF4" w:rsidRDefault="00D35AB0" w:rsidP="00D35AB0">
      <w:pPr>
        <w:pStyle w:val="Corpsdetexte12retrait5mm"/>
        <w:numPr>
          <w:ilvl w:val="0"/>
          <w:numId w:val="6"/>
        </w:numPr>
        <w:rPr>
          <w:rStyle w:val="Corpsdetexte12Car"/>
          <w:lang w:val="fr-FR"/>
        </w:rPr>
      </w:pPr>
      <w:r w:rsidRPr="00016AF4">
        <w:rPr>
          <w:rStyle w:val="Corpsdetexte12Car"/>
          <w:lang w:val="fr-FR"/>
        </w:rPr>
        <w:t xml:space="preserve">Critère d’arrêt : Pression (10 à 12 bars) et Volume (150 à 220 L). </w:t>
      </w:r>
    </w:p>
    <w:p w:rsidR="00D35AB0" w:rsidRPr="00016AF4" w:rsidRDefault="00D35AB0" w:rsidP="00D35AB0">
      <w:pPr>
        <w:pStyle w:val="Corpsdetexte12retrait5mm"/>
        <w:ind w:firstLine="284"/>
        <w:rPr>
          <w:rStyle w:val="Corpsdetexte12Car"/>
          <w:lang w:val="fr-FR"/>
        </w:rPr>
      </w:pPr>
      <w:r w:rsidRPr="00016AF4">
        <w:rPr>
          <w:rStyle w:val="Corpsdetexte12Car"/>
          <w:lang w:val="fr-FR"/>
        </w:rPr>
        <w:t xml:space="preserve">Un plot d’essai peut s’avérer nécessaire, selon la connaissance des terrains, pour caler les paramètres d’injection, le maillage et les caractéristiques du coulis d’injection (rhéologie). </w:t>
      </w:r>
    </w:p>
    <w:p w:rsidR="00D35AB0" w:rsidRPr="00016AF4" w:rsidRDefault="00D35AB0" w:rsidP="00D35AB0">
      <w:pPr>
        <w:pStyle w:val="Corpsdetexte12retrait5mm"/>
        <w:ind w:firstLine="284"/>
        <w:rPr>
          <w:rStyle w:val="Corpsdetexte12Car"/>
          <w:lang w:val="fr-FR"/>
        </w:rPr>
      </w:pPr>
      <w:r w:rsidRPr="00016AF4">
        <w:rPr>
          <w:rStyle w:val="Corpsdetexte12Car"/>
          <w:lang w:val="fr-FR"/>
        </w:rPr>
        <w:t xml:space="preserve">Le </w:t>
      </w:r>
      <w:r>
        <w:rPr>
          <w:rStyle w:val="Corpsdetexte12Car"/>
          <w:lang w:val="fr-FR"/>
        </w:rPr>
        <w:t>jet-grouting</w:t>
      </w:r>
      <w:r w:rsidRPr="00016AF4">
        <w:rPr>
          <w:rStyle w:val="Corpsdetexte12Car"/>
          <w:lang w:val="fr-FR"/>
        </w:rPr>
        <w:t xml:space="preserve"> est un « procédé de déstructuration hydraulique, de mélange et de substitution partielle d’un sol par un jet de fluide à haute énergie » (norme EN12716). La technique du jet double consistant à injecter un coulis de ciment entouré d’un jet d’air a été mise en œuvre sur la ligne 16. Le phasage des travaux est le suivant :</w:t>
      </w:r>
    </w:p>
    <w:p w:rsidR="00D35AB0" w:rsidRPr="00016AF4" w:rsidRDefault="00D35AB0" w:rsidP="00D35AB0">
      <w:pPr>
        <w:pStyle w:val="Corpsdetexte12retrait5mm"/>
        <w:numPr>
          <w:ilvl w:val="0"/>
          <w:numId w:val="5"/>
        </w:numPr>
        <w:rPr>
          <w:rStyle w:val="Corpsdetexte12Car"/>
          <w:lang w:val="fr-FR"/>
        </w:rPr>
      </w:pPr>
      <w:r w:rsidRPr="00016AF4">
        <w:rPr>
          <w:rStyle w:val="Corpsdetexte12Car"/>
          <w:lang w:val="fr-FR"/>
        </w:rPr>
        <w:t>Implantation et réalisation des forages ;</w:t>
      </w:r>
    </w:p>
    <w:p w:rsidR="00D35AB0" w:rsidRPr="00016AF4" w:rsidRDefault="00D35AB0" w:rsidP="00D35AB0">
      <w:pPr>
        <w:pStyle w:val="Corpsdetexte12retrait5mm"/>
        <w:numPr>
          <w:ilvl w:val="0"/>
          <w:numId w:val="5"/>
        </w:numPr>
        <w:rPr>
          <w:rStyle w:val="Corpsdetexte12Car"/>
          <w:lang w:val="fr-FR"/>
        </w:rPr>
      </w:pPr>
      <w:r w:rsidRPr="00016AF4">
        <w:rPr>
          <w:rStyle w:val="Corpsdetexte12Car"/>
          <w:lang w:val="fr-FR"/>
        </w:rPr>
        <w:t>Exécution de la colonne en remontant ;</w:t>
      </w:r>
    </w:p>
    <w:p w:rsidR="00D35AB0" w:rsidRPr="00016AF4" w:rsidRDefault="00D35AB0" w:rsidP="00D35AB0">
      <w:pPr>
        <w:pStyle w:val="Corpsdetexte12retrait5mm"/>
        <w:numPr>
          <w:ilvl w:val="0"/>
          <w:numId w:val="5"/>
        </w:numPr>
        <w:rPr>
          <w:rStyle w:val="Corpsdetexte12Car"/>
          <w:lang w:val="fr-FR"/>
        </w:rPr>
      </w:pPr>
      <w:r w:rsidRPr="00016AF4">
        <w:rPr>
          <w:rStyle w:val="Corpsdetexte12Car"/>
          <w:lang w:val="fr-FR"/>
        </w:rPr>
        <w:t>Contrôle du bouchon (déviation, diamètre, qualité du mélange et perméabilité) ;</w:t>
      </w:r>
    </w:p>
    <w:p w:rsidR="00D35AB0" w:rsidRPr="00016AF4" w:rsidRDefault="00D35AB0" w:rsidP="00D35AB0">
      <w:pPr>
        <w:pStyle w:val="Corpsdetexte12retrait5mm"/>
        <w:ind w:firstLine="284"/>
        <w:rPr>
          <w:rStyle w:val="Corpsdetexte12Car"/>
          <w:lang w:val="fr-FR"/>
        </w:rPr>
      </w:pPr>
      <w:r w:rsidRPr="00016AF4">
        <w:rPr>
          <w:rStyle w:val="Corpsdetexte12Car"/>
          <w:lang w:val="fr-FR"/>
        </w:rPr>
        <w:t xml:space="preserve">La réalisation des colonnes génère un volume excédentaire de mélange de sol-ciments (spoil ou rejets) dont la bonne évacuation est essentielle pour limiter les éventuels impacts. Les paramètres suivants ont été appliqués (Nguyen, Chalivat et al. </w:t>
      </w:r>
      <w:proofErr w:type="gramStart"/>
      <w:r w:rsidRPr="00016AF4">
        <w:rPr>
          <w:rStyle w:val="Corpsdetexte12Car"/>
          <w:lang w:val="fr-FR"/>
        </w:rPr>
        <w:t>2022):</w:t>
      </w:r>
      <w:proofErr w:type="gramEnd"/>
    </w:p>
    <w:p w:rsidR="00D35AB0" w:rsidRPr="00016AF4" w:rsidRDefault="00D35AB0" w:rsidP="00D35AB0">
      <w:pPr>
        <w:pStyle w:val="Corpsdetexte12retrait5mm"/>
        <w:numPr>
          <w:ilvl w:val="0"/>
          <w:numId w:val="4"/>
        </w:numPr>
        <w:rPr>
          <w:rStyle w:val="Corpsdetexte12Car"/>
          <w:lang w:val="fr-FR"/>
        </w:rPr>
      </w:pPr>
      <w:r w:rsidRPr="00016AF4">
        <w:rPr>
          <w:rStyle w:val="Corpsdetexte12Car"/>
          <w:lang w:val="fr-FR"/>
        </w:rPr>
        <w:t>Maillage des forages triangulaire (1 à 1,2 m) ;</w:t>
      </w:r>
    </w:p>
    <w:p w:rsidR="00D35AB0" w:rsidRPr="00016AF4" w:rsidRDefault="00D35AB0" w:rsidP="00D35AB0">
      <w:pPr>
        <w:pStyle w:val="Corpsdetexte12retrait5mm"/>
        <w:numPr>
          <w:ilvl w:val="0"/>
          <w:numId w:val="4"/>
        </w:numPr>
        <w:rPr>
          <w:rStyle w:val="Corpsdetexte12Car"/>
          <w:lang w:val="fr-FR"/>
        </w:rPr>
      </w:pPr>
      <w:r w:rsidRPr="00016AF4">
        <w:rPr>
          <w:rStyle w:val="Corpsdetexte12Car"/>
          <w:lang w:val="fr-FR"/>
        </w:rPr>
        <w:t>Diamètre du forage : 120 à 220 mm ;</w:t>
      </w:r>
    </w:p>
    <w:p w:rsidR="00D35AB0" w:rsidRPr="00016AF4" w:rsidRDefault="00D35AB0" w:rsidP="00D35AB0">
      <w:pPr>
        <w:pStyle w:val="Corpsdetexte12retrait5mm"/>
        <w:numPr>
          <w:ilvl w:val="0"/>
          <w:numId w:val="4"/>
        </w:numPr>
        <w:rPr>
          <w:rStyle w:val="Corpsdetexte12Car"/>
          <w:lang w:val="fr-FR"/>
        </w:rPr>
      </w:pPr>
      <w:r w:rsidRPr="00016AF4">
        <w:rPr>
          <w:rStyle w:val="Corpsdetexte12Car"/>
          <w:lang w:val="fr-FR"/>
        </w:rPr>
        <w:t>Déviation du forage : 0,5% (à 1% pour les inclinaisons &lt; 20 ° et 2 % au-delà) ;</w:t>
      </w:r>
    </w:p>
    <w:p w:rsidR="00D35AB0" w:rsidRPr="00016AF4" w:rsidRDefault="00D35AB0" w:rsidP="00D35AB0">
      <w:pPr>
        <w:pStyle w:val="Corpsdetexte12retrait5mm"/>
        <w:numPr>
          <w:ilvl w:val="0"/>
          <w:numId w:val="4"/>
        </w:numPr>
        <w:rPr>
          <w:rStyle w:val="Corpsdetexte12Car"/>
          <w:lang w:val="fr-FR"/>
        </w:rPr>
      </w:pPr>
      <w:r w:rsidRPr="00016AF4">
        <w:rPr>
          <w:rStyle w:val="Corpsdetexte12Car"/>
          <w:lang w:val="fr-FR"/>
        </w:rPr>
        <w:t xml:space="preserve">Résistance du coulis 3 MPa à 28 jours ; </w:t>
      </w:r>
    </w:p>
    <w:p w:rsidR="00D35AB0" w:rsidRPr="00016AF4" w:rsidRDefault="00D35AB0" w:rsidP="00D35AB0">
      <w:pPr>
        <w:pStyle w:val="Corpsdetexte12retrait5mm"/>
        <w:numPr>
          <w:ilvl w:val="0"/>
          <w:numId w:val="4"/>
        </w:numPr>
        <w:rPr>
          <w:rStyle w:val="Corpsdetexte12Car"/>
          <w:lang w:val="fr-FR"/>
        </w:rPr>
      </w:pPr>
      <w:r w:rsidRPr="00016AF4">
        <w:rPr>
          <w:rStyle w:val="Corpsdetexte12Car"/>
          <w:lang w:val="fr-FR"/>
        </w:rPr>
        <w:t>Énergie : 60 à 90 MJ/ml - diamètre de la colonne traitée</w:t>
      </w:r>
      <w:r>
        <w:rPr>
          <w:rStyle w:val="Corpsdetexte12Car"/>
          <w:lang w:val="fr-FR"/>
        </w:rPr>
        <w:t> :</w:t>
      </w:r>
      <w:r w:rsidRPr="00016AF4">
        <w:rPr>
          <w:rStyle w:val="Corpsdetexte12Car"/>
          <w:lang w:val="fr-FR"/>
        </w:rPr>
        <w:t xml:space="preserve"> 1,5 m</w:t>
      </w:r>
      <w:r>
        <w:rPr>
          <w:rStyle w:val="Corpsdetexte12Car"/>
          <w:lang w:val="fr-FR"/>
        </w:rPr>
        <w:t>.</w:t>
      </w:r>
    </w:p>
    <w:p w:rsidR="00D35AB0" w:rsidRPr="00016AF4" w:rsidRDefault="00D35AB0" w:rsidP="00D35AB0">
      <w:pPr>
        <w:pStyle w:val="Corpsdetexte12retrait5mm"/>
        <w:ind w:firstLine="284"/>
        <w:rPr>
          <w:rStyle w:val="Corpsdetexte12Car"/>
          <w:lang w:val="fr-FR"/>
        </w:rPr>
      </w:pPr>
      <w:r w:rsidRPr="00016AF4">
        <w:rPr>
          <w:rStyle w:val="Corpsdetexte12Car"/>
          <w:lang w:val="fr-FR"/>
        </w:rPr>
        <w:t xml:space="preserve">Un plot d’essai permet de valider les paramètres de </w:t>
      </w:r>
      <w:r>
        <w:rPr>
          <w:rStyle w:val="Corpsdetexte12Car"/>
          <w:lang w:val="fr-FR"/>
        </w:rPr>
        <w:t>jet-grouting</w:t>
      </w:r>
      <w:r w:rsidRPr="00016AF4">
        <w:rPr>
          <w:rStyle w:val="Corpsdetexte12Car"/>
          <w:lang w:val="fr-FR"/>
        </w:rPr>
        <w:t xml:space="preserve"> pour obtenir le diamètre objectif des colonnes et la résistance du mélange sol-ciment. Si la stratigraphie au droit du traitement est nécessairement contrôlée, la systématisation du plot d’essai est à recommander même en cas de bonne connaissance du site (plots déjà réalisés à proximité, dans un contexte géologique homogène et hydrogéologique semblable).</w:t>
      </w:r>
    </w:p>
    <w:p w:rsidR="00D35AB0" w:rsidRPr="00016AF4" w:rsidRDefault="00D35AB0" w:rsidP="00D35AB0">
      <w:pPr>
        <w:pStyle w:val="Corpsdetexte12retrait5mm"/>
        <w:ind w:firstLine="284"/>
        <w:rPr>
          <w:rStyle w:val="Corpsdetexte12Car"/>
          <w:lang w:val="fr-FR"/>
        </w:rPr>
      </w:pPr>
      <w:r w:rsidRPr="00016AF4">
        <w:rPr>
          <w:rStyle w:val="Corpsdetexte12Car"/>
          <w:lang w:val="fr-FR"/>
        </w:rPr>
        <w:t xml:space="preserve">En phase de production, 5 % des colonnes sont contrôlées par carottage et mesure </w:t>
      </w:r>
      <w:r w:rsidRPr="008E5637">
        <w:rPr>
          <w:rStyle w:val="Corpsdetexte12Car"/>
          <w:lang w:val="fr-FR"/>
        </w:rPr>
        <w:t>du diamètre au cylindre électrique (Frappin, Morey, 2001). Des mesures de perméabilité so</w:t>
      </w:r>
      <w:r w:rsidRPr="00016AF4">
        <w:rPr>
          <w:rStyle w:val="Corpsdetexte12Car"/>
          <w:lang w:val="fr-FR"/>
        </w:rPr>
        <w:t>nt effectuées dans un forage carotté. Les enregistrements de déviation sont exploités dans un modèle 3D pour s’assurer de l’absence d’espace</w:t>
      </w:r>
      <w:r>
        <w:rPr>
          <w:rStyle w:val="Corpsdetexte12Car"/>
          <w:lang w:val="fr-FR"/>
        </w:rPr>
        <w:t>s</w:t>
      </w:r>
      <w:r w:rsidRPr="00016AF4">
        <w:rPr>
          <w:rStyle w:val="Corpsdetexte12Car"/>
          <w:lang w:val="fr-FR"/>
        </w:rPr>
        <w:t xml:space="preserve"> non traité</w:t>
      </w:r>
      <w:r>
        <w:rPr>
          <w:rStyle w:val="Corpsdetexte12Car"/>
          <w:lang w:val="fr-FR"/>
        </w:rPr>
        <w:t>s</w:t>
      </w:r>
      <w:r w:rsidRPr="00016AF4">
        <w:rPr>
          <w:rStyle w:val="Corpsdetexte12Car"/>
          <w:lang w:val="fr-FR"/>
        </w:rPr>
        <w:t>. Dans le cas contraire, des colonnes supplémentaires sont exécutées.</w:t>
      </w:r>
    </w:p>
    <w:p w:rsidR="00D35AB0" w:rsidRPr="00016AF4" w:rsidRDefault="00D35AB0" w:rsidP="00D35AB0">
      <w:pPr>
        <w:pStyle w:val="Titre2"/>
        <w:numPr>
          <w:ilvl w:val="1"/>
          <w:numId w:val="1"/>
        </w:numPr>
      </w:pPr>
      <w:r w:rsidRPr="00016AF4">
        <w:t>Contrôles horizontaux après terrassement</w:t>
      </w:r>
    </w:p>
    <w:p w:rsidR="00D35AB0" w:rsidRPr="00016AF4" w:rsidRDefault="00D35AB0" w:rsidP="00D35AB0">
      <w:pPr>
        <w:pStyle w:val="Corpsdetexte12retrait5mm"/>
        <w:rPr>
          <w:rStyle w:val="Corpsdetexte12Car"/>
          <w:lang w:val="fr-FR"/>
        </w:rPr>
      </w:pPr>
      <w:r w:rsidRPr="00016AF4">
        <w:rPr>
          <w:rStyle w:val="Corpsdetexte12Car"/>
          <w:lang w:val="fr-FR"/>
        </w:rPr>
        <w:t xml:space="preserve">Une fois que les travaux de terrassement et la réalisation du radier de l’ouvrage sont terminés, une nouvelle série de contrôles est nécessaire. Des forages horizontaux (cf. </w:t>
      </w:r>
      <w:r w:rsidRPr="00016AF4">
        <w:rPr>
          <w:rStyle w:val="Corpsdetexte12Car"/>
          <w:lang w:val="fr-FR"/>
        </w:rPr>
        <w:fldChar w:fldCharType="begin"/>
      </w:r>
      <w:r w:rsidRPr="00016AF4">
        <w:rPr>
          <w:rStyle w:val="Corpsdetexte12Car"/>
          <w:lang w:val="fr-FR"/>
        </w:rPr>
        <w:instrText xml:space="preserve"> REF _Ref92803441 \h </w:instrText>
      </w:r>
      <w:r w:rsidRPr="00016AF4">
        <w:rPr>
          <w:rStyle w:val="Corpsdetexte12Car"/>
          <w:lang w:val="fr-FR"/>
        </w:rPr>
      </w:r>
      <w:r w:rsidRPr="00016AF4">
        <w:rPr>
          <w:rStyle w:val="Corpsdetexte12Car"/>
          <w:lang w:val="fr-FR"/>
        </w:rPr>
        <w:fldChar w:fldCharType="separate"/>
      </w:r>
      <w:r w:rsidRPr="00016AF4">
        <w:t xml:space="preserve">Figure </w:t>
      </w:r>
      <w:r>
        <w:rPr>
          <w:noProof/>
          <w:color w:val="000000" w:themeColor="text1"/>
        </w:rPr>
        <w:t>9</w:t>
      </w:r>
      <w:r w:rsidRPr="00016AF4">
        <w:rPr>
          <w:rStyle w:val="Corpsdetexte12Car"/>
          <w:lang w:val="fr-FR"/>
        </w:rPr>
        <w:fldChar w:fldCharType="end"/>
      </w:r>
      <w:r w:rsidRPr="00016AF4">
        <w:rPr>
          <w:rStyle w:val="Corpsdetexte12Car"/>
          <w:lang w:val="fr-FR"/>
        </w:rPr>
        <w:t>) supplémentaires sont effectués afin de confirmer</w:t>
      </w:r>
      <w:r>
        <w:rPr>
          <w:rStyle w:val="Corpsdetexte12Car"/>
          <w:lang w:val="fr-FR"/>
        </w:rPr>
        <w:t xml:space="preserve"> </w:t>
      </w:r>
      <w:r w:rsidRPr="00016AF4">
        <w:rPr>
          <w:rStyle w:val="Corpsdetexte12Car"/>
          <w:lang w:val="fr-FR"/>
        </w:rPr>
        <w:t>la liaison entre le bouchon et la paroi moulée (carottés courts de 1,2 à 2,0 m selon l’épaisseur de la PM) et la qualité du bouchon traité (carottés longs 10 m). Leur nombre</w:t>
      </w:r>
      <w:r>
        <w:rPr>
          <w:rStyle w:val="Corpsdetexte12Car"/>
          <w:lang w:val="fr-FR"/>
        </w:rPr>
        <w:t xml:space="preserve"> et leurs positions</w:t>
      </w:r>
      <w:r w:rsidRPr="00016AF4">
        <w:rPr>
          <w:rStyle w:val="Corpsdetexte12Car"/>
          <w:lang w:val="fr-FR"/>
        </w:rPr>
        <w:t xml:space="preserve"> </w:t>
      </w:r>
      <w:r>
        <w:rPr>
          <w:rStyle w:val="Corpsdetexte12Car"/>
          <w:lang w:val="fr-FR"/>
        </w:rPr>
        <w:t>sont</w:t>
      </w:r>
      <w:r w:rsidRPr="00016AF4">
        <w:rPr>
          <w:rStyle w:val="Corpsdetexte12Car"/>
          <w:lang w:val="fr-FR"/>
        </w:rPr>
        <w:t xml:space="preserve"> défini</w:t>
      </w:r>
      <w:r>
        <w:rPr>
          <w:rStyle w:val="Corpsdetexte12Car"/>
          <w:lang w:val="fr-FR"/>
        </w:rPr>
        <w:t>s</w:t>
      </w:r>
      <w:r w:rsidRPr="00016AF4">
        <w:rPr>
          <w:rStyle w:val="Corpsdetexte12Car"/>
          <w:lang w:val="fr-FR"/>
        </w:rPr>
        <w:t xml:space="preserve"> selon : </w:t>
      </w:r>
    </w:p>
    <w:p w:rsidR="00D35AB0" w:rsidRPr="00016AF4" w:rsidRDefault="00D35AB0" w:rsidP="00D35AB0">
      <w:pPr>
        <w:pStyle w:val="Corpsdetexte12retrait5mm"/>
        <w:numPr>
          <w:ilvl w:val="0"/>
          <w:numId w:val="12"/>
        </w:numPr>
        <w:rPr>
          <w:rStyle w:val="Corpsdetexte12Car"/>
          <w:lang w:val="fr-FR"/>
        </w:rPr>
      </w:pPr>
      <w:r w:rsidRPr="00016AF4">
        <w:rPr>
          <w:rStyle w:val="Corpsdetexte12Car"/>
          <w:lang w:val="fr-FR"/>
        </w:rPr>
        <w:t>Le phasage de réalisation du bouchon par rapport à la paroi moulée ;</w:t>
      </w:r>
    </w:p>
    <w:p w:rsidR="00D35AB0" w:rsidRPr="00016AF4" w:rsidRDefault="00D35AB0" w:rsidP="00D35AB0">
      <w:pPr>
        <w:pStyle w:val="Corpsdetexte12retrait5mm"/>
        <w:numPr>
          <w:ilvl w:val="0"/>
          <w:numId w:val="3"/>
        </w:numPr>
        <w:rPr>
          <w:rStyle w:val="Corpsdetexte12Car"/>
          <w:lang w:val="fr-FR"/>
        </w:rPr>
      </w:pPr>
      <w:r w:rsidRPr="00016AF4">
        <w:rPr>
          <w:rStyle w:val="Corpsdetexte12Car"/>
          <w:lang w:val="fr-FR"/>
        </w:rPr>
        <w:t>La forme des ouvrages ;</w:t>
      </w:r>
    </w:p>
    <w:p w:rsidR="00D35AB0" w:rsidRPr="00016AF4" w:rsidRDefault="00D35AB0" w:rsidP="00D35AB0">
      <w:pPr>
        <w:pStyle w:val="Corpsdetexte12retrait5mm"/>
        <w:numPr>
          <w:ilvl w:val="0"/>
          <w:numId w:val="3"/>
        </w:numPr>
        <w:rPr>
          <w:rStyle w:val="Corpsdetexte12Car"/>
          <w:lang w:val="fr-FR"/>
        </w:rPr>
      </w:pPr>
      <w:r w:rsidRPr="00016AF4">
        <w:rPr>
          <w:rStyle w:val="Corpsdetexte12Car"/>
          <w:lang w:val="fr-FR"/>
        </w:rPr>
        <w:t>Les conditions géologiques (la présence des blocs de grès, gypse…) ;</w:t>
      </w:r>
    </w:p>
    <w:p w:rsidR="00D35AB0" w:rsidRPr="00016AF4" w:rsidRDefault="00D35AB0" w:rsidP="00D35AB0">
      <w:pPr>
        <w:pStyle w:val="Corpsdetexte12retrait5mm"/>
        <w:numPr>
          <w:ilvl w:val="0"/>
          <w:numId w:val="3"/>
        </w:numPr>
        <w:rPr>
          <w:rStyle w:val="Corpsdetexte12Car"/>
          <w:lang w:val="fr-FR"/>
        </w:rPr>
      </w:pPr>
      <w:r w:rsidRPr="00016AF4">
        <w:rPr>
          <w:rStyle w:val="Corpsdetexte12Car"/>
          <w:lang w:val="fr-FR"/>
        </w:rPr>
        <w:t>La géométrie d’ouverture du bouchons/rameaux ;</w:t>
      </w:r>
    </w:p>
    <w:p w:rsidR="00D35AB0" w:rsidRPr="00016AF4" w:rsidRDefault="00D35AB0" w:rsidP="00D35AB0">
      <w:pPr>
        <w:pStyle w:val="Corpsdetexte12retrait5mm"/>
        <w:numPr>
          <w:ilvl w:val="0"/>
          <w:numId w:val="3"/>
        </w:numPr>
        <w:rPr>
          <w:rStyle w:val="Corpsdetexte12Car"/>
          <w:lang w:val="fr-FR"/>
        </w:rPr>
      </w:pPr>
      <w:r>
        <w:rPr>
          <w:rStyle w:val="Corpsdetexte12Car"/>
          <w:lang w:val="fr-FR"/>
        </w:rPr>
        <w:t>Les r</w:t>
      </w:r>
      <w:r w:rsidRPr="00016AF4">
        <w:rPr>
          <w:rStyle w:val="Corpsdetexte12Car"/>
          <w:lang w:val="fr-FR"/>
        </w:rPr>
        <w:t>ésultats des contrôles du bouchon par des forages verticaux</w:t>
      </w:r>
      <w:r>
        <w:rPr>
          <w:rStyle w:val="Corpsdetexte12Car"/>
          <w:lang w:val="fr-FR"/>
        </w:rPr>
        <w:t>.</w:t>
      </w:r>
    </w:p>
    <w:p w:rsidR="00D35AB0" w:rsidRPr="00016AF4" w:rsidRDefault="00D35AB0" w:rsidP="00D35AB0">
      <w:pPr>
        <w:pStyle w:val="Titre1"/>
        <w:rPr>
          <w:lang w:val="fr-FR"/>
        </w:rPr>
      </w:pPr>
      <w:r>
        <w:rPr>
          <w:lang w:val="fr-FR"/>
        </w:rPr>
        <w:lastRenderedPageBreak/>
        <w:t>P</w:t>
      </w:r>
      <w:r w:rsidRPr="00016AF4">
        <w:rPr>
          <w:lang w:val="fr-FR"/>
        </w:rPr>
        <w:t>arades mises en œuvre sur des cas singuliers</w:t>
      </w:r>
    </w:p>
    <w:p w:rsidR="00D35AB0" w:rsidRPr="00016AF4" w:rsidRDefault="00D35AB0" w:rsidP="00D35AB0">
      <w:pPr>
        <w:pStyle w:val="Titre2"/>
        <w:numPr>
          <w:ilvl w:val="1"/>
          <w:numId w:val="1"/>
        </w:numPr>
      </w:pPr>
      <w:r w:rsidRPr="00016AF4">
        <w:t>Soulèvements en surface</w:t>
      </w:r>
    </w:p>
    <w:p w:rsidR="00D35AB0" w:rsidRPr="00016AF4" w:rsidRDefault="00D35AB0" w:rsidP="00D35AB0">
      <w:pPr>
        <w:pStyle w:val="Corpsdetexte12retrait5mm"/>
        <w:rPr>
          <w:rStyle w:val="Corpsdetexte12Car"/>
          <w:lang w:val="fr-FR"/>
        </w:rPr>
      </w:pPr>
      <w:r w:rsidRPr="00016AF4">
        <w:rPr>
          <w:rStyle w:val="Corpsdetexte12Car"/>
          <w:lang w:val="fr-FR"/>
        </w:rPr>
        <w:t>Le bouchon Sud-Ouest de l’ouvrage OA3303, exécuté pour permettre l’entrée en terre du TBM, associe les traitements suivants, réalisés après la paroi moulée :</w:t>
      </w:r>
    </w:p>
    <w:p w:rsidR="00D35AB0" w:rsidRPr="00016AF4" w:rsidRDefault="00D35AB0" w:rsidP="00D35AB0">
      <w:pPr>
        <w:pStyle w:val="Corpsdetexte12retrait5mm"/>
        <w:numPr>
          <w:ilvl w:val="0"/>
          <w:numId w:val="2"/>
        </w:numPr>
        <w:rPr>
          <w:rStyle w:val="Corpsdetexte12Car"/>
          <w:lang w:val="fr-FR"/>
        </w:rPr>
      </w:pPr>
      <w:r w:rsidRPr="00016AF4">
        <w:rPr>
          <w:rStyle w:val="Corpsdetexte12Car"/>
          <w:lang w:val="fr-FR"/>
        </w:rPr>
        <w:t xml:space="preserve">En premier, IRS dans les </w:t>
      </w:r>
      <w:r>
        <w:rPr>
          <w:rStyle w:val="Corpsdetexte12Car"/>
          <w:lang w:val="fr-FR"/>
        </w:rPr>
        <w:t>MC</w:t>
      </w:r>
      <w:r w:rsidRPr="00016AF4">
        <w:rPr>
          <w:rStyle w:val="Corpsdetexte12Car"/>
          <w:lang w:val="fr-FR"/>
        </w:rPr>
        <w:t xml:space="preserve"> puis dans le </w:t>
      </w:r>
      <w:r>
        <w:rPr>
          <w:rStyle w:val="Corpsdetexte12Car"/>
          <w:lang w:val="fr-FR"/>
        </w:rPr>
        <w:t>SO</w:t>
      </w:r>
      <w:r w:rsidRPr="00016AF4">
        <w:rPr>
          <w:rStyle w:val="Corpsdetexte12Car"/>
          <w:lang w:val="fr-FR"/>
        </w:rPr>
        <w:t> ;</w:t>
      </w:r>
    </w:p>
    <w:p w:rsidR="00D35AB0" w:rsidRPr="00016AF4" w:rsidRDefault="00D35AB0" w:rsidP="00D35AB0">
      <w:pPr>
        <w:pStyle w:val="Corpsdetexte12retrait5mm"/>
        <w:numPr>
          <w:ilvl w:val="0"/>
          <w:numId w:val="2"/>
        </w:numPr>
        <w:rPr>
          <w:rStyle w:val="Corpsdetexte12Car"/>
          <w:lang w:val="fr-FR"/>
        </w:rPr>
      </w:pPr>
      <w:r w:rsidRPr="00016AF4">
        <w:rPr>
          <w:rStyle w:val="Corpsdetexte12Car"/>
          <w:lang w:val="fr-FR"/>
        </w:rPr>
        <w:t xml:space="preserve">En second, </w:t>
      </w:r>
      <w:r>
        <w:rPr>
          <w:rStyle w:val="Corpsdetexte12Car"/>
          <w:lang w:val="fr-FR"/>
        </w:rPr>
        <w:t>jet-grouting</w:t>
      </w:r>
      <w:r w:rsidRPr="00016AF4">
        <w:rPr>
          <w:rStyle w:val="Corpsdetexte12Car"/>
          <w:lang w:val="fr-FR"/>
        </w:rPr>
        <w:t xml:space="preserve"> dans les S</w:t>
      </w:r>
      <w:r>
        <w:rPr>
          <w:rStyle w:val="Corpsdetexte12Car"/>
          <w:lang w:val="fr-FR"/>
        </w:rPr>
        <w:t>B</w:t>
      </w:r>
      <w:r w:rsidRPr="00016AF4">
        <w:rPr>
          <w:rStyle w:val="Corpsdetexte12Car"/>
          <w:lang w:val="fr-FR"/>
        </w:rPr>
        <w:t xml:space="preserve"> intercalaires sur une épaisseur de 10 m, avec recouvrement de 1,0 m au niveau des interfaces géologiques.</w:t>
      </w:r>
    </w:p>
    <w:p w:rsidR="00D35AB0" w:rsidRPr="00016AF4" w:rsidRDefault="00D35AB0" w:rsidP="00D35AB0">
      <w:pPr>
        <w:pStyle w:val="Corpsdetexte12retrait5mm"/>
        <w:ind w:firstLine="284"/>
        <w:rPr>
          <w:rStyle w:val="Corpsdetexte12Car"/>
          <w:lang w:val="fr-FR"/>
        </w:rPr>
      </w:pPr>
      <w:r>
        <w:rPr>
          <w:rStyle w:val="Corpsdetexte12Car"/>
          <w:lang w:val="fr-FR"/>
        </w:rPr>
        <w:t xml:space="preserve">Pendant ces </w:t>
      </w:r>
      <w:r w:rsidRPr="00016AF4">
        <w:rPr>
          <w:rStyle w:val="Corpsdetexte12Car"/>
          <w:lang w:val="fr-FR"/>
        </w:rPr>
        <w:t>injection</w:t>
      </w:r>
      <w:r>
        <w:rPr>
          <w:rStyle w:val="Corpsdetexte12Car"/>
          <w:lang w:val="fr-FR"/>
        </w:rPr>
        <w:t>s</w:t>
      </w:r>
      <w:r w:rsidRPr="00016AF4">
        <w:rPr>
          <w:rStyle w:val="Corpsdetexte12Car"/>
          <w:lang w:val="fr-FR"/>
        </w:rPr>
        <w:t>, des soulèvements</w:t>
      </w:r>
      <w:r>
        <w:rPr>
          <w:rStyle w:val="Corpsdetexte12Car"/>
          <w:lang w:val="fr-FR"/>
        </w:rPr>
        <w:t xml:space="preserve"> et </w:t>
      </w:r>
      <w:r w:rsidRPr="00016AF4">
        <w:rPr>
          <w:rStyle w:val="Corpsdetexte12Car"/>
          <w:lang w:val="fr-FR"/>
        </w:rPr>
        <w:t>une déformation horizontale importante du quai Tjibaou et d</w:t>
      </w:r>
      <w:r>
        <w:rPr>
          <w:rStyle w:val="Corpsdetexte12Car"/>
          <w:lang w:val="fr-FR"/>
        </w:rPr>
        <w:t>u</w:t>
      </w:r>
      <w:r w:rsidRPr="00016AF4">
        <w:rPr>
          <w:rStyle w:val="Corpsdetexte12Car"/>
          <w:lang w:val="fr-FR"/>
        </w:rPr>
        <w:t xml:space="preserve"> réseau EU de la DEA</w:t>
      </w:r>
      <w:r>
        <w:rPr>
          <w:rStyle w:val="Corpsdetexte12Car"/>
          <w:lang w:val="fr-FR"/>
        </w:rPr>
        <w:t xml:space="preserve"> </w:t>
      </w:r>
      <w:r w:rsidRPr="00016AF4">
        <w:rPr>
          <w:rStyle w:val="Corpsdetexte12Car"/>
          <w:lang w:val="fr-FR"/>
        </w:rPr>
        <w:t xml:space="preserve">(cf. </w:t>
      </w:r>
      <w:r w:rsidRPr="00016AF4">
        <w:rPr>
          <w:rStyle w:val="Corpsdetexte12Car"/>
          <w:lang w:val="fr-FR"/>
        </w:rPr>
        <w:fldChar w:fldCharType="begin"/>
      </w:r>
      <w:r w:rsidRPr="00016AF4">
        <w:rPr>
          <w:rStyle w:val="Corpsdetexte12Car"/>
          <w:lang w:val="fr-FR"/>
        </w:rPr>
        <w:instrText xml:space="preserve"> REF _Ref92803298 \h </w:instrText>
      </w:r>
      <w:r w:rsidRPr="00016AF4">
        <w:rPr>
          <w:rStyle w:val="Corpsdetexte12Car"/>
          <w:lang w:val="fr-FR"/>
        </w:rPr>
      </w:r>
      <w:r w:rsidRPr="00016AF4">
        <w:rPr>
          <w:rStyle w:val="Corpsdetexte12Car"/>
          <w:lang w:val="fr-FR"/>
        </w:rPr>
        <w:fldChar w:fldCharType="separate"/>
      </w:r>
      <w:r w:rsidRPr="00016AF4">
        <w:rPr>
          <w:color w:val="000000" w:themeColor="text1"/>
        </w:rPr>
        <w:t xml:space="preserve">Figure </w:t>
      </w:r>
      <w:r>
        <w:rPr>
          <w:noProof/>
          <w:color w:val="000000" w:themeColor="text1"/>
        </w:rPr>
        <w:t>6</w:t>
      </w:r>
      <w:r w:rsidRPr="00016AF4">
        <w:rPr>
          <w:rStyle w:val="Corpsdetexte12Car"/>
          <w:lang w:val="fr-FR"/>
        </w:rPr>
        <w:fldChar w:fldCharType="end"/>
      </w:r>
      <w:r w:rsidRPr="00016AF4">
        <w:rPr>
          <w:rStyle w:val="Corpsdetexte12Car"/>
          <w:lang w:val="fr-FR"/>
        </w:rPr>
        <w:t xml:space="preserve">) ont été </w:t>
      </w:r>
      <w:r w:rsidRPr="00016AF4">
        <w:rPr>
          <w:rStyle w:val="Corpsdetexte12Car"/>
          <w:szCs w:val="24"/>
          <w:lang w:val="fr-FR"/>
        </w:rPr>
        <w:t>remarqués (cf</w:t>
      </w:r>
      <w:r>
        <w:rPr>
          <w:rStyle w:val="Corpsdetexte12Car"/>
          <w:szCs w:val="24"/>
          <w:lang w:val="fr-FR"/>
        </w:rPr>
        <w:t>.</w:t>
      </w:r>
      <w:r w:rsidRPr="00016AF4">
        <w:rPr>
          <w:rStyle w:val="Corpsdetexte12Car"/>
          <w:szCs w:val="24"/>
          <w:lang w:val="fr-FR"/>
        </w:rPr>
        <w:t xml:space="preserve"> </w:t>
      </w:r>
      <w:r w:rsidRPr="00016AF4">
        <w:rPr>
          <w:rStyle w:val="Corpsdetexte12Car"/>
          <w:szCs w:val="24"/>
          <w:lang w:val="fr-FR"/>
        </w:rPr>
        <w:fldChar w:fldCharType="begin"/>
      </w:r>
      <w:r w:rsidRPr="00016AF4">
        <w:rPr>
          <w:rStyle w:val="Corpsdetexte12Car"/>
          <w:szCs w:val="24"/>
          <w:lang w:val="fr-FR"/>
        </w:rPr>
        <w:instrText xml:space="preserve"> REF _Ref93057112 \h  \* MERGEFORMAT </w:instrText>
      </w:r>
      <w:r w:rsidRPr="00016AF4">
        <w:rPr>
          <w:rStyle w:val="Corpsdetexte12Car"/>
          <w:szCs w:val="24"/>
          <w:lang w:val="fr-FR"/>
        </w:rPr>
      </w:r>
      <w:r w:rsidRPr="00016AF4">
        <w:rPr>
          <w:rStyle w:val="Corpsdetexte12Car"/>
          <w:szCs w:val="24"/>
          <w:lang w:val="fr-FR"/>
        </w:rPr>
        <w:fldChar w:fldCharType="separate"/>
      </w:r>
      <w:r w:rsidRPr="00657262">
        <w:rPr>
          <w:color w:val="000000" w:themeColor="text1"/>
          <w:szCs w:val="24"/>
          <w:lang w:val="fr-FR" w:eastAsia="fr-FR"/>
        </w:rPr>
        <w:t xml:space="preserve">Figure </w:t>
      </w:r>
      <w:r w:rsidRPr="00657262">
        <w:rPr>
          <w:noProof/>
          <w:color w:val="000000" w:themeColor="text1"/>
          <w:szCs w:val="24"/>
          <w:lang w:val="fr-FR"/>
        </w:rPr>
        <w:t>7</w:t>
      </w:r>
      <w:r w:rsidRPr="00016AF4">
        <w:rPr>
          <w:rStyle w:val="Corpsdetexte12Car"/>
          <w:szCs w:val="24"/>
          <w:lang w:val="fr-FR"/>
        </w:rPr>
        <w:fldChar w:fldCharType="end"/>
      </w:r>
      <w:r w:rsidRPr="00016AF4">
        <w:rPr>
          <w:rStyle w:val="Corpsdetexte12Car"/>
          <w:szCs w:val="24"/>
          <w:lang w:val="fr-FR"/>
        </w:rPr>
        <w:t>).</w:t>
      </w:r>
    </w:p>
    <w:p w:rsidR="00D35AB0" w:rsidRPr="00016AF4" w:rsidRDefault="00D35AB0" w:rsidP="00D35AB0">
      <w:pPr>
        <w:pStyle w:val="Corpsdetexte12retrait5mm"/>
        <w:jc w:val="center"/>
        <w:rPr>
          <w:color w:val="538135" w:themeColor="accent6" w:themeShade="BF"/>
          <w:lang w:val="fr-FR"/>
        </w:rPr>
      </w:pPr>
      <w:r w:rsidRPr="00016AF4">
        <w:rPr>
          <w:noProof/>
          <w:color w:val="538135" w:themeColor="accent6" w:themeShade="BF"/>
          <w:lang w:val="fr-FR" w:eastAsia="fr-FR"/>
        </w:rPr>
        <w:drawing>
          <wp:inline distT="0" distB="0" distL="0" distR="0" wp14:anchorId="25EA54A3" wp14:editId="29BDBD1E">
            <wp:extent cx="2978123" cy="1801368"/>
            <wp:effectExtent l="0" t="0" r="0" b="889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77" t="3306" r="954" b="686"/>
                    <a:stretch/>
                  </pic:blipFill>
                  <pic:spPr bwMode="auto">
                    <a:xfrm>
                      <a:off x="0" y="0"/>
                      <a:ext cx="2997217" cy="1812917"/>
                    </a:xfrm>
                    <a:prstGeom prst="rect">
                      <a:avLst/>
                    </a:prstGeom>
                    <a:noFill/>
                    <a:ln>
                      <a:noFill/>
                    </a:ln>
                    <a:extLst>
                      <a:ext uri="{53640926-AAD7-44D8-BBD7-CCE9431645EC}">
                        <a14:shadowObscured xmlns:a14="http://schemas.microsoft.com/office/drawing/2010/main"/>
                      </a:ext>
                    </a:extLst>
                  </pic:spPr>
                </pic:pic>
              </a:graphicData>
            </a:graphic>
          </wp:inline>
        </w:drawing>
      </w:r>
    </w:p>
    <w:p w:rsidR="00D35AB0" w:rsidRPr="00016AF4" w:rsidRDefault="00D35AB0" w:rsidP="00D35AB0">
      <w:pPr>
        <w:pStyle w:val="titredefigure"/>
        <w:spacing w:before="0"/>
        <w:rPr>
          <w:color w:val="000000" w:themeColor="text1"/>
        </w:rPr>
      </w:pPr>
      <w:bookmarkStart w:id="7" w:name="_Ref92803298"/>
      <w:r w:rsidRPr="00016AF4">
        <w:rPr>
          <w:color w:val="000000" w:themeColor="text1"/>
        </w:rPr>
        <w:t xml:space="preserve">Figure </w:t>
      </w:r>
      <w:r w:rsidRPr="00016AF4">
        <w:rPr>
          <w:color w:val="000000" w:themeColor="text1"/>
        </w:rPr>
        <w:fldChar w:fldCharType="begin"/>
      </w:r>
      <w:r w:rsidRPr="00016AF4">
        <w:rPr>
          <w:color w:val="000000" w:themeColor="text1"/>
        </w:rPr>
        <w:instrText xml:space="preserve"> SEQ Figure \* ARABIC </w:instrText>
      </w:r>
      <w:r w:rsidRPr="00016AF4">
        <w:rPr>
          <w:color w:val="000000" w:themeColor="text1"/>
        </w:rPr>
        <w:fldChar w:fldCharType="separate"/>
      </w:r>
      <w:r>
        <w:rPr>
          <w:noProof/>
          <w:color w:val="000000" w:themeColor="text1"/>
        </w:rPr>
        <w:t>6</w:t>
      </w:r>
      <w:r w:rsidRPr="00016AF4">
        <w:rPr>
          <w:color w:val="000000" w:themeColor="text1"/>
        </w:rPr>
        <w:fldChar w:fldCharType="end"/>
      </w:r>
      <w:bookmarkEnd w:id="7"/>
      <w:r w:rsidRPr="00016AF4">
        <w:rPr>
          <w:color w:val="000000" w:themeColor="text1"/>
        </w:rPr>
        <w:t> : Position</w:t>
      </w:r>
      <w:r>
        <w:rPr>
          <w:color w:val="000000" w:themeColor="text1"/>
        </w:rPr>
        <w:t>s</w:t>
      </w:r>
      <w:r w:rsidRPr="00016AF4">
        <w:rPr>
          <w:color w:val="000000" w:themeColor="text1"/>
        </w:rPr>
        <w:t xml:space="preserve"> </w:t>
      </w:r>
      <w:r>
        <w:rPr>
          <w:color w:val="000000" w:themeColor="text1"/>
        </w:rPr>
        <w:t>du réseau EU, du quai Tjibaou et du bouchon Sud-Ouest</w:t>
      </w:r>
      <w:r w:rsidRPr="00016AF4">
        <w:rPr>
          <w:color w:val="000000" w:themeColor="text1"/>
        </w:rPr>
        <w:t xml:space="preserve"> (OA 3303P) - Eiffage</w:t>
      </w:r>
    </w:p>
    <w:p w:rsidR="00D35AB0" w:rsidRPr="00016AF4" w:rsidRDefault="00D35AB0" w:rsidP="00D35AB0">
      <w:pPr>
        <w:pStyle w:val="Corpsdetexte12retrait5mm"/>
        <w:ind w:firstLine="432"/>
        <w:rPr>
          <w:rStyle w:val="Corpsdetexte12Car"/>
          <w:lang w:val="fr-FR"/>
        </w:rPr>
      </w:pPr>
      <w:r w:rsidRPr="00016AF4">
        <w:rPr>
          <w:rStyle w:val="Corpsdetexte12Car"/>
          <w:lang w:val="fr-FR"/>
        </w:rPr>
        <w:t>Afin de limiter la déformation des ouvrages avoisinants, une méthode observationnelle a été mise en place avec des dispositions constructives spécifiques et un renforcement de l’auscultation en temps réel des ouvrages</w:t>
      </w:r>
      <w:r>
        <w:rPr>
          <w:rStyle w:val="Corpsdetexte12Car"/>
          <w:lang w:val="fr-FR"/>
        </w:rPr>
        <w:t xml:space="preserve"> </w:t>
      </w:r>
      <w:r w:rsidRPr="00016AF4">
        <w:rPr>
          <w:rStyle w:val="Corpsdetexte12Car"/>
          <w:lang w:val="fr-FR"/>
        </w:rPr>
        <w:t>limitrophes. La surveillance a comporté :</w:t>
      </w:r>
    </w:p>
    <w:p w:rsidR="00D35AB0" w:rsidRPr="00016AF4" w:rsidRDefault="00D35AB0" w:rsidP="00D35AB0">
      <w:pPr>
        <w:pStyle w:val="Corpsdetexte12retrait5mm"/>
        <w:numPr>
          <w:ilvl w:val="0"/>
          <w:numId w:val="2"/>
        </w:numPr>
        <w:rPr>
          <w:rStyle w:val="Corpsdetexte12Car"/>
          <w:lang w:val="fr-FR"/>
        </w:rPr>
      </w:pPr>
      <w:r w:rsidRPr="00016AF4">
        <w:rPr>
          <w:rStyle w:val="Corpsdetexte12Car"/>
          <w:lang w:val="fr-FR"/>
        </w:rPr>
        <w:t>A l’intérieur du réseau DEA : mesures de convergence, de tassement et d’ouverture de fissures associées à des inspections visuelles</w:t>
      </w:r>
      <w:r>
        <w:rPr>
          <w:rStyle w:val="Corpsdetexte12Car"/>
          <w:lang w:val="fr-FR"/>
        </w:rPr>
        <w:t xml:space="preserve"> </w:t>
      </w:r>
      <w:r w:rsidRPr="00016AF4">
        <w:rPr>
          <w:rStyle w:val="Corpsdetexte12Car"/>
          <w:lang w:val="fr-FR"/>
        </w:rPr>
        <w:t>régulières ;</w:t>
      </w:r>
    </w:p>
    <w:p w:rsidR="00D35AB0" w:rsidRPr="00016AF4" w:rsidRDefault="00D35AB0" w:rsidP="00D35AB0">
      <w:pPr>
        <w:pStyle w:val="Corpsdetexte12retrait5mm"/>
        <w:numPr>
          <w:ilvl w:val="0"/>
          <w:numId w:val="2"/>
        </w:numPr>
        <w:rPr>
          <w:rStyle w:val="Corpsdetexte12Car"/>
          <w:lang w:val="fr-FR"/>
        </w:rPr>
      </w:pPr>
      <w:r w:rsidRPr="00016AF4">
        <w:rPr>
          <w:rStyle w:val="Corpsdetexte12Car"/>
          <w:lang w:val="fr-FR"/>
        </w:rPr>
        <w:t>Au-dessus du réseau DEA : Nivellement de la voirie et suivi topographique du quai.</w:t>
      </w:r>
    </w:p>
    <w:p w:rsidR="00D35AB0" w:rsidRPr="00016AF4" w:rsidRDefault="00D35AB0" w:rsidP="00D35AB0">
      <w:pPr>
        <w:pStyle w:val="Corpsdetexte12retrait5mm"/>
        <w:keepNext/>
        <w:jc w:val="center"/>
        <w:rPr>
          <w:lang w:val="fr-FR"/>
        </w:rPr>
      </w:pPr>
      <w:r w:rsidRPr="00016AF4">
        <w:rPr>
          <w:noProof/>
          <w:color w:val="00B050"/>
          <w:lang w:val="fr-FR" w:eastAsia="fr-FR"/>
        </w:rPr>
        <w:drawing>
          <wp:inline distT="0" distB="0" distL="0" distR="0" wp14:anchorId="6F0D01CF" wp14:editId="610B6133">
            <wp:extent cx="5974135" cy="2124000"/>
            <wp:effectExtent l="0" t="0" r="7620" b="0"/>
            <wp:docPr id="9" name="Image 3">
              <a:extLst xmlns:a="http://schemas.openxmlformats.org/drawingml/2006/main">
                <a:ext uri="{FF2B5EF4-FFF2-40B4-BE49-F238E27FC236}">
                  <a16:creationId xmlns:a16="http://schemas.microsoft.com/office/drawing/2014/main" id="{B7E18A21-51CB-42E2-AC7B-9F3BAC70FE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7E18A21-51CB-42E2-AC7B-9F3BAC70FEC7}"/>
                        </a:ext>
                      </a:extLst>
                    </pic:cNvPr>
                    <pic:cNvPicPr>
                      <a:picLocks noChangeAspect="1"/>
                    </pic:cNvPicPr>
                  </pic:nvPicPr>
                  <pic:blipFill rotWithShape="1">
                    <a:blip r:embed="rId13"/>
                    <a:srcRect l="1567" t="3088" r="1577"/>
                    <a:stretch/>
                  </pic:blipFill>
                  <pic:spPr bwMode="auto">
                    <a:xfrm>
                      <a:off x="0" y="0"/>
                      <a:ext cx="5974135" cy="2124000"/>
                    </a:xfrm>
                    <a:prstGeom prst="rect">
                      <a:avLst/>
                    </a:prstGeom>
                    <a:ln>
                      <a:noFill/>
                    </a:ln>
                    <a:extLst>
                      <a:ext uri="{53640926-AAD7-44D8-BBD7-CCE9431645EC}">
                        <a14:shadowObscured xmlns:a14="http://schemas.microsoft.com/office/drawing/2010/main"/>
                      </a:ext>
                    </a:extLst>
                  </pic:spPr>
                </pic:pic>
              </a:graphicData>
            </a:graphic>
          </wp:inline>
        </w:drawing>
      </w:r>
    </w:p>
    <w:p w:rsidR="00D35AB0" w:rsidRPr="00016AF4" w:rsidRDefault="00D35AB0" w:rsidP="00D35AB0">
      <w:pPr>
        <w:pStyle w:val="titredefigure"/>
        <w:spacing w:before="0"/>
        <w:ind w:left="432"/>
        <w:rPr>
          <w:color w:val="000000" w:themeColor="text1"/>
        </w:rPr>
      </w:pPr>
      <w:bookmarkStart w:id="8" w:name="_Ref93057112"/>
      <w:r w:rsidRPr="00016AF4">
        <w:rPr>
          <w:color w:val="000000" w:themeColor="text1"/>
        </w:rPr>
        <w:t xml:space="preserve">Figure </w:t>
      </w:r>
      <w:r w:rsidRPr="00016AF4">
        <w:rPr>
          <w:color w:val="000000" w:themeColor="text1"/>
        </w:rPr>
        <w:fldChar w:fldCharType="begin"/>
      </w:r>
      <w:r w:rsidRPr="00016AF4">
        <w:rPr>
          <w:color w:val="000000" w:themeColor="text1"/>
        </w:rPr>
        <w:instrText xml:space="preserve"> SEQ Figure \* ARABIC </w:instrText>
      </w:r>
      <w:r w:rsidRPr="00016AF4">
        <w:rPr>
          <w:color w:val="000000" w:themeColor="text1"/>
        </w:rPr>
        <w:fldChar w:fldCharType="separate"/>
      </w:r>
      <w:r>
        <w:rPr>
          <w:noProof/>
          <w:color w:val="000000" w:themeColor="text1"/>
        </w:rPr>
        <w:t>7</w:t>
      </w:r>
      <w:r w:rsidRPr="00016AF4">
        <w:rPr>
          <w:color w:val="000000" w:themeColor="text1"/>
        </w:rPr>
        <w:fldChar w:fldCharType="end"/>
      </w:r>
      <w:bookmarkEnd w:id="8"/>
      <w:r w:rsidRPr="00016AF4">
        <w:rPr>
          <w:color w:val="000000" w:themeColor="text1"/>
        </w:rPr>
        <w:t> : Synthèse des déformation horizontales du quai</w:t>
      </w:r>
      <w:r>
        <w:rPr>
          <w:color w:val="000000" w:themeColor="text1"/>
        </w:rPr>
        <w:t xml:space="preserve"> Tjibaou</w:t>
      </w:r>
    </w:p>
    <w:p w:rsidR="00D35AB0" w:rsidRPr="00016AF4" w:rsidRDefault="00D35AB0" w:rsidP="00D35AB0">
      <w:pPr>
        <w:pStyle w:val="Corpsdetexte12retrait5mm"/>
        <w:ind w:firstLine="432"/>
        <w:rPr>
          <w:rStyle w:val="Corpsdetexte12Car"/>
          <w:lang w:val="fr-FR"/>
        </w:rPr>
      </w:pPr>
      <w:r w:rsidRPr="00016AF4">
        <w:rPr>
          <w:rStyle w:val="Corpsdetexte12Car"/>
          <w:lang w:val="fr-FR"/>
        </w:rPr>
        <w:t>Les adaptations des travaux ont démarré dès la phase IRS avec un écran de protection injecté à basse pression à la suite du dépassement des premiers seuils de vigilance.</w:t>
      </w:r>
    </w:p>
    <w:p w:rsidR="00D35AB0" w:rsidRPr="00016AF4" w:rsidRDefault="00D35AB0" w:rsidP="00D35AB0">
      <w:pPr>
        <w:pStyle w:val="Corpsdetexte12retrait5mm"/>
        <w:ind w:firstLine="360"/>
        <w:rPr>
          <w:rStyle w:val="Corpsdetexte12Car"/>
          <w:lang w:val="fr-FR"/>
        </w:rPr>
      </w:pPr>
      <w:r w:rsidRPr="00016AF4">
        <w:rPr>
          <w:rStyle w:val="Corpsdetexte12Car"/>
          <w:lang w:val="fr-FR"/>
        </w:rPr>
        <w:t xml:space="preserve">Puis, lors du </w:t>
      </w:r>
      <w:r>
        <w:rPr>
          <w:rStyle w:val="Corpsdetexte12Car"/>
          <w:lang w:val="fr-FR"/>
        </w:rPr>
        <w:t>jet-grouting</w:t>
      </w:r>
      <w:r w:rsidRPr="00016AF4">
        <w:rPr>
          <w:rStyle w:val="Corpsdetexte12Car"/>
          <w:lang w:val="fr-FR"/>
        </w:rPr>
        <w:t xml:space="preserve">, le phasage des colonnes a été adapté et des évents réalisés pour canaliser le spoil et minimiser les surpressions dans les terrains superficiels. Ces évents ont été forés en 150 mm et équipés de tube perforé de 100 mm dans leur partie inférieure, descendue jusque dans les SB et calée selon les propriétés </w:t>
      </w:r>
      <w:proofErr w:type="spellStart"/>
      <w:r w:rsidRPr="00016AF4">
        <w:rPr>
          <w:rStyle w:val="Corpsdetexte12Car"/>
          <w:lang w:val="fr-FR"/>
        </w:rPr>
        <w:t>géo</w:t>
      </w:r>
      <w:r>
        <w:rPr>
          <w:rStyle w:val="Corpsdetexte12Car"/>
          <w:lang w:val="fr-FR"/>
        </w:rPr>
        <w:t>-</w:t>
      </w:r>
      <w:r w:rsidRPr="00016AF4">
        <w:rPr>
          <w:rStyle w:val="Corpsdetexte12Car"/>
          <w:lang w:val="fr-FR"/>
        </w:rPr>
        <w:t>mécaniques</w:t>
      </w:r>
      <w:proofErr w:type="spellEnd"/>
      <w:r w:rsidRPr="00016AF4">
        <w:rPr>
          <w:rStyle w:val="Corpsdetexte12Car"/>
          <w:lang w:val="fr-FR"/>
        </w:rPr>
        <w:t xml:space="preserve"> des SB. Un espacement de 2 m a été choisi entre évents compte tenu du calepinage des </w:t>
      </w:r>
      <w:proofErr w:type="gramStart"/>
      <w:r w:rsidRPr="00016AF4">
        <w:rPr>
          <w:rStyle w:val="Corpsdetexte12Car"/>
          <w:lang w:val="fr-FR"/>
        </w:rPr>
        <w:t>colonnes;</w:t>
      </w:r>
      <w:proofErr w:type="gramEnd"/>
      <w:r w:rsidRPr="00016AF4">
        <w:rPr>
          <w:rStyle w:val="Corpsdetexte12Car"/>
          <w:lang w:val="fr-FR"/>
        </w:rPr>
        <w:t xml:space="preserve"> ils ont été surveillés, très régulièrement rincés et leur profondeur contrôlée pour garantir leur efficacité. Il a été nécessaire de forer plusieurs séries d’évents au fur et à mesure de l’avancement des travaux. Moyennant l’ensemble de ces dispositions et </w:t>
      </w:r>
      <w:r w:rsidRPr="00016AF4">
        <w:rPr>
          <w:rStyle w:val="Corpsdetexte12Car"/>
          <w:lang w:val="fr-FR"/>
        </w:rPr>
        <w:lastRenderedPageBreak/>
        <w:t xml:space="preserve">notamment grâce à la mise en place de la méthode observationnelle, le traitement par </w:t>
      </w:r>
      <w:r>
        <w:rPr>
          <w:rStyle w:val="Corpsdetexte12Car"/>
          <w:lang w:val="fr-FR"/>
        </w:rPr>
        <w:t>jet-grouting</w:t>
      </w:r>
      <w:r w:rsidRPr="00016AF4">
        <w:rPr>
          <w:rStyle w:val="Corpsdetexte12Car"/>
          <w:lang w:val="fr-FR"/>
        </w:rPr>
        <w:t xml:space="preserve"> a pu être mené à terme sans adaptation complémentaire</w:t>
      </w:r>
      <w:r>
        <w:rPr>
          <w:rStyle w:val="Corpsdetexte12Car"/>
          <w:lang w:val="fr-FR"/>
        </w:rPr>
        <w:t>,</w:t>
      </w:r>
      <w:r w:rsidRPr="00016AF4">
        <w:rPr>
          <w:rStyle w:val="Corpsdetexte12Car"/>
          <w:lang w:val="fr-FR"/>
        </w:rPr>
        <w:t xml:space="preserve"> notamment de l’énergie utilisée pour l’exécution des colonnes.</w:t>
      </w:r>
    </w:p>
    <w:p w:rsidR="00D35AB0" w:rsidRPr="00016AF4" w:rsidRDefault="00D35AB0" w:rsidP="00D35AB0">
      <w:pPr>
        <w:pStyle w:val="Titre2"/>
        <w:numPr>
          <w:ilvl w:val="1"/>
          <w:numId w:val="1"/>
        </w:numPr>
      </w:pPr>
      <w:r w:rsidRPr="00016AF4">
        <w:t>Obstacles en surface et protection</w:t>
      </w:r>
    </w:p>
    <w:p w:rsidR="00D35AB0" w:rsidRPr="00016AF4" w:rsidRDefault="00D35AB0" w:rsidP="00D35AB0">
      <w:pPr>
        <w:pStyle w:val="Corpsdetexte12retrait5mm"/>
        <w:rPr>
          <w:rStyle w:val="Corpsdetexte12Car"/>
          <w:lang w:val="fr-FR"/>
        </w:rPr>
      </w:pPr>
      <w:r w:rsidRPr="00016AF4">
        <w:rPr>
          <w:rStyle w:val="Corpsdetexte12Car"/>
          <w:lang w:val="fr-FR"/>
        </w:rPr>
        <w:t xml:space="preserve">L’ouvrage OA 401P est implanté à proximité d’une conduite de gaz et d’eau, d’une antenne, et d’une voirie (réseau </w:t>
      </w:r>
      <w:proofErr w:type="spellStart"/>
      <w:r w:rsidRPr="00016AF4">
        <w:rPr>
          <w:rStyle w:val="Corpsdetexte12Car"/>
          <w:lang w:val="fr-FR"/>
        </w:rPr>
        <w:t>GrDF</w:t>
      </w:r>
      <w:proofErr w:type="spellEnd"/>
      <w:r w:rsidRPr="00016AF4">
        <w:rPr>
          <w:rStyle w:val="Corpsdetexte12Car"/>
          <w:lang w:val="fr-FR"/>
        </w:rPr>
        <w:t xml:space="preserve"> en vert cf. </w:t>
      </w:r>
      <w:r w:rsidRPr="00016AF4">
        <w:rPr>
          <w:rStyle w:val="Corpsdetexte12Car"/>
          <w:lang w:val="fr-FR"/>
        </w:rPr>
        <w:fldChar w:fldCharType="begin"/>
      </w:r>
      <w:r w:rsidRPr="00016AF4">
        <w:rPr>
          <w:rStyle w:val="Corpsdetexte12Car"/>
          <w:lang w:val="fr-FR"/>
        </w:rPr>
        <w:instrText xml:space="preserve"> REF _Ref92803349 \h </w:instrText>
      </w:r>
      <w:r w:rsidRPr="00016AF4">
        <w:rPr>
          <w:rStyle w:val="Corpsdetexte12Car"/>
          <w:lang w:val="fr-FR"/>
        </w:rPr>
      </w:r>
      <w:r w:rsidRPr="00016AF4">
        <w:rPr>
          <w:rStyle w:val="Corpsdetexte12Car"/>
          <w:lang w:val="fr-FR"/>
        </w:rPr>
        <w:fldChar w:fldCharType="separate"/>
      </w:r>
      <w:r w:rsidRPr="00016AF4">
        <w:rPr>
          <w:color w:val="000000" w:themeColor="text1"/>
        </w:rPr>
        <w:t xml:space="preserve">Figure </w:t>
      </w:r>
      <w:r>
        <w:rPr>
          <w:noProof/>
          <w:color w:val="000000" w:themeColor="text1"/>
        </w:rPr>
        <w:t>8</w:t>
      </w:r>
      <w:r w:rsidRPr="00016AF4">
        <w:rPr>
          <w:rStyle w:val="Corpsdetexte12Car"/>
          <w:lang w:val="fr-FR"/>
        </w:rPr>
        <w:fldChar w:fldCharType="end"/>
      </w:r>
      <w:r w:rsidRPr="00016AF4">
        <w:rPr>
          <w:rStyle w:val="Corpsdetexte12Car"/>
          <w:lang w:val="fr-FR"/>
        </w:rPr>
        <w:t xml:space="preserve">). La circulation devait y être maintenue, empêchant la mise à découvert de la conduite. Ces contraintes, pour la réalisation des bouchons pour l’entrée et la sortie du TBM, ont conduit aux dispositions suivantes : </w:t>
      </w:r>
    </w:p>
    <w:p w:rsidR="00D35AB0" w:rsidRPr="00016AF4" w:rsidRDefault="00D35AB0" w:rsidP="00D35AB0">
      <w:pPr>
        <w:pStyle w:val="Corpsdetexte12retrait5mm"/>
        <w:numPr>
          <w:ilvl w:val="0"/>
          <w:numId w:val="9"/>
        </w:numPr>
        <w:rPr>
          <w:rStyle w:val="Corpsdetexte12Car"/>
          <w:lang w:val="fr-FR"/>
        </w:rPr>
      </w:pPr>
      <w:r w:rsidRPr="00016AF4">
        <w:rPr>
          <w:rStyle w:val="Corpsdetexte12Car"/>
          <w:lang w:val="fr-FR"/>
        </w:rPr>
        <w:t>Inclinaison des forages : 20 % des forages jusqu’à 22 ° selon la verticale ;</w:t>
      </w:r>
    </w:p>
    <w:p w:rsidR="00D35AB0" w:rsidRPr="00016AF4" w:rsidRDefault="00D35AB0" w:rsidP="00D35AB0">
      <w:pPr>
        <w:pStyle w:val="Corpsdetexte12retrait5mm"/>
        <w:numPr>
          <w:ilvl w:val="0"/>
          <w:numId w:val="9"/>
        </w:numPr>
        <w:rPr>
          <w:rStyle w:val="Corpsdetexte12Car"/>
          <w:lang w:val="fr-FR"/>
        </w:rPr>
      </w:pPr>
      <w:r w:rsidRPr="00016AF4">
        <w:rPr>
          <w:rStyle w:val="Corpsdetexte12Car"/>
          <w:lang w:val="fr-FR"/>
        </w:rPr>
        <w:t>Réduction de la taille de bouchon Sud avec l’ajout d’une virole</w:t>
      </w:r>
      <w:r>
        <w:rPr>
          <w:rStyle w:val="Corpsdetexte12Car"/>
          <w:lang w:val="fr-FR"/>
        </w:rPr>
        <w:t> ;</w:t>
      </w:r>
    </w:p>
    <w:p w:rsidR="00D35AB0" w:rsidRPr="00016AF4" w:rsidRDefault="00D35AB0" w:rsidP="00D35AB0">
      <w:pPr>
        <w:pStyle w:val="Corpsdetexte12retrait5mm"/>
        <w:numPr>
          <w:ilvl w:val="0"/>
          <w:numId w:val="9"/>
        </w:numPr>
        <w:rPr>
          <w:rStyle w:val="Corpsdetexte12Car"/>
          <w:lang w:val="fr-FR"/>
        </w:rPr>
      </w:pPr>
      <w:r w:rsidRPr="00016AF4">
        <w:rPr>
          <w:rStyle w:val="Corpsdetexte12Car"/>
          <w:lang w:val="fr-FR"/>
        </w:rPr>
        <w:t>Surveillance rapprochée de la conduite en cours de production</w:t>
      </w:r>
      <w:r>
        <w:rPr>
          <w:rStyle w:val="Corpsdetexte12Car"/>
          <w:lang w:val="fr-FR"/>
        </w:rPr>
        <w:t>.</w:t>
      </w:r>
    </w:p>
    <w:p w:rsidR="00D35AB0" w:rsidRPr="00016AF4" w:rsidRDefault="00D35AB0" w:rsidP="00D35AB0">
      <w:pPr>
        <w:pStyle w:val="Corpsdetexte12retrait5mm"/>
        <w:ind w:firstLine="284"/>
        <w:rPr>
          <w:rStyle w:val="Corpsdetexte12Car"/>
          <w:lang w:val="fr-FR"/>
        </w:rPr>
      </w:pPr>
      <w:r w:rsidRPr="00016AF4">
        <w:rPr>
          <w:rStyle w:val="Corpsdetexte12Car"/>
          <w:lang w:val="fr-FR"/>
        </w:rPr>
        <w:t xml:space="preserve">Un traitement mixte a été effectué en débutant par le </w:t>
      </w:r>
      <w:r>
        <w:rPr>
          <w:rStyle w:val="Corpsdetexte12Car"/>
          <w:lang w:val="fr-FR"/>
        </w:rPr>
        <w:t>jet-grouting</w:t>
      </w:r>
      <w:r w:rsidRPr="00016AF4">
        <w:rPr>
          <w:rStyle w:val="Corpsdetexte12Car"/>
          <w:lang w:val="fr-FR"/>
        </w:rPr>
        <w:t xml:space="preserve"> suivi des injections IRS. Malgré ces dispositions sécuritaires mises en œuvre, des mesures supplémentaires ont été adoptées dès les premières déformations constatées</w:t>
      </w:r>
      <w:r>
        <w:rPr>
          <w:rStyle w:val="Corpsdetexte12Car"/>
          <w:lang w:val="fr-FR"/>
        </w:rPr>
        <w:t>.</w:t>
      </w:r>
    </w:p>
    <w:p w:rsidR="00D35AB0" w:rsidRPr="00016AF4" w:rsidRDefault="00D35AB0" w:rsidP="00D35AB0">
      <w:pPr>
        <w:pStyle w:val="Corpsdetexte12retrait5mm"/>
        <w:ind w:firstLine="284"/>
        <w:rPr>
          <w:rStyle w:val="Corpsdetexte12Car"/>
          <w:lang w:val="fr-FR"/>
        </w:rPr>
      </w:pPr>
      <w:r w:rsidRPr="00016AF4">
        <w:rPr>
          <w:rStyle w:val="Corpsdetexte12Car"/>
          <w:lang w:val="fr-FR"/>
        </w:rPr>
        <w:t xml:space="preserve">Pendant la phase de </w:t>
      </w:r>
      <w:r>
        <w:rPr>
          <w:rStyle w:val="Corpsdetexte12Car"/>
          <w:lang w:val="fr-FR"/>
        </w:rPr>
        <w:t>jet-grouting</w:t>
      </w:r>
      <w:r w:rsidRPr="00016AF4">
        <w:rPr>
          <w:rStyle w:val="Corpsdetexte12Car"/>
          <w:lang w:val="fr-FR"/>
        </w:rPr>
        <w:t> :</w:t>
      </w:r>
    </w:p>
    <w:p w:rsidR="00D35AB0" w:rsidRPr="00016AF4" w:rsidRDefault="00D35AB0" w:rsidP="00D35AB0">
      <w:pPr>
        <w:pStyle w:val="Corpsdetexte12retrait5mm"/>
        <w:numPr>
          <w:ilvl w:val="0"/>
          <w:numId w:val="10"/>
        </w:numPr>
        <w:rPr>
          <w:rStyle w:val="Corpsdetexte12Car"/>
          <w:lang w:val="fr-FR"/>
        </w:rPr>
      </w:pPr>
      <w:r w:rsidRPr="00016AF4">
        <w:rPr>
          <w:rStyle w:val="Corpsdetexte12Car"/>
          <w:lang w:val="fr-FR"/>
        </w:rPr>
        <w:t xml:space="preserve">Forages en gros diamètre (200 mm) et pré-jet à l’eau, basse pression (environ 200 bars) pour faciliter la remontée du </w:t>
      </w:r>
      <w:proofErr w:type="gramStart"/>
      <w:r w:rsidRPr="00016AF4">
        <w:rPr>
          <w:rStyle w:val="Corpsdetexte12Car"/>
          <w:lang w:val="fr-FR"/>
        </w:rPr>
        <w:t>spoil</w:t>
      </w:r>
      <w:r>
        <w:rPr>
          <w:rStyle w:val="Corpsdetexte12Car"/>
          <w:lang w:val="fr-FR"/>
        </w:rPr>
        <w:t>;</w:t>
      </w:r>
      <w:proofErr w:type="gramEnd"/>
    </w:p>
    <w:p w:rsidR="00D35AB0" w:rsidRPr="00016AF4" w:rsidRDefault="00D35AB0" w:rsidP="00D35AB0">
      <w:pPr>
        <w:pStyle w:val="Corpsdetexte12retrait5mm"/>
        <w:numPr>
          <w:ilvl w:val="0"/>
          <w:numId w:val="10"/>
        </w:numPr>
        <w:rPr>
          <w:rStyle w:val="Corpsdetexte12Car"/>
          <w:lang w:val="fr-FR"/>
        </w:rPr>
      </w:pPr>
      <w:r w:rsidRPr="00016AF4">
        <w:rPr>
          <w:rStyle w:val="Corpsdetexte12Car"/>
          <w:lang w:val="fr-FR"/>
        </w:rPr>
        <w:t>Surveillance du spoil avec interruption</w:t>
      </w:r>
      <w:r>
        <w:rPr>
          <w:rStyle w:val="Corpsdetexte12Car"/>
          <w:lang w:val="fr-FR"/>
        </w:rPr>
        <w:t xml:space="preserve"> des travaux</w:t>
      </w:r>
      <w:r w:rsidRPr="00016AF4">
        <w:rPr>
          <w:rStyle w:val="Corpsdetexte12Car"/>
          <w:lang w:val="fr-FR"/>
        </w:rPr>
        <w:t xml:space="preserve"> en cas de remontée discontinue ;</w:t>
      </w:r>
    </w:p>
    <w:p w:rsidR="00D35AB0" w:rsidRPr="00016AF4" w:rsidRDefault="00D35AB0" w:rsidP="00D35AB0">
      <w:pPr>
        <w:pStyle w:val="Corpsdetexte12retrait5mm"/>
        <w:numPr>
          <w:ilvl w:val="0"/>
          <w:numId w:val="10"/>
        </w:numPr>
        <w:rPr>
          <w:rStyle w:val="Corpsdetexte12Car"/>
          <w:lang w:val="fr-FR"/>
        </w:rPr>
      </w:pPr>
      <w:r w:rsidRPr="00016AF4">
        <w:rPr>
          <w:rStyle w:val="Corpsdetexte12Car"/>
          <w:lang w:val="fr-FR"/>
        </w:rPr>
        <w:t>Phasage de la réalisation des colonnes afin de garder une distance minimale entre deux colonnes consécutives et créer une barrière vis-à-vis des avoisinants sensibles.</w:t>
      </w:r>
    </w:p>
    <w:p w:rsidR="00D35AB0" w:rsidRPr="00016AF4" w:rsidRDefault="00D35AB0" w:rsidP="00D35AB0">
      <w:pPr>
        <w:pStyle w:val="Corpsdetexte12retrait5mm"/>
        <w:ind w:firstLine="284"/>
        <w:rPr>
          <w:rStyle w:val="Corpsdetexte12Car"/>
          <w:lang w:val="fr-FR"/>
        </w:rPr>
      </w:pPr>
      <w:r w:rsidRPr="00016AF4">
        <w:rPr>
          <w:rStyle w:val="Corpsdetexte12Car"/>
          <w:lang w:val="fr-FR"/>
        </w:rPr>
        <w:t>Pour la phase d’injection</w:t>
      </w:r>
      <w:r>
        <w:rPr>
          <w:rStyle w:val="Corpsdetexte12Car"/>
          <w:lang w:val="fr-FR"/>
        </w:rPr>
        <w:t xml:space="preserve"> IRS</w:t>
      </w:r>
      <w:r w:rsidRPr="00016AF4">
        <w:rPr>
          <w:rStyle w:val="Corpsdetexte12Car"/>
          <w:lang w:val="fr-FR"/>
        </w:rPr>
        <w:t> :</w:t>
      </w:r>
    </w:p>
    <w:p w:rsidR="00D35AB0" w:rsidRPr="00016AF4" w:rsidRDefault="00D35AB0" w:rsidP="00D35AB0">
      <w:pPr>
        <w:pStyle w:val="Corpsdetexte12retrait5mm"/>
        <w:numPr>
          <w:ilvl w:val="0"/>
          <w:numId w:val="11"/>
        </w:numPr>
        <w:rPr>
          <w:rStyle w:val="Corpsdetexte12Car"/>
          <w:lang w:val="fr-FR"/>
        </w:rPr>
      </w:pPr>
      <w:r w:rsidRPr="00016AF4">
        <w:rPr>
          <w:rStyle w:val="Corpsdetexte12Car"/>
          <w:lang w:val="fr-FR"/>
        </w:rPr>
        <w:t>Réduction du débit d’injection (environ 7 L/min) ;</w:t>
      </w:r>
    </w:p>
    <w:p w:rsidR="00D35AB0" w:rsidRPr="00016AF4" w:rsidRDefault="00D35AB0" w:rsidP="00D35AB0">
      <w:pPr>
        <w:pStyle w:val="Corpsdetexte12retrait5mm"/>
        <w:numPr>
          <w:ilvl w:val="0"/>
          <w:numId w:val="11"/>
        </w:numPr>
        <w:rPr>
          <w:rStyle w:val="Corpsdetexte12Car"/>
          <w:lang w:val="fr-FR"/>
        </w:rPr>
      </w:pPr>
      <w:r w:rsidRPr="00016AF4">
        <w:rPr>
          <w:rStyle w:val="Corpsdetexte12Car"/>
          <w:lang w:val="fr-FR"/>
        </w:rPr>
        <w:t>Distance minimale (5 m) entre deux forages d’injection simultanés.</w:t>
      </w:r>
    </w:p>
    <w:p w:rsidR="00D35AB0" w:rsidRPr="00016AF4" w:rsidRDefault="00D35AB0" w:rsidP="00D35AB0">
      <w:pPr>
        <w:pStyle w:val="Corpsdetexte12retrait5mm"/>
        <w:rPr>
          <w:color w:val="2F5496" w:themeColor="accent5" w:themeShade="BF"/>
          <w:lang w:val="fr-FR"/>
        </w:rPr>
      </w:pPr>
      <w:r w:rsidRPr="00016AF4">
        <w:rPr>
          <w:noProof/>
          <w:lang w:val="fr-FR" w:eastAsia="fr-FR"/>
        </w:rPr>
        <w:drawing>
          <wp:anchor distT="0" distB="0" distL="114300" distR="114300" simplePos="0" relativeHeight="251659264" behindDoc="0" locked="0" layoutInCell="1" allowOverlap="1" wp14:anchorId="0C9CDD3D" wp14:editId="78E01C5D">
            <wp:simplePos x="0" y="0"/>
            <wp:positionH relativeFrom="column">
              <wp:posOffset>2585085</wp:posOffset>
            </wp:positionH>
            <wp:positionV relativeFrom="paragraph">
              <wp:posOffset>80645</wp:posOffset>
            </wp:positionV>
            <wp:extent cx="3489325" cy="2184400"/>
            <wp:effectExtent l="0" t="0" r="0" b="635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89325" cy="2184400"/>
                    </a:xfrm>
                    <a:prstGeom prst="rect">
                      <a:avLst/>
                    </a:prstGeom>
                  </pic:spPr>
                </pic:pic>
              </a:graphicData>
            </a:graphic>
            <wp14:sizeRelH relativeFrom="margin">
              <wp14:pctWidth>0</wp14:pctWidth>
            </wp14:sizeRelH>
            <wp14:sizeRelV relativeFrom="margin">
              <wp14:pctHeight>0</wp14:pctHeight>
            </wp14:sizeRelV>
          </wp:anchor>
        </w:drawing>
      </w:r>
      <w:r w:rsidRPr="00016AF4">
        <w:rPr>
          <w:noProof/>
          <w:lang w:val="fr-FR" w:eastAsia="fr-FR"/>
        </w:rPr>
        <w:drawing>
          <wp:inline distT="0" distB="0" distL="0" distR="0" wp14:anchorId="48AD0642" wp14:editId="30D5F02A">
            <wp:extent cx="2449877" cy="2304000"/>
            <wp:effectExtent l="0" t="0" r="7620" b="127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49877" cy="2304000"/>
                    </a:xfrm>
                    <a:prstGeom prst="rect">
                      <a:avLst/>
                    </a:prstGeom>
                  </pic:spPr>
                </pic:pic>
              </a:graphicData>
            </a:graphic>
          </wp:inline>
        </w:drawing>
      </w:r>
    </w:p>
    <w:p w:rsidR="00D35AB0" w:rsidRPr="00016AF4" w:rsidRDefault="00D35AB0" w:rsidP="00D35AB0">
      <w:pPr>
        <w:pStyle w:val="titredefigure"/>
        <w:spacing w:before="0"/>
        <w:rPr>
          <w:color w:val="000000" w:themeColor="text1"/>
        </w:rPr>
      </w:pPr>
      <w:bookmarkStart w:id="9" w:name="_Ref92803349"/>
      <w:r w:rsidRPr="00016AF4">
        <w:rPr>
          <w:color w:val="000000" w:themeColor="text1"/>
        </w:rPr>
        <w:t xml:space="preserve">Figure </w:t>
      </w:r>
      <w:r w:rsidRPr="00016AF4">
        <w:rPr>
          <w:color w:val="000000" w:themeColor="text1"/>
        </w:rPr>
        <w:fldChar w:fldCharType="begin"/>
      </w:r>
      <w:r w:rsidRPr="00016AF4">
        <w:rPr>
          <w:color w:val="000000" w:themeColor="text1"/>
        </w:rPr>
        <w:instrText xml:space="preserve"> SEQ Figure \* ARABIC </w:instrText>
      </w:r>
      <w:r w:rsidRPr="00016AF4">
        <w:rPr>
          <w:color w:val="000000" w:themeColor="text1"/>
        </w:rPr>
        <w:fldChar w:fldCharType="separate"/>
      </w:r>
      <w:r>
        <w:rPr>
          <w:noProof/>
          <w:color w:val="000000" w:themeColor="text1"/>
        </w:rPr>
        <w:t>8</w:t>
      </w:r>
      <w:r w:rsidRPr="00016AF4">
        <w:rPr>
          <w:color w:val="000000" w:themeColor="text1"/>
        </w:rPr>
        <w:fldChar w:fldCharType="end"/>
      </w:r>
      <w:bookmarkEnd w:id="9"/>
      <w:r w:rsidRPr="00016AF4">
        <w:rPr>
          <w:color w:val="000000" w:themeColor="text1"/>
        </w:rPr>
        <w:t> : Déplacement de la palissade au droit du bouchon (OA 401P) – Webuild NGE GC</w:t>
      </w:r>
    </w:p>
    <w:p w:rsidR="00D35AB0" w:rsidRPr="00016AF4" w:rsidRDefault="00D35AB0" w:rsidP="00D35AB0">
      <w:pPr>
        <w:pStyle w:val="Corpsdetexte12retrait5mm"/>
        <w:ind w:firstLine="284"/>
        <w:rPr>
          <w:rStyle w:val="Corpsdetexte12Car"/>
          <w:lang w:val="fr-FR"/>
        </w:rPr>
      </w:pPr>
      <w:r w:rsidRPr="00016AF4">
        <w:rPr>
          <w:rStyle w:val="Corpsdetexte12Car"/>
          <w:lang w:val="fr-FR"/>
        </w:rPr>
        <w:t xml:space="preserve">Des déplacements se sont produits en surface (cf. </w:t>
      </w:r>
      <w:r w:rsidRPr="00016AF4">
        <w:rPr>
          <w:rStyle w:val="Corpsdetexte12Car"/>
          <w:lang w:val="fr-FR"/>
        </w:rPr>
        <w:fldChar w:fldCharType="begin"/>
      </w:r>
      <w:r w:rsidRPr="00016AF4">
        <w:rPr>
          <w:rStyle w:val="Corpsdetexte12Car"/>
          <w:lang w:val="fr-FR"/>
        </w:rPr>
        <w:instrText xml:space="preserve"> REF _Ref92803349 \h </w:instrText>
      </w:r>
      <w:r w:rsidRPr="00016AF4">
        <w:rPr>
          <w:rStyle w:val="Corpsdetexte12Car"/>
          <w:lang w:val="fr-FR"/>
        </w:rPr>
      </w:r>
      <w:r w:rsidRPr="00016AF4">
        <w:rPr>
          <w:rStyle w:val="Corpsdetexte12Car"/>
          <w:lang w:val="fr-FR"/>
        </w:rPr>
        <w:fldChar w:fldCharType="separate"/>
      </w:r>
      <w:r w:rsidRPr="00016AF4">
        <w:rPr>
          <w:color w:val="000000" w:themeColor="text1"/>
        </w:rPr>
        <w:t xml:space="preserve">Figure </w:t>
      </w:r>
      <w:r>
        <w:rPr>
          <w:noProof/>
          <w:color w:val="000000" w:themeColor="text1"/>
        </w:rPr>
        <w:t>8</w:t>
      </w:r>
      <w:r w:rsidRPr="00016AF4">
        <w:rPr>
          <w:rStyle w:val="Corpsdetexte12Car"/>
          <w:lang w:val="fr-FR"/>
        </w:rPr>
        <w:fldChar w:fldCharType="end"/>
      </w:r>
      <w:r w:rsidRPr="00016AF4">
        <w:rPr>
          <w:rStyle w:val="Corpsdetexte12Car"/>
          <w:lang w:val="fr-FR"/>
        </w:rPr>
        <w:t xml:space="preserve">). Les plus importants ont été constatés sur la cible 26 sur la palissade (155 mm, où l’inclinaison des colonnes est maximale) et sur la cible 59 (142 mm, au droit de la conduite de gaz au niveau de la palissade). </w:t>
      </w:r>
      <w:r w:rsidRPr="00016AF4" w:rsidDel="007A35DC">
        <w:rPr>
          <w:rStyle w:val="Corpsdetexte12Car"/>
          <w:lang w:val="fr-FR"/>
        </w:rPr>
        <w:t xml:space="preserve">La méthode observationnelle a alors été mise en place pour gérer le risque, avec une auscultation continue transmettant des alertes en temps réel lorsque les seuils de déformations étaient dépassés. </w:t>
      </w:r>
      <w:r w:rsidRPr="00016AF4">
        <w:rPr>
          <w:rStyle w:val="Corpsdetexte12Car"/>
          <w:lang w:val="fr-FR"/>
        </w:rPr>
        <w:t xml:space="preserve">Le chantier s’est poursuivi sans incident majeur et en accord avec l’exploitant. </w:t>
      </w:r>
    </w:p>
    <w:p w:rsidR="00D35AB0" w:rsidRPr="00016AF4" w:rsidRDefault="00D35AB0" w:rsidP="00D35AB0">
      <w:pPr>
        <w:pStyle w:val="Titre2"/>
        <w:numPr>
          <w:ilvl w:val="1"/>
          <w:numId w:val="1"/>
        </w:numPr>
      </w:pPr>
      <w:r w:rsidRPr="00016AF4">
        <w:lastRenderedPageBreak/>
        <w:t>Venues d’eau au terrassement ou au carottage</w:t>
      </w:r>
    </w:p>
    <w:p w:rsidR="00D35AB0" w:rsidRPr="00016AF4" w:rsidRDefault="00D35AB0" w:rsidP="00D35AB0">
      <w:pPr>
        <w:pStyle w:val="Corpsdetexte12retrait5mm"/>
        <w:rPr>
          <w:lang w:val="fr-FR"/>
        </w:rPr>
      </w:pPr>
      <w:r w:rsidRPr="00016AF4">
        <w:rPr>
          <w:noProof/>
          <w:lang w:val="fr-FR" w:eastAsia="fr-FR"/>
        </w:rPr>
        <w:drawing>
          <wp:inline distT="0" distB="0" distL="0" distR="0" wp14:anchorId="1A6B3B19" wp14:editId="1EC6FEA2">
            <wp:extent cx="3758184" cy="173589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trnguyen\Desktop\GEO\Article - Grand Paris Express\JNGG 2022\Brouillon\Photos\Carottage de contrôle.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73869" cy="1743140"/>
                    </a:xfrm>
                    <a:prstGeom prst="rect">
                      <a:avLst/>
                    </a:prstGeom>
                    <a:noFill/>
                    <a:ln>
                      <a:noFill/>
                    </a:ln>
                  </pic:spPr>
                </pic:pic>
              </a:graphicData>
            </a:graphic>
          </wp:inline>
        </w:drawing>
      </w:r>
      <w:r w:rsidRPr="00016AF4">
        <w:rPr>
          <w:noProof/>
          <w:lang w:val="fr-FR" w:eastAsia="fr-FR"/>
        </w:rPr>
        <w:drawing>
          <wp:inline distT="0" distB="0" distL="0" distR="0" wp14:anchorId="53234A71" wp14:editId="0BEBB6BB">
            <wp:extent cx="2341616" cy="1792224"/>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7b - Carottage horizontal du rameau 3301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2475" cy="1800535"/>
                    </a:xfrm>
                    <a:prstGeom prst="rect">
                      <a:avLst/>
                    </a:prstGeom>
                  </pic:spPr>
                </pic:pic>
              </a:graphicData>
            </a:graphic>
          </wp:inline>
        </w:drawing>
      </w:r>
    </w:p>
    <w:p w:rsidR="00D35AB0" w:rsidRPr="00016AF4" w:rsidRDefault="00D35AB0" w:rsidP="00D35AB0">
      <w:pPr>
        <w:pStyle w:val="titredefigure"/>
        <w:spacing w:before="0"/>
      </w:pPr>
      <w:bookmarkStart w:id="10" w:name="_Ref92803441"/>
      <w:r w:rsidRPr="00016AF4">
        <w:t xml:space="preserve">Figure </w:t>
      </w:r>
      <w:r w:rsidRPr="00016AF4">
        <w:rPr>
          <w:color w:val="000000" w:themeColor="text1"/>
        </w:rPr>
        <w:fldChar w:fldCharType="begin"/>
      </w:r>
      <w:r w:rsidRPr="00016AF4">
        <w:rPr>
          <w:color w:val="000000" w:themeColor="text1"/>
        </w:rPr>
        <w:instrText xml:space="preserve"> SEQ Figure \* ARABIC </w:instrText>
      </w:r>
      <w:r w:rsidRPr="00016AF4">
        <w:rPr>
          <w:color w:val="000000" w:themeColor="text1"/>
        </w:rPr>
        <w:fldChar w:fldCharType="separate"/>
      </w:r>
      <w:r>
        <w:rPr>
          <w:noProof/>
          <w:color w:val="000000" w:themeColor="text1"/>
        </w:rPr>
        <w:t>9</w:t>
      </w:r>
      <w:r w:rsidRPr="00016AF4">
        <w:rPr>
          <w:color w:val="000000" w:themeColor="text1"/>
        </w:rPr>
        <w:fldChar w:fldCharType="end"/>
      </w:r>
      <w:bookmarkEnd w:id="10"/>
      <w:r w:rsidRPr="00016AF4">
        <w:rPr>
          <w:color w:val="000000" w:themeColor="text1"/>
        </w:rPr>
        <w:t> :</w:t>
      </w:r>
      <w:r w:rsidRPr="00016AF4">
        <w:t xml:space="preserve"> Carottage horizontal du rameau OA 3301P- Eiffage</w:t>
      </w:r>
    </w:p>
    <w:p w:rsidR="00D35AB0" w:rsidRPr="00016AF4" w:rsidRDefault="00D35AB0" w:rsidP="00D35AB0">
      <w:pPr>
        <w:pStyle w:val="Corpsdetexte12retrait5mm"/>
        <w:rPr>
          <w:rStyle w:val="Corpsdetexte12Car"/>
          <w:lang w:val="fr-FR"/>
        </w:rPr>
      </w:pPr>
      <w:r w:rsidRPr="00016AF4">
        <w:rPr>
          <w:rStyle w:val="Corpsdetexte12Car"/>
          <w:lang w:val="fr-FR"/>
        </w:rPr>
        <w:t xml:space="preserve">Bien que les bouchons traités soient globalement de bonne qualité, certains ont nécessité des injections horizontales supplémentaires à la résine et/ou au coulis de ciment. La présence d’éléments de grès dans les </w:t>
      </w:r>
      <w:r>
        <w:rPr>
          <w:rStyle w:val="Corpsdetexte12Car"/>
          <w:lang w:val="fr-FR"/>
        </w:rPr>
        <w:t>SB</w:t>
      </w:r>
      <w:r w:rsidRPr="00016AF4">
        <w:rPr>
          <w:rStyle w:val="Corpsdetexte12Car"/>
          <w:lang w:val="fr-FR"/>
        </w:rPr>
        <w:t xml:space="preserve"> (cf. </w:t>
      </w:r>
      <w:r w:rsidRPr="00016AF4">
        <w:rPr>
          <w:rStyle w:val="Corpsdetexte12Car"/>
          <w:lang w:val="fr-FR"/>
        </w:rPr>
        <w:fldChar w:fldCharType="begin"/>
      </w:r>
      <w:r w:rsidRPr="00016AF4">
        <w:rPr>
          <w:rStyle w:val="Corpsdetexte12Car"/>
          <w:lang w:val="fr-FR"/>
        </w:rPr>
        <w:instrText xml:space="preserve"> REF _Ref92803441 \h </w:instrText>
      </w:r>
      <w:r w:rsidRPr="00016AF4">
        <w:rPr>
          <w:rStyle w:val="Corpsdetexte12Car"/>
          <w:lang w:val="fr-FR"/>
        </w:rPr>
      </w:r>
      <w:r w:rsidRPr="00016AF4">
        <w:rPr>
          <w:rStyle w:val="Corpsdetexte12Car"/>
          <w:lang w:val="fr-FR"/>
        </w:rPr>
        <w:fldChar w:fldCharType="separate"/>
      </w:r>
      <w:r w:rsidRPr="00016AF4">
        <w:t xml:space="preserve">Figure </w:t>
      </w:r>
      <w:r>
        <w:rPr>
          <w:noProof/>
          <w:color w:val="000000" w:themeColor="text1"/>
        </w:rPr>
        <w:t>9</w:t>
      </w:r>
      <w:r w:rsidRPr="00016AF4">
        <w:rPr>
          <w:rStyle w:val="Corpsdetexte12Car"/>
          <w:lang w:val="fr-FR"/>
        </w:rPr>
        <w:fldChar w:fldCharType="end"/>
      </w:r>
      <w:r w:rsidRPr="00016AF4">
        <w:rPr>
          <w:rStyle w:val="Corpsdetexte12Car"/>
          <w:lang w:val="fr-FR"/>
        </w:rPr>
        <w:t xml:space="preserve">), pourtant identifiée lors des reconnaissances mais dont l’étendue restait incertaine, a ainsi contribué à réduire l’efficacité du traitement initial par </w:t>
      </w:r>
      <w:r>
        <w:rPr>
          <w:rStyle w:val="Corpsdetexte12Car"/>
          <w:lang w:val="fr-FR"/>
        </w:rPr>
        <w:t>jet-grouting</w:t>
      </w:r>
      <w:r w:rsidRPr="00016AF4">
        <w:rPr>
          <w:rStyle w:val="Corpsdetexte12Car"/>
          <w:lang w:val="fr-FR"/>
        </w:rPr>
        <w:t>. Les contrôles de collage, prévus initialement pour les bouchons réalisés avant les parois moulées, ont été généralisés et systématiquement injectés, car ils permettent également de vérifier l’intégrité du massif de terrain traité et de fiabiliser le traitement au contact paroi moulée / bouchon.</w:t>
      </w:r>
    </w:p>
    <w:p w:rsidR="00D35AB0" w:rsidRPr="00016AF4" w:rsidRDefault="00D35AB0" w:rsidP="00D35AB0">
      <w:pPr>
        <w:pStyle w:val="Corpsdetexte12retrait5mm"/>
        <w:ind w:firstLine="284"/>
        <w:rPr>
          <w:rStyle w:val="Corpsdetexte12Car"/>
          <w:lang w:val="fr-FR"/>
        </w:rPr>
      </w:pPr>
    </w:p>
    <w:p w:rsidR="00D35AB0" w:rsidRPr="00016AF4" w:rsidRDefault="00D35AB0" w:rsidP="00D35AB0">
      <w:pPr>
        <w:pStyle w:val="Titre1"/>
        <w:rPr>
          <w:lang w:val="fr-FR"/>
        </w:rPr>
      </w:pPr>
      <w:r w:rsidRPr="00016AF4">
        <w:rPr>
          <w:lang w:val="fr-FR"/>
        </w:rPr>
        <w:t>Conclusions</w:t>
      </w:r>
    </w:p>
    <w:p w:rsidR="00D35AB0" w:rsidRPr="00016AF4" w:rsidRDefault="00D35AB0" w:rsidP="00D35AB0">
      <w:pPr>
        <w:jc w:val="both"/>
        <w:rPr>
          <w:rStyle w:val="Corpsdetexte12Car"/>
          <w:iCs/>
          <w:lang w:val="fr-FR"/>
        </w:rPr>
      </w:pPr>
      <w:r w:rsidRPr="00016AF4">
        <w:rPr>
          <w:rStyle w:val="Corpsdetexte12Car"/>
          <w:rFonts w:eastAsiaTheme="minorHAnsi"/>
          <w:iCs/>
          <w:lang w:val="fr-FR"/>
        </w:rPr>
        <w:t>La création du métro souterrain de la ligne 16 du Grand Paris Express étant réalisés sous nappe, les travaux, situés à l’interface tunnel / gare et puits, nécessitent de maitriser les venues d’eau. Les différentes techniques de traitement utilisées pour réduire la perméabilité des sols (objectif : 5 E</w:t>
      </w:r>
      <w:r w:rsidRPr="00016AF4">
        <w:rPr>
          <w:rStyle w:val="Corpsdetexte12Car"/>
          <w:rFonts w:eastAsiaTheme="minorHAnsi"/>
          <w:iCs/>
          <w:vertAlign w:val="superscript"/>
          <w:lang w:val="fr-FR"/>
        </w:rPr>
        <w:t>-6</w:t>
      </w:r>
      <w:r w:rsidRPr="00016AF4">
        <w:rPr>
          <w:rStyle w:val="Corpsdetexte12Car"/>
          <w:rFonts w:eastAsiaTheme="minorHAnsi"/>
          <w:iCs/>
          <w:lang w:val="fr-FR"/>
        </w:rPr>
        <w:t xml:space="preserve"> à 5 E</w:t>
      </w:r>
      <w:r w:rsidRPr="00016AF4">
        <w:rPr>
          <w:rStyle w:val="Corpsdetexte12Car"/>
          <w:rFonts w:eastAsiaTheme="minorHAnsi"/>
          <w:iCs/>
          <w:vertAlign w:val="superscript"/>
          <w:lang w:val="fr-FR"/>
        </w:rPr>
        <w:t>-7</w:t>
      </w:r>
      <w:r w:rsidRPr="00016AF4">
        <w:rPr>
          <w:rStyle w:val="Corpsdetexte12Car"/>
          <w:rFonts w:eastAsiaTheme="minorHAnsi"/>
          <w:iCs/>
          <w:lang w:val="fr-FR"/>
        </w:rPr>
        <w:t xml:space="preserve"> m/s) sont le </w:t>
      </w:r>
      <w:r>
        <w:rPr>
          <w:rStyle w:val="Corpsdetexte12Car"/>
          <w:rFonts w:eastAsiaTheme="minorHAnsi"/>
          <w:iCs/>
          <w:lang w:val="fr-FR"/>
        </w:rPr>
        <w:t>jet-grouting</w:t>
      </w:r>
      <w:r w:rsidRPr="00016AF4">
        <w:rPr>
          <w:rStyle w:val="Corpsdetexte12Car"/>
          <w:rFonts w:eastAsiaTheme="minorHAnsi"/>
          <w:iCs/>
          <w:lang w:val="fr-FR"/>
        </w:rPr>
        <w:t xml:space="preserve"> et les injections IRS. Bien que de nombreuses dispositions aient été mises en œuvre dans le cadre de la maitrise des risques, des aléas se sont produits nécessitant une réactivité et une adaptation des méthodes, pour maitriser les soulèvements (évents, phasage d’exécution adapté et un renforcement de l’auscultation) ou pour limiter les venues d’eau</w:t>
      </w:r>
      <w:r>
        <w:rPr>
          <w:rStyle w:val="Corpsdetexte12Car"/>
          <w:rFonts w:eastAsiaTheme="minorHAnsi"/>
          <w:iCs/>
          <w:lang w:val="fr-FR"/>
        </w:rPr>
        <w:t xml:space="preserve"> </w:t>
      </w:r>
      <w:r w:rsidRPr="00016AF4">
        <w:rPr>
          <w:rStyle w:val="Corpsdetexte12Car"/>
          <w:rFonts w:eastAsiaTheme="minorHAnsi"/>
          <w:iCs/>
          <w:lang w:val="fr-FR"/>
        </w:rPr>
        <w:t>(systématisation des contrôles horizontaux et injections de collage). En plus de la nécessité d’un suivi d’exécution fin</w:t>
      </w:r>
      <w:r>
        <w:rPr>
          <w:rStyle w:val="Corpsdetexte12Car"/>
          <w:rFonts w:eastAsiaTheme="minorHAnsi"/>
          <w:iCs/>
          <w:lang w:val="fr-FR"/>
        </w:rPr>
        <w:t>,</w:t>
      </w:r>
      <w:r w:rsidRPr="00016AF4">
        <w:rPr>
          <w:rStyle w:val="Corpsdetexte12Car"/>
          <w:rFonts w:eastAsiaTheme="minorHAnsi"/>
          <w:iCs/>
          <w:lang w:val="fr-FR"/>
        </w:rPr>
        <w:t xml:space="preserve"> destiné à maitriser l’impact des travaux, il a été réalisé </w:t>
      </w:r>
      <w:r w:rsidRPr="008E5637">
        <w:rPr>
          <w:rStyle w:val="Corpsdetexte12Car"/>
          <w:rFonts w:eastAsiaTheme="minorHAnsi"/>
          <w:iCs/>
          <w:lang w:val="fr-FR"/>
        </w:rPr>
        <w:t>deux phases de contrôles (réception des travaux de traitement de terrain et vérification in situ de la faible perméabilité</w:t>
      </w:r>
      <w:r w:rsidRPr="00016AF4">
        <w:rPr>
          <w:rStyle w:val="Corpsdetexte12Car"/>
          <w:rFonts w:eastAsiaTheme="minorHAnsi"/>
          <w:iCs/>
          <w:lang w:val="fr-FR"/>
        </w:rPr>
        <w:t xml:space="preserve"> des massifs de sol) permettant de maitriser les risques et de sécuriser les délais des travaux. Les traitements de sols sont à réaliser préférentiellement après les parois moulées pour garantir un bon contact. S’ils sont réalisés avant, des injections de collages s’avèrent </w:t>
      </w:r>
      <w:r>
        <w:rPr>
          <w:rStyle w:val="Corpsdetexte12Car"/>
          <w:rFonts w:eastAsiaTheme="minorHAnsi"/>
          <w:iCs/>
          <w:lang w:val="fr-FR"/>
        </w:rPr>
        <w:t>sont</w:t>
      </w:r>
      <w:r w:rsidRPr="00016AF4">
        <w:rPr>
          <w:rStyle w:val="Corpsdetexte12Car"/>
          <w:rFonts w:eastAsiaTheme="minorHAnsi"/>
          <w:iCs/>
          <w:lang w:val="fr-FR"/>
        </w:rPr>
        <w:t xml:space="preserve"> nécessaires. Au regard des aléas constatés dans des emprises réduites</w:t>
      </w:r>
      <w:r>
        <w:rPr>
          <w:rStyle w:val="Corpsdetexte12Car"/>
          <w:rFonts w:eastAsiaTheme="minorHAnsi"/>
          <w:iCs/>
          <w:lang w:val="fr-FR"/>
        </w:rPr>
        <w:t>,</w:t>
      </w:r>
      <w:r w:rsidRPr="00016AF4">
        <w:rPr>
          <w:rStyle w:val="Corpsdetexte12Car"/>
          <w:rFonts w:eastAsiaTheme="minorHAnsi"/>
          <w:iCs/>
          <w:lang w:val="fr-FR"/>
        </w:rPr>
        <w:t xml:space="preserve"> </w:t>
      </w:r>
      <w:r>
        <w:rPr>
          <w:rStyle w:val="Corpsdetexte12Car"/>
          <w:rFonts w:eastAsiaTheme="minorHAnsi"/>
          <w:iCs/>
          <w:lang w:val="fr-FR"/>
        </w:rPr>
        <w:t xml:space="preserve">comportant parfois </w:t>
      </w:r>
      <w:r w:rsidRPr="00016AF4">
        <w:rPr>
          <w:rStyle w:val="Corpsdetexte12Car"/>
          <w:rFonts w:eastAsiaTheme="minorHAnsi"/>
          <w:iCs/>
          <w:lang w:val="fr-FR"/>
        </w:rPr>
        <w:t>d</w:t>
      </w:r>
      <w:r>
        <w:rPr>
          <w:rStyle w:val="Corpsdetexte12Car"/>
          <w:rFonts w:eastAsiaTheme="minorHAnsi"/>
          <w:iCs/>
          <w:lang w:val="fr-FR"/>
        </w:rPr>
        <w:t xml:space="preserve">es </w:t>
      </w:r>
      <w:r w:rsidRPr="00016AF4">
        <w:rPr>
          <w:rStyle w:val="Corpsdetexte12Car"/>
          <w:rFonts w:eastAsiaTheme="minorHAnsi"/>
          <w:iCs/>
          <w:lang w:val="fr-FR"/>
        </w:rPr>
        <w:t>obstacles en surface, l’opportunité de réaliser des traitements horizontaux mériterait d’être étudiée.</w:t>
      </w:r>
    </w:p>
    <w:p w:rsidR="00D35AB0" w:rsidRPr="006D271E" w:rsidRDefault="00D35AB0" w:rsidP="00D35AB0">
      <w:pPr>
        <w:pStyle w:val="Corpsdetexte12retrait5mm"/>
        <w:ind w:firstLine="284"/>
        <w:rPr>
          <w:rStyle w:val="Corpsdetexte12Car"/>
          <w:lang w:val="fr-FR"/>
        </w:rPr>
      </w:pPr>
    </w:p>
    <w:p w:rsidR="00D35AB0" w:rsidRPr="00016AF4" w:rsidRDefault="00D35AB0" w:rsidP="00D35AB0">
      <w:pPr>
        <w:pStyle w:val="Titre1"/>
        <w:ind w:firstLine="0"/>
        <w:rPr>
          <w:lang w:val="fr-FR"/>
        </w:rPr>
      </w:pPr>
      <w:r w:rsidRPr="00016AF4">
        <w:rPr>
          <w:lang w:val="fr-FR"/>
        </w:rPr>
        <w:t>Références bibliographiques</w:t>
      </w:r>
    </w:p>
    <w:p w:rsidR="00D35AB0" w:rsidRPr="008E5637" w:rsidRDefault="00D35AB0" w:rsidP="00D35AB0">
      <w:pPr>
        <w:pStyle w:val="Corpsdetexte12"/>
        <w:rPr>
          <w:lang w:val="en-US"/>
        </w:rPr>
      </w:pPr>
      <w:r w:rsidRPr="008E5637">
        <w:rPr>
          <w:lang w:val="en-US"/>
        </w:rPr>
        <w:t xml:space="preserve">Nguyen, </w:t>
      </w:r>
      <w:proofErr w:type="spellStart"/>
      <w:r w:rsidRPr="008E5637">
        <w:rPr>
          <w:lang w:val="en-US"/>
        </w:rPr>
        <w:t>Chalivat</w:t>
      </w:r>
      <w:proofErr w:type="spellEnd"/>
      <w:r w:rsidRPr="008E5637">
        <w:rPr>
          <w:lang w:val="en-US"/>
        </w:rPr>
        <w:t xml:space="preserve"> et al. (2022), Ground improvement by </w:t>
      </w:r>
      <w:r>
        <w:rPr>
          <w:lang w:val="en-US"/>
        </w:rPr>
        <w:t>jet-grouting</w:t>
      </w:r>
      <w:r w:rsidRPr="008E5637">
        <w:rPr>
          <w:lang w:val="en-US"/>
        </w:rPr>
        <w:t xml:space="preserve"> and injection to control hydraulic conditions in the frame of Grand Paris Express Project, North-East section: methodology and quality control sequence, Journal of mining </w:t>
      </w:r>
      <w:r w:rsidR="00F10131">
        <w:rPr>
          <w:lang w:val="en-US"/>
        </w:rPr>
        <w:t xml:space="preserve">&amp; </w:t>
      </w:r>
      <w:bookmarkStart w:id="11" w:name="_GoBack"/>
      <w:bookmarkEnd w:id="11"/>
      <w:r w:rsidRPr="008E5637">
        <w:rPr>
          <w:lang w:val="en-US"/>
        </w:rPr>
        <w:t>Earth Science.</w:t>
      </w:r>
    </w:p>
    <w:p w:rsidR="00D35AB0" w:rsidRPr="00016AF4" w:rsidRDefault="00D35AB0" w:rsidP="00D35AB0">
      <w:pPr>
        <w:pStyle w:val="Corpsdetexte12"/>
        <w:rPr>
          <w:lang w:val="fr-FR"/>
        </w:rPr>
      </w:pPr>
      <w:r w:rsidRPr="00016AF4">
        <w:rPr>
          <w:lang w:val="fr-FR"/>
        </w:rPr>
        <w:t>Giroux et al. (2021), Grand Paris Express L16 traitement des Sables de Beauchamp, Conférence AFTES (Paris)” Article n°343</w:t>
      </w:r>
    </w:p>
    <w:p w:rsidR="00822934" w:rsidRPr="00D35AB0" w:rsidRDefault="00D35AB0" w:rsidP="00D35AB0">
      <w:pPr>
        <w:pStyle w:val="Corpsdetexte12"/>
      </w:pPr>
      <w:r w:rsidRPr="00016AF4">
        <w:rPr>
          <w:lang w:val="fr-FR"/>
        </w:rPr>
        <w:t xml:space="preserve">Frappin, Morey (2001), mesure du diamètre des colonnes de </w:t>
      </w:r>
      <w:r>
        <w:rPr>
          <w:lang w:val="fr-FR"/>
        </w:rPr>
        <w:t>jet-grouting</w:t>
      </w:r>
      <w:r w:rsidRPr="00016AF4">
        <w:rPr>
          <w:lang w:val="fr-FR"/>
        </w:rPr>
        <w:t xml:space="preserve"> par la méthode du cylindre électrique</w:t>
      </w:r>
      <w:r w:rsidRPr="00016AF4">
        <w:rPr>
          <w:color w:val="000000" w:themeColor="text1"/>
          <w:lang w:val="fr-FR"/>
        </w:rPr>
        <w:t>, TRAVAUX, n°775, pp 55-60.</w:t>
      </w:r>
    </w:p>
    <w:sectPr w:rsidR="00822934" w:rsidRPr="00D35AB0" w:rsidSect="00B84B6D">
      <w:headerReference w:type="default" r:id="rId18"/>
      <w:footerReference w:type="even" r:id="rId19"/>
      <w:footerReference w:type="default" r:id="rId20"/>
      <w:pgSz w:w="11879" w:h="16817"/>
      <w:pgMar w:top="1134" w:right="1134" w:bottom="1134" w:left="1134" w:header="454" w:footer="454"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15EB" w:rsidRDefault="00D615EB">
      <w:r>
        <w:separator/>
      </w:r>
    </w:p>
  </w:endnote>
  <w:endnote w:type="continuationSeparator" w:id="0">
    <w:p w:rsidR="00D615EB" w:rsidRDefault="00D61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ant Garde">
    <w:altName w:val="Century Gothic"/>
    <w:panose1 w:val="00000000000000000000"/>
    <w:charset w:val="4D"/>
    <w:family w:val="auto"/>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3F8" w:rsidRDefault="00B84B6D">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0033F8" w:rsidRDefault="00D615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3F8" w:rsidRPr="00B16A79" w:rsidRDefault="00B84B6D">
    <w:pPr>
      <w:framePr w:wrap="around" w:vAnchor="text" w:hAnchor="margin" w:xAlign="center" w:y="1"/>
      <w:rPr>
        <w:rStyle w:val="Numrodepage"/>
        <w:rFonts w:ascii="Arial" w:hAnsi="Arial" w:cs="Arial"/>
        <w:sz w:val="22"/>
        <w:szCs w:val="22"/>
      </w:rPr>
    </w:pPr>
    <w:r w:rsidRPr="00B16A79">
      <w:rPr>
        <w:rStyle w:val="Numrodepage"/>
        <w:rFonts w:ascii="Arial" w:hAnsi="Arial" w:cs="Arial"/>
        <w:sz w:val="22"/>
        <w:szCs w:val="22"/>
      </w:rPr>
      <w:fldChar w:fldCharType="begin"/>
    </w:r>
    <w:r w:rsidRPr="00B16A79">
      <w:rPr>
        <w:rStyle w:val="Numrodepage"/>
        <w:rFonts w:ascii="Arial" w:hAnsi="Arial" w:cs="Arial"/>
        <w:sz w:val="22"/>
        <w:szCs w:val="22"/>
      </w:rPr>
      <w:instrText xml:space="preserve">PAGE  </w:instrText>
    </w:r>
    <w:r w:rsidRPr="00B16A79">
      <w:rPr>
        <w:rStyle w:val="Numrodepage"/>
        <w:rFonts w:ascii="Arial" w:hAnsi="Arial" w:cs="Arial"/>
        <w:sz w:val="22"/>
        <w:szCs w:val="22"/>
      </w:rPr>
      <w:fldChar w:fldCharType="separate"/>
    </w:r>
    <w:r>
      <w:rPr>
        <w:rStyle w:val="Numrodepage"/>
        <w:rFonts w:ascii="Arial" w:hAnsi="Arial" w:cs="Arial"/>
        <w:noProof/>
        <w:sz w:val="22"/>
        <w:szCs w:val="22"/>
      </w:rPr>
      <w:t>2</w:t>
    </w:r>
    <w:r w:rsidRPr="00B16A79">
      <w:rPr>
        <w:rStyle w:val="Numrodepage"/>
        <w:rFonts w:ascii="Arial" w:hAnsi="Arial" w:cs="Arial"/>
        <w:sz w:val="22"/>
        <w:szCs w:val="22"/>
      </w:rPr>
      <w:fldChar w:fldCharType="end"/>
    </w:r>
  </w:p>
  <w:p w:rsidR="000033F8" w:rsidRDefault="00D615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15EB" w:rsidRDefault="00D615EB">
      <w:r>
        <w:separator/>
      </w:r>
    </w:p>
  </w:footnote>
  <w:footnote w:type="continuationSeparator" w:id="0">
    <w:p w:rsidR="00D615EB" w:rsidRDefault="00D61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3F8" w:rsidRPr="0093246D" w:rsidRDefault="0013118E" w:rsidP="0093246D">
    <w:pPr>
      <w:pStyle w:val="En-tte"/>
    </w:pPr>
    <w:r>
      <w:t>11</w:t>
    </w:r>
    <w:r w:rsidRPr="0013118E">
      <w:rPr>
        <w:vertAlign w:val="superscript"/>
      </w:rPr>
      <w:t>emes</w:t>
    </w:r>
    <w:r>
      <w:t xml:space="preserve"> </w:t>
    </w:r>
    <w:r w:rsidR="00B84B6D">
      <w:t>Journées Nationales de Géotechnique et de Géologie de l’Ingénieur – Lyon 202</w:t>
    </w:r>
    <w:r>
      <w:t>2</w:t>
    </w:r>
  </w:p>
  <w:p w:rsidR="000033F8" w:rsidRDefault="00D615EB"/>
  <w:p w:rsidR="000033F8" w:rsidRDefault="00D615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D7AE3"/>
    <w:multiLevelType w:val="hybridMultilevel"/>
    <w:tmpl w:val="6108C85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15:restartNumberingAfterBreak="0">
    <w:nsid w:val="1E0E3AB3"/>
    <w:multiLevelType w:val="hybridMultilevel"/>
    <w:tmpl w:val="261675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6F6B14"/>
    <w:multiLevelType w:val="multilevel"/>
    <w:tmpl w:val="1054C22E"/>
    <w:lvl w:ilvl="0">
      <w:start w:val="1"/>
      <w:numFmt w:val="decimal"/>
      <w:pStyle w:val="Titre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F1D2BF9"/>
    <w:multiLevelType w:val="hybridMultilevel"/>
    <w:tmpl w:val="5B2E7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9469CB"/>
    <w:multiLevelType w:val="hybridMultilevel"/>
    <w:tmpl w:val="A57291A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15:restartNumberingAfterBreak="0">
    <w:nsid w:val="37E921B7"/>
    <w:multiLevelType w:val="hybridMultilevel"/>
    <w:tmpl w:val="5860B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9F22EB0"/>
    <w:multiLevelType w:val="hybridMultilevel"/>
    <w:tmpl w:val="8B48D77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47960513"/>
    <w:multiLevelType w:val="hybridMultilevel"/>
    <w:tmpl w:val="D42AFCF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15:restartNumberingAfterBreak="0">
    <w:nsid w:val="58C95DD0"/>
    <w:multiLevelType w:val="hybridMultilevel"/>
    <w:tmpl w:val="8EE0A2F4"/>
    <w:lvl w:ilvl="0" w:tplc="040C0001">
      <w:start w:val="1"/>
      <w:numFmt w:val="bullet"/>
      <w:lvlText w:val=""/>
      <w:lvlJc w:val="left"/>
      <w:pPr>
        <w:ind w:left="792" w:hanging="360"/>
      </w:pPr>
      <w:rPr>
        <w:rFonts w:ascii="Symbol" w:hAnsi="Symbo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9" w15:restartNumberingAfterBreak="0">
    <w:nsid w:val="5B71583A"/>
    <w:multiLevelType w:val="hybridMultilevel"/>
    <w:tmpl w:val="BEA090C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15:restartNumberingAfterBreak="0">
    <w:nsid w:val="77A135CF"/>
    <w:multiLevelType w:val="hybridMultilevel"/>
    <w:tmpl w:val="F690A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CF226E0"/>
    <w:multiLevelType w:val="hybridMultilevel"/>
    <w:tmpl w:val="5114E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
  </w:num>
  <w:num w:numId="4">
    <w:abstractNumId w:val="7"/>
  </w:num>
  <w:num w:numId="5">
    <w:abstractNumId w:val="6"/>
  </w:num>
  <w:num w:numId="6">
    <w:abstractNumId w:val="9"/>
  </w:num>
  <w:num w:numId="7">
    <w:abstractNumId w:val="0"/>
  </w:num>
  <w:num w:numId="8">
    <w:abstractNumId w:val="4"/>
  </w:num>
  <w:num w:numId="9">
    <w:abstractNumId w:val="5"/>
  </w:num>
  <w:num w:numId="10">
    <w:abstractNumId w:val="3"/>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B6D"/>
    <w:rsid w:val="0013118E"/>
    <w:rsid w:val="001E215D"/>
    <w:rsid w:val="0040401F"/>
    <w:rsid w:val="004B5AD4"/>
    <w:rsid w:val="007E604C"/>
    <w:rsid w:val="00A82417"/>
    <w:rsid w:val="00B456AE"/>
    <w:rsid w:val="00B84B6D"/>
    <w:rsid w:val="00D35AB0"/>
    <w:rsid w:val="00D615EB"/>
    <w:rsid w:val="00F101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130B4"/>
  <w15:chartTrackingRefBased/>
  <w15:docId w15:val="{6204F69A-2B27-4052-9AB3-F9CB56D90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4B6D"/>
    <w:pPr>
      <w:spacing w:after="0" w:line="240" w:lineRule="auto"/>
    </w:pPr>
    <w:rPr>
      <w:rFonts w:ascii="Avant Garde" w:eastAsia="Times New Roman" w:hAnsi="Avant Garde" w:cs="Times New Roman"/>
      <w:sz w:val="20"/>
      <w:szCs w:val="20"/>
      <w:lang w:eastAsia="fr-FR"/>
    </w:rPr>
  </w:style>
  <w:style w:type="paragraph" w:styleId="Titre1">
    <w:name w:val="heading 1"/>
    <w:basedOn w:val="Normal"/>
    <w:next w:val="Normal"/>
    <w:link w:val="Titre1Car"/>
    <w:qFormat/>
    <w:rsid w:val="00B84B6D"/>
    <w:pPr>
      <w:keepNext/>
      <w:numPr>
        <w:numId w:val="1"/>
      </w:numPr>
      <w:spacing w:before="240" w:after="120"/>
      <w:ind w:left="357" w:hanging="357"/>
      <w:outlineLvl w:val="0"/>
    </w:pPr>
    <w:rPr>
      <w:rFonts w:ascii="Arial" w:hAnsi="Arial"/>
      <w:b/>
      <w:bCs/>
      <w:kern w:val="32"/>
      <w:sz w:val="24"/>
      <w:szCs w:val="24"/>
      <w:lang w:val="x-none" w:eastAsia="x-none"/>
    </w:rPr>
  </w:style>
  <w:style w:type="paragraph" w:styleId="Titre2">
    <w:name w:val="heading 2"/>
    <w:basedOn w:val="Normal"/>
    <w:next w:val="Listenumros2"/>
    <w:link w:val="Titre2Car"/>
    <w:qFormat/>
    <w:rsid w:val="00B84B6D"/>
    <w:pPr>
      <w:keepNext/>
      <w:spacing w:before="240" w:after="120"/>
      <w:ind w:left="360" w:hanging="360"/>
      <w:outlineLvl w:val="1"/>
    </w:pPr>
    <w:rPr>
      <w:rFonts w:ascii="Arial" w:hAnsi="Arial"/>
      <w:b/>
      <w:i/>
      <w:sz w:val="24"/>
      <w:szCs w:val="24"/>
    </w:rPr>
  </w:style>
  <w:style w:type="paragraph" w:styleId="Titre3">
    <w:name w:val="heading 3"/>
    <w:basedOn w:val="titredeniveau3"/>
    <w:next w:val="Normal"/>
    <w:link w:val="Titre3Car"/>
    <w:uiPriority w:val="9"/>
    <w:unhideWhenUsed/>
    <w:qFormat/>
    <w:rsid w:val="00D35AB0"/>
    <w:pPr>
      <w:ind w:left="720" w:hanging="72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84B6D"/>
    <w:rPr>
      <w:rFonts w:ascii="Arial" w:eastAsia="Times New Roman" w:hAnsi="Arial" w:cs="Times New Roman"/>
      <w:b/>
      <w:bCs/>
      <w:kern w:val="32"/>
      <w:sz w:val="24"/>
      <w:szCs w:val="24"/>
      <w:lang w:val="x-none" w:eastAsia="x-none"/>
    </w:rPr>
  </w:style>
  <w:style w:type="character" w:customStyle="1" w:styleId="Titre2Car">
    <w:name w:val="Titre 2 Car"/>
    <w:basedOn w:val="Policepardfaut"/>
    <w:link w:val="Titre2"/>
    <w:rsid w:val="00B84B6D"/>
    <w:rPr>
      <w:rFonts w:ascii="Arial" w:eastAsia="Times New Roman" w:hAnsi="Arial" w:cs="Times New Roman"/>
      <w:b/>
      <w:i/>
      <w:sz w:val="24"/>
      <w:szCs w:val="24"/>
      <w:lang w:eastAsia="fr-FR"/>
    </w:rPr>
  </w:style>
  <w:style w:type="paragraph" w:styleId="En-tte">
    <w:name w:val="header"/>
    <w:basedOn w:val="Normal"/>
    <w:link w:val="En-tteCar"/>
    <w:rsid w:val="00B84B6D"/>
    <w:pPr>
      <w:tabs>
        <w:tab w:val="center" w:pos="4536"/>
        <w:tab w:val="right" w:pos="9072"/>
      </w:tabs>
      <w:jc w:val="center"/>
    </w:pPr>
    <w:rPr>
      <w:rFonts w:ascii="Arial" w:hAnsi="Arial" w:cs="Arial"/>
      <w:i/>
    </w:rPr>
  </w:style>
  <w:style w:type="character" w:customStyle="1" w:styleId="En-tteCar">
    <w:name w:val="En-tête Car"/>
    <w:basedOn w:val="Policepardfaut"/>
    <w:link w:val="En-tte"/>
    <w:rsid w:val="00B84B6D"/>
    <w:rPr>
      <w:rFonts w:ascii="Arial" w:eastAsia="Times New Roman" w:hAnsi="Arial" w:cs="Arial"/>
      <w:i/>
      <w:sz w:val="20"/>
      <w:szCs w:val="20"/>
      <w:lang w:eastAsia="fr-FR"/>
    </w:rPr>
  </w:style>
  <w:style w:type="paragraph" w:customStyle="1" w:styleId="auteurs">
    <w:name w:val="auteurs"/>
    <w:basedOn w:val="Normal"/>
    <w:autoRedefine/>
    <w:rsid w:val="00B84B6D"/>
    <w:rPr>
      <w:rFonts w:ascii="Arial" w:hAnsi="Arial"/>
      <w:iCs/>
      <w:sz w:val="24"/>
    </w:rPr>
  </w:style>
  <w:style w:type="paragraph" w:customStyle="1" w:styleId="titredeniveau3">
    <w:name w:val="titre de niveau 3"/>
    <w:basedOn w:val="Normal"/>
    <w:rsid w:val="00B84B6D"/>
    <w:pPr>
      <w:spacing w:before="240" w:after="120"/>
      <w:outlineLvl w:val="2"/>
    </w:pPr>
    <w:rPr>
      <w:rFonts w:ascii="Arial" w:hAnsi="Arial"/>
      <w:sz w:val="24"/>
    </w:rPr>
  </w:style>
  <w:style w:type="paragraph" w:customStyle="1" w:styleId="titredefigure">
    <w:name w:val="titre de figure"/>
    <w:basedOn w:val="auteurs"/>
    <w:rsid w:val="00B84B6D"/>
    <w:pPr>
      <w:spacing w:before="240" w:after="240"/>
      <w:jc w:val="center"/>
    </w:pPr>
    <w:rPr>
      <w:sz w:val="22"/>
    </w:rPr>
  </w:style>
  <w:style w:type="paragraph" w:customStyle="1" w:styleId="textedursum">
    <w:name w:val="texte du résumé"/>
    <w:basedOn w:val="Normal"/>
    <w:rsid w:val="00B84B6D"/>
    <w:pPr>
      <w:jc w:val="both"/>
    </w:pPr>
    <w:rPr>
      <w:rFonts w:ascii="Arial" w:hAnsi="Arial"/>
      <w:sz w:val="24"/>
    </w:rPr>
  </w:style>
  <w:style w:type="paragraph" w:customStyle="1" w:styleId="Formule">
    <w:name w:val="Formule"/>
    <w:basedOn w:val="Normal"/>
    <w:rsid w:val="00B84B6D"/>
    <w:pPr>
      <w:tabs>
        <w:tab w:val="left" w:pos="284"/>
      </w:tabs>
      <w:jc w:val="center"/>
    </w:pPr>
    <w:rPr>
      <w:rFonts w:ascii="Arial" w:hAnsi="Arial"/>
      <w:sz w:val="22"/>
    </w:rPr>
  </w:style>
  <w:style w:type="paragraph" w:customStyle="1" w:styleId="Corpsdetexte12">
    <w:name w:val="Corps de texte 12"/>
    <w:basedOn w:val="Normal"/>
    <w:next w:val="Corpsdetexte12retrait5mm"/>
    <w:link w:val="Corpsdetexte12Car"/>
    <w:rsid w:val="00B84B6D"/>
    <w:pPr>
      <w:ind w:left="284" w:hanging="284"/>
      <w:jc w:val="both"/>
    </w:pPr>
    <w:rPr>
      <w:rFonts w:ascii="Arial" w:hAnsi="Arial"/>
      <w:sz w:val="24"/>
      <w:lang w:val="x-none" w:eastAsia="x-none"/>
    </w:rPr>
  </w:style>
  <w:style w:type="paragraph" w:customStyle="1" w:styleId="textofenglishabstract">
    <w:name w:val="text of english abstract"/>
    <w:basedOn w:val="Normal"/>
    <w:rsid w:val="00B84B6D"/>
    <w:pPr>
      <w:jc w:val="both"/>
    </w:pPr>
    <w:rPr>
      <w:rFonts w:ascii="Arial" w:hAnsi="Arial"/>
      <w:sz w:val="22"/>
      <w:lang w:val="en-GB"/>
    </w:rPr>
  </w:style>
  <w:style w:type="paragraph" w:styleId="Titre">
    <w:name w:val="Title"/>
    <w:basedOn w:val="Normal"/>
    <w:link w:val="TitreCar"/>
    <w:qFormat/>
    <w:rsid w:val="00B84B6D"/>
    <w:pPr>
      <w:spacing w:before="240" w:after="60"/>
      <w:outlineLvl w:val="0"/>
    </w:pPr>
    <w:rPr>
      <w:rFonts w:ascii="Arial" w:hAnsi="Arial" w:cs="Arial"/>
      <w:b/>
      <w:bCs/>
      <w:kern w:val="28"/>
      <w:sz w:val="30"/>
      <w:szCs w:val="30"/>
    </w:rPr>
  </w:style>
  <w:style w:type="character" w:customStyle="1" w:styleId="TitreCar">
    <w:name w:val="Titre Car"/>
    <w:basedOn w:val="Policepardfaut"/>
    <w:link w:val="Titre"/>
    <w:rsid w:val="00B84B6D"/>
    <w:rPr>
      <w:rFonts w:ascii="Arial" w:eastAsia="Times New Roman" w:hAnsi="Arial" w:cs="Arial"/>
      <w:b/>
      <w:bCs/>
      <w:kern w:val="28"/>
      <w:sz w:val="30"/>
      <w:szCs w:val="30"/>
      <w:lang w:eastAsia="fr-FR"/>
    </w:rPr>
  </w:style>
  <w:style w:type="paragraph" w:customStyle="1" w:styleId="affiliationdesauteurs">
    <w:name w:val="affiliation des auteurs"/>
    <w:basedOn w:val="auteurs"/>
    <w:next w:val="textedursum"/>
    <w:rsid w:val="00B84B6D"/>
    <w:rPr>
      <w:i/>
    </w:rPr>
  </w:style>
  <w:style w:type="character" w:styleId="Numrodepage">
    <w:name w:val="page number"/>
    <w:basedOn w:val="Policepardfaut"/>
    <w:rsid w:val="00B84B6D"/>
  </w:style>
  <w:style w:type="paragraph" w:customStyle="1" w:styleId="Rfrencesbibliographiques12">
    <w:name w:val="Références bibliographiques 12"/>
    <w:basedOn w:val="Normal"/>
    <w:link w:val="Rfrencesbibliographiques12Car"/>
    <w:rsid w:val="00B84B6D"/>
    <w:pPr>
      <w:jc w:val="both"/>
    </w:pPr>
    <w:rPr>
      <w:rFonts w:ascii="Arial" w:hAnsi="Arial"/>
      <w:sz w:val="24"/>
    </w:rPr>
  </w:style>
  <w:style w:type="character" w:customStyle="1" w:styleId="Rfrencesbibliographiques12Car">
    <w:name w:val="Références bibliographiques 12 Car"/>
    <w:link w:val="Rfrencesbibliographiques12"/>
    <w:rsid w:val="00B84B6D"/>
    <w:rPr>
      <w:rFonts w:ascii="Arial" w:eastAsia="Times New Roman" w:hAnsi="Arial" w:cs="Times New Roman"/>
      <w:sz w:val="24"/>
      <w:szCs w:val="20"/>
      <w:lang w:eastAsia="fr-FR"/>
    </w:rPr>
  </w:style>
  <w:style w:type="paragraph" w:customStyle="1" w:styleId="Corpsdetexte12retrait5mm">
    <w:name w:val="Corps de texte 12 + retrait 5mm"/>
    <w:basedOn w:val="Corpsdetexte12"/>
    <w:link w:val="Corpsdetexte12retrait5mmCar"/>
    <w:rsid w:val="00B84B6D"/>
    <w:pPr>
      <w:ind w:left="0" w:firstLine="0"/>
    </w:pPr>
    <w:rPr>
      <w:iCs/>
    </w:rPr>
  </w:style>
  <w:style w:type="character" w:customStyle="1" w:styleId="Corpsdetexte12Car">
    <w:name w:val="Corps de texte 12 Car"/>
    <w:link w:val="Corpsdetexte12"/>
    <w:rsid w:val="00B84B6D"/>
    <w:rPr>
      <w:rFonts w:ascii="Arial" w:eastAsia="Times New Roman" w:hAnsi="Arial" w:cs="Times New Roman"/>
      <w:sz w:val="24"/>
      <w:szCs w:val="20"/>
      <w:lang w:val="x-none" w:eastAsia="x-none"/>
    </w:rPr>
  </w:style>
  <w:style w:type="character" w:customStyle="1" w:styleId="Corpsdetexte12retrait5mmCar">
    <w:name w:val="Corps de texte 12 + retrait 5mm Car"/>
    <w:link w:val="Corpsdetexte12retrait5mm"/>
    <w:rsid w:val="00B84B6D"/>
    <w:rPr>
      <w:rFonts w:ascii="Arial" w:eastAsia="Times New Roman" w:hAnsi="Arial" w:cs="Times New Roman"/>
      <w:iCs/>
      <w:sz w:val="24"/>
      <w:szCs w:val="20"/>
      <w:lang w:val="x-none" w:eastAsia="x-none"/>
    </w:rPr>
  </w:style>
  <w:style w:type="paragraph" w:customStyle="1" w:styleId="Style12ptPremireligne05cm">
    <w:name w:val="Style 12 pt Première ligne : 05 cm"/>
    <w:basedOn w:val="Normal"/>
    <w:rsid w:val="00B84B6D"/>
    <w:pPr>
      <w:ind w:firstLine="284"/>
    </w:pPr>
    <w:rPr>
      <w:rFonts w:ascii="Arial" w:hAnsi="Arial"/>
      <w:sz w:val="24"/>
    </w:rPr>
  </w:style>
  <w:style w:type="paragraph" w:styleId="Sous-titre">
    <w:name w:val="Subtitle"/>
    <w:basedOn w:val="Normal"/>
    <w:next w:val="Normal"/>
    <w:link w:val="Sous-titreCar"/>
    <w:qFormat/>
    <w:rsid w:val="00B84B6D"/>
    <w:pPr>
      <w:spacing w:after="60"/>
      <w:jc w:val="center"/>
      <w:outlineLvl w:val="1"/>
    </w:pPr>
    <w:rPr>
      <w:rFonts w:ascii="Cambria" w:hAnsi="Cambria"/>
      <w:sz w:val="24"/>
      <w:szCs w:val="24"/>
      <w:lang w:val="x-none" w:eastAsia="x-none"/>
    </w:rPr>
  </w:style>
  <w:style w:type="character" w:customStyle="1" w:styleId="Sous-titreCar">
    <w:name w:val="Sous-titre Car"/>
    <w:basedOn w:val="Policepardfaut"/>
    <w:link w:val="Sous-titre"/>
    <w:rsid w:val="00B84B6D"/>
    <w:rPr>
      <w:rFonts w:ascii="Cambria" w:eastAsia="Times New Roman" w:hAnsi="Cambria" w:cs="Times New Roman"/>
      <w:sz w:val="24"/>
      <w:szCs w:val="24"/>
      <w:lang w:val="x-none" w:eastAsia="x-none"/>
    </w:rPr>
  </w:style>
  <w:style w:type="paragraph" w:styleId="Listenumros2">
    <w:name w:val="List Number 2"/>
    <w:basedOn w:val="Normal"/>
    <w:uiPriority w:val="99"/>
    <w:semiHidden/>
    <w:unhideWhenUsed/>
    <w:rsid w:val="00B84B6D"/>
    <w:pPr>
      <w:ind w:left="720" w:hanging="360"/>
      <w:contextualSpacing/>
    </w:pPr>
  </w:style>
  <w:style w:type="paragraph" w:styleId="Pieddepage">
    <w:name w:val="footer"/>
    <w:basedOn w:val="Normal"/>
    <w:link w:val="PieddepageCar"/>
    <w:uiPriority w:val="99"/>
    <w:unhideWhenUsed/>
    <w:rsid w:val="0013118E"/>
    <w:pPr>
      <w:tabs>
        <w:tab w:val="center" w:pos="4536"/>
        <w:tab w:val="right" w:pos="9072"/>
      </w:tabs>
    </w:pPr>
  </w:style>
  <w:style w:type="character" w:customStyle="1" w:styleId="PieddepageCar">
    <w:name w:val="Pied de page Car"/>
    <w:basedOn w:val="Policepardfaut"/>
    <w:link w:val="Pieddepage"/>
    <w:uiPriority w:val="99"/>
    <w:rsid w:val="0013118E"/>
    <w:rPr>
      <w:rFonts w:ascii="Avant Garde" w:eastAsia="Times New Roman" w:hAnsi="Avant Garde" w:cs="Times New Roman"/>
      <w:sz w:val="20"/>
      <w:szCs w:val="20"/>
      <w:lang w:eastAsia="fr-FR"/>
    </w:rPr>
  </w:style>
  <w:style w:type="character" w:customStyle="1" w:styleId="Titre3Car">
    <w:name w:val="Titre 3 Car"/>
    <w:basedOn w:val="Policepardfaut"/>
    <w:link w:val="Titre3"/>
    <w:uiPriority w:val="9"/>
    <w:rsid w:val="00D35AB0"/>
    <w:rPr>
      <w:rFonts w:ascii="Arial" w:eastAsia="Times New Roman" w:hAnsi="Arial" w:cs="Times New Roman"/>
      <w:sz w:val="24"/>
      <w:szCs w:val="20"/>
      <w:lang w:eastAsia="fr-FR"/>
    </w:rPr>
  </w:style>
  <w:style w:type="paragraph" w:styleId="Lgende">
    <w:name w:val="caption"/>
    <w:aliases w:val="Titre de la figure"/>
    <w:basedOn w:val="Normal"/>
    <w:next w:val="Normal"/>
    <w:link w:val="LgendeCar"/>
    <w:uiPriority w:val="35"/>
    <w:unhideWhenUsed/>
    <w:qFormat/>
    <w:rsid w:val="00D35AB0"/>
    <w:pPr>
      <w:ind w:left="57"/>
    </w:pPr>
    <w:rPr>
      <w:rFonts w:ascii="Arial" w:hAnsi="Arial"/>
      <w:i/>
      <w:iCs/>
      <w:color w:val="44546A" w:themeColor="text2"/>
      <w:sz w:val="18"/>
      <w:szCs w:val="18"/>
    </w:rPr>
  </w:style>
  <w:style w:type="character" w:customStyle="1" w:styleId="LgendeCar">
    <w:name w:val="Légende Car"/>
    <w:aliases w:val="Titre de la figure Car"/>
    <w:basedOn w:val="Policepardfaut"/>
    <w:link w:val="Lgende"/>
    <w:uiPriority w:val="35"/>
    <w:rsid w:val="00D35AB0"/>
    <w:rPr>
      <w:rFonts w:ascii="Arial" w:eastAsia="Times New Roman" w:hAnsi="Arial" w:cs="Times New Roman"/>
      <w:i/>
      <w:iCs/>
      <w:color w:val="44546A" w:themeColor="text2"/>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3144</Words>
  <Characters>17292</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INSA Lyon</Company>
  <LinksUpToDate>false</LinksUpToDate>
  <CharactersWithSpaces>20396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Briancon</dc:creator>
  <cp:keywords/>
  <dc:description/>
  <cp:lastModifiedBy>GIROUX Alexandre</cp:lastModifiedBy>
  <cp:revision>3</cp:revision>
  <dcterms:created xsi:type="dcterms:W3CDTF">2022-04-22T21:45:00Z</dcterms:created>
  <dcterms:modified xsi:type="dcterms:W3CDTF">2022-04-22T21:48:00Z</dcterms:modified>
</cp:coreProperties>
</file>