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6D" w:rsidRPr="002A1C42" w:rsidRDefault="000C718B" w:rsidP="000C718B">
      <w:pPr>
        <w:pStyle w:val="Titre"/>
        <w:spacing w:after="240"/>
      </w:pPr>
      <w:r>
        <w:t xml:space="preserve">ESSAIS DE CISAILLEMENT DE FONDATION GÉOTHERMIQUE: </w:t>
      </w:r>
      <w:r w:rsidR="00A96626">
        <w:t>BOÎTE</w:t>
      </w:r>
      <w:r>
        <w:t xml:space="preserve"> DE CISAILLEMENT INNOVANTE</w:t>
      </w:r>
    </w:p>
    <w:p w:rsidR="000C718B" w:rsidRPr="000C718B" w:rsidRDefault="000C718B" w:rsidP="00B84B6D">
      <w:pPr>
        <w:pStyle w:val="Sous-titre"/>
        <w:spacing w:after="240"/>
        <w:jc w:val="left"/>
        <w:rPr>
          <w:rFonts w:ascii="Arial" w:hAnsi="Arial" w:cs="Arial"/>
          <w:b/>
          <w:i/>
          <w:sz w:val="26"/>
          <w:szCs w:val="26"/>
          <w:lang w:val="en-GB"/>
        </w:rPr>
      </w:pPr>
      <w:r w:rsidRPr="000C718B">
        <w:rPr>
          <w:rFonts w:ascii="Arial" w:hAnsi="Arial" w:cs="Arial"/>
          <w:b/>
          <w:i/>
          <w:sz w:val="26"/>
          <w:szCs w:val="26"/>
          <w:lang w:val="en-GB"/>
        </w:rPr>
        <w:t>SHEAR TEST</w:t>
      </w:r>
      <w:r w:rsidR="002B4C66">
        <w:rPr>
          <w:rFonts w:ascii="Arial" w:hAnsi="Arial" w:cs="Arial"/>
          <w:b/>
          <w:i/>
          <w:sz w:val="26"/>
          <w:szCs w:val="26"/>
          <w:lang w:val="en-GB"/>
        </w:rPr>
        <w:t>S</w:t>
      </w:r>
      <w:r w:rsidRPr="000C718B">
        <w:rPr>
          <w:rFonts w:ascii="Arial" w:hAnsi="Arial" w:cs="Arial"/>
          <w:b/>
          <w:i/>
          <w:sz w:val="26"/>
          <w:szCs w:val="26"/>
          <w:lang w:val="en-GB"/>
        </w:rPr>
        <w:t xml:space="preserve"> ON ENERGY GEO-STRUCTURE: AN INNOVATIVE SHEAR</w:t>
      </w:r>
      <w:r>
        <w:rPr>
          <w:rFonts w:ascii="Arial" w:hAnsi="Arial" w:cs="Arial"/>
          <w:b/>
          <w:i/>
          <w:sz w:val="26"/>
          <w:szCs w:val="26"/>
          <w:lang w:val="en-GB"/>
        </w:rPr>
        <w:t xml:space="preserve"> </w:t>
      </w:r>
      <w:r w:rsidRPr="000C718B">
        <w:rPr>
          <w:rFonts w:ascii="Arial" w:hAnsi="Arial" w:cs="Arial"/>
          <w:b/>
          <w:i/>
          <w:sz w:val="26"/>
          <w:szCs w:val="26"/>
          <w:lang w:val="en-GB"/>
        </w:rPr>
        <w:t>BOX</w:t>
      </w:r>
    </w:p>
    <w:p w:rsidR="000C718B" w:rsidRDefault="000C718B" w:rsidP="000C718B">
      <w:pPr>
        <w:pStyle w:val="auteurs"/>
      </w:pPr>
      <w:r>
        <w:t>Thibault BADINIER</w:t>
      </w:r>
      <w:r w:rsidR="00B84B6D" w:rsidRPr="002A1C42">
        <w:rPr>
          <w:vertAlign w:val="superscript"/>
        </w:rPr>
        <w:t>1</w:t>
      </w:r>
      <w:r w:rsidR="00B84B6D" w:rsidRPr="002A1C42">
        <w:t>,</w:t>
      </w:r>
      <w:r w:rsidRPr="000C718B">
        <w:t xml:space="preserve"> </w:t>
      </w:r>
      <w:r>
        <w:t>Mohamed KHEIREDDINE</w:t>
      </w:r>
      <w:r w:rsidR="00BA0BBC" w:rsidRPr="00BA0BBC">
        <w:rPr>
          <w:vertAlign w:val="superscript"/>
        </w:rPr>
        <w:t>2</w:t>
      </w:r>
      <w:r>
        <w:t>, Jean de SAUVAGE</w:t>
      </w:r>
      <w:r w:rsidRPr="000C718B">
        <w:rPr>
          <w:vertAlign w:val="superscript"/>
        </w:rPr>
        <w:t>1</w:t>
      </w:r>
      <w:r>
        <w:t>, et Fabien</w:t>
      </w:r>
    </w:p>
    <w:p w:rsidR="00B84B6D" w:rsidRPr="002A1C42" w:rsidRDefault="000C718B" w:rsidP="000C718B">
      <w:pPr>
        <w:pStyle w:val="auteurs"/>
      </w:pPr>
      <w:r>
        <w:t>SZYMKIEWICZ</w:t>
      </w:r>
      <w:r w:rsidRPr="000C718B">
        <w:rPr>
          <w:vertAlign w:val="superscript"/>
        </w:rPr>
        <w:t>1</w:t>
      </w:r>
      <w:r w:rsidR="00B84B6D" w:rsidRPr="002A1C42">
        <w:t xml:space="preserve"> </w:t>
      </w:r>
    </w:p>
    <w:p w:rsidR="00B84B6D" w:rsidRDefault="00B84B6D" w:rsidP="000C718B">
      <w:pPr>
        <w:pStyle w:val="affiliationdesauteurs"/>
      </w:pPr>
      <w:r w:rsidRPr="002A1C42">
        <w:rPr>
          <w:vertAlign w:val="superscript"/>
        </w:rPr>
        <w:t>1</w:t>
      </w:r>
      <w:r w:rsidRPr="002A1C42">
        <w:t xml:space="preserve"> </w:t>
      </w:r>
      <w:r w:rsidR="000C718B" w:rsidRPr="000C718B">
        <w:t xml:space="preserve">GERS-SRO, </w:t>
      </w:r>
      <w:proofErr w:type="spellStart"/>
      <w:r w:rsidR="000C718B" w:rsidRPr="000C718B">
        <w:t>Univ</w:t>
      </w:r>
      <w:proofErr w:type="spellEnd"/>
      <w:r w:rsidR="000C718B" w:rsidRPr="000C718B">
        <w:t xml:space="preserve"> Gustave Eiffel, IFSTTAR, Marne-la-Vall</w:t>
      </w:r>
      <w:r w:rsidR="000C718B" w:rsidRPr="000C718B">
        <w:rPr>
          <w:rFonts w:hint="eastAsia"/>
        </w:rPr>
        <w:t>é</w:t>
      </w:r>
      <w:r w:rsidR="000C718B" w:rsidRPr="000C718B">
        <w:t>e, F-77454, France</w:t>
      </w:r>
      <w:r>
        <w:t xml:space="preserve"> </w:t>
      </w:r>
    </w:p>
    <w:p w:rsidR="00AD5193" w:rsidRDefault="00AD5193" w:rsidP="00AD5193">
      <w:pPr>
        <w:pStyle w:val="affiliationdesauteurs"/>
      </w:pPr>
      <w:r w:rsidRPr="00AD5193">
        <w:rPr>
          <w:vertAlign w:val="superscript"/>
        </w:rPr>
        <w:t>2</w:t>
      </w:r>
      <w:r w:rsidRPr="002A1C42">
        <w:t xml:space="preserve"> </w:t>
      </w:r>
      <w:r>
        <w:t xml:space="preserve">Ginger CEBTP, </w:t>
      </w:r>
      <w:r w:rsidRPr="00AD5193">
        <w:t>Agence Bordeaux</w:t>
      </w:r>
      <w:r>
        <w:t>, Mérignac, 33700</w:t>
      </w:r>
      <w:r w:rsidRPr="000C718B">
        <w:t>, F-77454, France</w:t>
      </w:r>
      <w:r>
        <w:t xml:space="preserve"> </w:t>
      </w:r>
    </w:p>
    <w:p w:rsidR="004F47E1" w:rsidRDefault="00B84B6D" w:rsidP="00B84B6D">
      <w:pPr>
        <w:pStyle w:val="textedursum"/>
        <w:spacing w:before="240" w:after="240"/>
      </w:pPr>
      <w:r>
        <w:rPr>
          <w:b/>
        </w:rPr>
        <w:t>RÉSUMÉ –</w:t>
      </w:r>
      <w:r>
        <w:t xml:space="preserve"> </w:t>
      </w:r>
      <w:r w:rsidR="009A1EBD">
        <w:t xml:space="preserve">Pour étudier l’effet </w:t>
      </w:r>
      <w:r w:rsidR="004F47E1">
        <w:t xml:space="preserve">sur les interfaces sol-fondation </w:t>
      </w:r>
      <w:r w:rsidR="009A1EBD">
        <w:t xml:space="preserve">de la sollicitation thermomécanique </w:t>
      </w:r>
      <w:r w:rsidR="004F47E1">
        <w:t>induite pa</w:t>
      </w:r>
      <w:r w:rsidR="002E264A">
        <w:t>r</w:t>
      </w:r>
      <w:r w:rsidR="004F47E1">
        <w:t xml:space="preserve"> le fonctionnement saisonnier (cycle</w:t>
      </w:r>
      <w:r w:rsidR="002E264A">
        <w:t xml:space="preserve">s </w:t>
      </w:r>
      <w:r w:rsidR="004F47E1">
        <w:t>chaud</w:t>
      </w:r>
      <w:r w:rsidR="002E264A">
        <w:t>-</w:t>
      </w:r>
      <w:r w:rsidR="004F47E1">
        <w:t xml:space="preserve">froid) </w:t>
      </w:r>
      <w:r w:rsidR="004A3FF0">
        <w:t>des fondations géothermiques</w:t>
      </w:r>
      <w:r w:rsidR="002B4C66">
        <w:t>,</w:t>
      </w:r>
      <w:r w:rsidR="004A3FF0">
        <w:t xml:space="preserve"> une </w:t>
      </w:r>
      <w:r w:rsidR="00D34EE2">
        <w:t>boite</w:t>
      </w:r>
      <w:r w:rsidR="004A3FF0">
        <w:t xml:space="preserve"> de cisaillement innovante a été développée</w:t>
      </w:r>
      <w:r w:rsidR="004F47E1">
        <w:t>. Elle</w:t>
      </w:r>
      <w:r w:rsidR="004A3FF0">
        <w:t xml:space="preserve"> </w:t>
      </w:r>
      <w:r w:rsidR="005125E5">
        <w:t>perme</w:t>
      </w:r>
      <w:r w:rsidR="004A3FF0">
        <w:t xml:space="preserve">t d’imposer simultanément </w:t>
      </w:r>
      <w:r w:rsidR="007D4AAB">
        <w:t>une</w:t>
      </w:r>
      <w:r w:rsidR="004A3FF0">
        <w:t xml:space="preserve"> sollicitation thermique et mécanique à une interface sol-béton</w:t>
      </w:r>
      <w:r w:rsidR="008E3746">
        <w:t>,</w:t>
      </w:r>
      <w:r w:rsidR="007D4AAB">
        <w:t xml:space="preserve"> </w:t>
      </w:r>
      <w:r w:rsidR="008E3746">
        <w:t xml:space="preserve">de mesurer ses déplacements et </w:t>
      </w:r>
      <w:r w:rsidR="007D4AAB">
        <w:t>d</w:t>
      </w:r>
      <w:r w:rsidR="005125E5">
        <w:t>’</w:t>
      </w:r>
      <w:r w:rsidR="007D4AAB">
        <w:t>e</w:t>
      </w:r>
      <w:r w:rsidR="005125E5">
        <w:t>n</w:t>
      </w:r>
      <w:r w:rsidR="007D4AAB">
        <w:t xml:space="preserve"> </w:t>
      </w:r>
      <w:r w:rsidR="002B4C66">
        <w:t xml:space="preserve">étudier </w:t>
      </w:r>
      <w:r w:rsidR="005125E5">
        <w:t>le comportement</w:t>
      </w:r>
      <w:r w:rsidR="008E3746">
        <w:t>.</w:t>
      </w:r>
    </w:p>
    <w:p w:rsidR="00B84B6D" w:rsidRPr="007D4AAB" w:rsidRDefault="00B84B6D" w:rsidP="00B84B6D">
      <w:pPr>
        <w:pStyle w:val="textofenglishabstract"/>
        <w:spacing w:after="480"/>
        <w:rPr>
          <w:sz w:val="24"/>
        </w:rPr>
      </w:pPr>
      <w:r w:rsidRPr="007D4AAB">
        <w:rPr>
          <w:b/>
          <w:sz w:val="24"/>
        </w:rPr>
        <w:t>ABSTRACT</w:t>
      </w:r>
      <w:r w:rsidRPr="007D4AAB">
        <w:rPr>
          <w:sz w:val="24"/>
        </w:rPr>
        <w:t xml:space="preserve"> </w:t>
      </w:r>
      <w:r w:rsidRPr="007D4AAB">
        <w:rPr>
          <w:b/>
          <w:sz w:val="24"/>
        </w:rPr>
        <w:t>–</w:t>
      </w:r>
      <w:r w:rsidRPr="007D4AAB">
        <w:rPr>
          <w:sz w:val="24"/>
        </w:rPr>
        <w:t xml:space="preserve"> </w:t>
      </w:r>
      <w:r w:rsidR="004F47E1" w:rsidRPr="007D4AAB">
        <w:rPr>
          <w:sz w:val="24"/>
        </w:rPr>
        <w:t>In order to study the soil-structure interface behaviour</w:t>
      </w:r>
      <w:r w:rsidR="007D4AAB" w:rsidRPr="007D4AAB">
        <w:rPr>
          <w:sz w:val="24"/>
        </w:rPr>
        <w:t xml:space="preserve"> under thermomechanical</w:t>
      </w:r>
      <w:r w:rsidR="007D4AAB">
        <w:rPr>
          <w:sz w:val="24"/>
        </w:rPr>
        <w:t xml:space="preserve"> stress</w:t>
      </w:r>
      <w:r w:rsidR="007D4AAB" w:rsidRPr="007D4AAB">
        <w:rPr>
          <w:sz w:val="24"/>
        </w:rPr>
        <w:t xml:space="preserve"> induce</w:t>
      </w:r>
      <w:r w:rsidR="007D4AAB">
        <w:rPr>
          <w:sz w:val="24"/>
        </w:rPr>
        <w:t>d</w:t>
      </w:r>
      <w:r w:rsidR="007D4AAB" w:rsidRPr="007D4AAB">
        <w:rPr>
          <w:sz w:val="24"/>
        </w:rPr>
        <w:t xml:space="preserve"> by seasonal temperature cycle</w:t>
      </w:r>
      <w:r w:rsidR="009F2E5D">
        <w:rPr>
          <w:sz w:val="24"/>
        </w:rPr>
        <w:t>s</w:t>
      </w:r>
      <w:r w:rsidR="007D4AAB" w:rsidRPr="007D4AAB">
        <w:rPr>
          <w:sz w:val="24"/>
        </w:rPr>
        <w:t xml:space="preserve"> of energy geo-structure, an innovative shear box ha</w:t>
      </w:r>
      <w:r w:rsidR="009F2E5D">
        <w:rPr>
          <w:sz w:val="24"/>
        </w:rPr>
        <w:t>s</w:t>
      </w:r>
      <w:r w:rsidR="007D4AAB" w:rsidRPr="007D4AAB">
        <w:rPr>
          <w:sz w:val="24"/>
        </w:rPr>
        <w:t xml:space="preserve"> been developed. It allows </w:t>
      </w:r>
      <w:r w:rsidR="002B4C66">
        <w:rPr>
          <w:sz w:val="24"/>
        </w:rPr>
        <w:t xml:space="preserve">the simultaneous imposition of </w:t>
      </w:r>
      <w:r w:rsidR="00791746">
        <w:rPr>
          <w:sz w:val="24"/>
        </w:rPr>
        <w:t>loads</w:t>
      </w:r>
      <w:r w:rsidR="007D4AAB">
        <w:rPr>
          <w:sz w:val="24"/>
        </w:rPr>
        <w:t xml:space="preserve"> over a soil-concrete interface and measure</w:t>
      </w:r>
      <w:r w:rsidR="002B4C66">
        <w:rPr>
          <w:sz w:val="24"/>
        </w:rPr>
        <w:t>s</w:t>
      </w:r>
      <w:r w:rsidR="007D4AAB">
        <w:rPr>
          <w:sz w:val="24"/>
        </w:rPr>
        <w:t xml:space="preserve"> </w:t>
      </w:r>
      <w:r w:rsidR="002B4C66">
        <w:rPr>
          <w:sz w:val="24"/>
        </w:rPr>
        <w:t>the subsequent strains</w:t>
      </w:r>
      <w:r w:rsidR="007D4AAB">
        <w:rPr>
          <w:sz w:val="24"/>
        </w:rPr>
        <w:t>.</w:t>
      </w:r>
    </w:p>
    <w:p w:rsidR="00B84B6D" w:rsidRDefault="00B84B6D" w:rsidP="00B84B6D">
      <w:pPr>
        <w:pStyle w:val="Titre1"/>
        <w:rPr>
          <w:lang w:val="fr-FR"/>
        </w:rPr>
      </w:pPr>
      <w:r w:rsidRPr="00CE5B93">
        <w:t>Introduction</w:t>
      </w:r>
    </w:p>
    <w:p w:rsidR="00F8715D" w:rsidRPr="00BD4CFD" w:rsidRDefault="0044334F" w:rsidP="00AD5193">
      <w:pPr>
        <w:jc w:val="both"/>
        <w:rPr>
          <w:rFonts w:ascii="Arial" w:hAnsi="Arial"/>
          <w:sz w:val="24"/>
        </w:rPr>
      </w:pPr>
      <w:r w:rsidRPr="00BD4CFD">
        <w:rPr>
          <w:rFonts w:ascii="Arial" w:hAnsi="Arial"/>
          <w:sz w:val="24"/>
        </w:rPr>
        <w:t xml:space="preserve">Les fondations géothermiques sont un ensemble de technique consistant à mutualiser le rôle structurel des fondations avec un rôle d’échangeur de chaleur pour </w:t>
      </w:r>
      <w:r w:rsidR="005125E5" w:rsidRPr="00BD4CFD">
        <w:rPr>
          <w:rFonts w:ascii="Arial" w:hAnsi="Arial"/>
          <w:sz w:val="24"/>
        </w:rPr>
        <w:t>un système de</w:t>
      </w:r>
      <w:r w:rsidRPr="00BD4CFD">
        <w:rPr>
          <w:rFonts w:ascii="Arial" w:hAnsi="Arial"/>
          <w:sz w:val="24"/>
        </w:rPr>
        <w:t xml:space="preserve"> pompe à chaleur géothermique. Le fonctionnement de ce type de système conduit </w:t>
      </w:r>
      <w:r w:rsidR="005125E5" w:rsidRPr="00BD4CFD">
        <w:rPr>
          <w:rFonts w:ascii="Arial" w:hAnsi="Arial"/>
          <w:sz w:val="24"/>
        </w:rPr>
        <w:t>à</w:t>
      </w:r>
      <w:r w:rsidRPr="00BD4CFD">
        <w:rPr>
          <w:rFonts w:ascii="Arial" w:hAnsi="Arial"/>
          <w:sz w:val="24"/>
        </w:rPr>
        <w:t xml:space="preserve"> </w:t>
      </w:r>
      <w:r w:rsidR="005125E5" w:rsidRPr="00BD4CFD">
        <w:rPr>
          <w:rFonts w:ascii="Arial" w:hAnsi="Arial"/>
          <w:sz w:val="24"/>
        </w:rPr>
        <w:t>un échange de calorie</w:t>
      </w:r>
      <w:r w:rsidR="002E264A" w:rsidRPr="00BD4CFD">
        <w:rPr>
          <w:rFonts w:ascii="Arial" w:hAnsi="Arial"/>
          <w:sz w:val="24"/>
        </w:rPr>
        <w:t xml:space="preserve">s </w:t>
      </w:r>
      <w:r w:rsidR="005125E5" w:rsidRPr="00BD4CFD">
        <w:rPr>
          <w:rFonts w:ascii="Arial" w:hAnsi="Arial"/>
          <w:sz w:val="24"/>
        </w:rPr>
        <w:t xml:space="preserve">entre le sol et le bâtiment et donc à </w:t>
      </w:r>
      <w:r w:rsidRPr="00BD4CFD">
        <w:rPr>
          <w:rFonts w:ascii="Arial" w:hAnsi="Arial"/>
          <w:sz w:val="24"/>
        </w:rPr>
        <w:t>refroidir ou r</w:t>
      </w:r>
      <w:r w:rsidR="005125E5" w:rsidRPr="00BD4CFD">
        <w:rPr>
          <w:rFonts w:ascii="Arial" w:hAnsi="Arial"/>
          <w:sz w:val="24"/>
        </w:rPr>
        <w:t>é</w:t>
      </w:r>
      <w:r w:rsidRPr="00BD4CFD">
        <w:rPr>
          <w:rFonts w:ascii="Arial" w:hAnsi="Arial"/>
          <w:sz w:val="24"/>
        </w:rPr>
        <w:t>chauffer les fondations</w:t>
      </w:r>
      <w:r w:rsidR="002B4C66" w:rsidRPr="00BD4CFD">
        <w:rPr>
          <w:rFonts w:ascii="Arial" w:hAnsi="Arial"/>
          <w:sz w:val="24"/>
        </w:rPr>
        <w:t>,</w:t>
      </w:r>
      <w:r w:rsidRPr="00BD4CFD">
        <w:rPr>
          <w:rFonts w:ascii="Arial" w:hAnsi="Arial"/>
          <w:sz w:val="24"/>
        </w:rPr>
        <w:t xml:space="preserve"> perturbant </w:t>
      </w:r>
      <w:r w:rsidR="005125E5" w:rsidRPr="00BD4CFD">
        <w:rPr>
          <w:rFonts w:ascii="Arial" w:hAnsi="Arial"/>
          <w:sz w:val="24"/>
        </w:rPr>
        <w:t xml:space="preserve">ainsi </w:t>
      </w:r>
      <w:r w:rsidRPr="00BD4CFD">
        <w:rPr>
          <w:rFonts w:ascii="Arial" w:hAnsi="Arial"/>
          <w:sz w:val="24"/>
        </w:rPr>
        <w:t>leur fonctionnement mécanique.</w:t>
      </w:r>
      <w:r w:rsidR="00F8715D" w:rsidRPr="00BD4CFD">
        <w:rPr>
          <w:rFonts w:ascii="Arial" w:hAnsi="Arial"/>
          <w:sz w:val="24"/>
        </w:rPr>
        <w:t xml:space="preserve"> Le comportement thermomécanique de ces </w:t>
      </w:r>
      <w:r w:rsidR="002E264A" w:rsidRPr="00BD4CFD">
        <w:rPr>
          <w:rFonts w:ascii="Arial" w:hAnsi="Arial"/>
          <w:sz w:val="24"/>
        </w:rPr>
        <w:t>structures</w:t>
      </w:r>
      <w:r w:rsidR="00F8715D" w:rsidRPr="00BD4CFD">
        <w:rPr>
          <w:rFonts w:ascii="Arial" w:hAnsi="Arial"/>
          <w:sz w:val="24"/>
        </w:rPr>
        <w:t xml:space="preserve"> est largement étudi</w:t>
      </w:r>
      <w:r w:rsidR="002E264A" w:rsidRPr="00BD4CFD">
        <w:rPr>
          <w:rFonts w:ascii="Arial" w:hAnsi="Arial"/>
          <w:sz w:val="24"/>
        </w:rPr>
        <w:t xml:space="preserve">é, </w:t>
      </w:r>
      <w:r w:rsidR="0072516F" w:rsidRPr="00BD4CFD">
        <w:rPr>
          <w:rFonts w:ascii="Arial" w:hAnsi="Arial"/>
          <w:sz w:val="24"/>
        </w:rPr>
        <w:t>notamment</w:t>
      </w:r>
      <w:r w:rsidR="00F8715D" w:rsidRPr="00BD4CFD">
        <w:rPr>
          <w:rFonts w:ascii="Arial" w:hAnsi="Arial"/>
          <w:sz w:val="24"/>
        </w:rPr>
        <w:t xml:space="preserve"> les pieux thermoactifs, que ce soit </w:t>
      </w:r>
      <w:r w:rsidR="002E264A" w:rsidRPr="00BD4CFD">
        <w:rPr>
          <w:rFonts w:ascii="Arial" w:hAnsi="Arial"/>
          <w:sz w:val="24"/>
        </w:rPr>
        <w:t>avec des</w:t>
      </w:r>
      <w:r w:rsidR="00F8715D" w:rsidRPr="00BD4CFD">
        <w:rPr>
          <w:rFonts w:ascii="Arial" w:hAnsi="Arial"/>
          <w:sz w:val="24"/>
        </w:rPr>
        <w:t xml:space="preserve"> modèl</w:t>
      </w:r>
      <w:r w:rsidR="002E264A" w:rsidRPr="00BD4CFD">
        <w:rPr>
          <w:rFonts w:ascii="Arial" w:hAnsi="Arial"/>
          <w:sz w:val="24"/>
        </w:rPr>
        <w:t xml:space="preserve">es </w:t>
      </w:r>
      <w:r w:rsidR="00F8715D" w:rsidRPr="00BD4CFD">
        <w:rPr>
          <w:rFonts w:ascii="Arial" w:hAnsi="Arial"/>
          <w:sz w:val="24"/>
        </w:rPr>
        <w:t>réduit</w:t>
      </w:r>
      <w:r w:rsidR="002E264A" w:rsidRPr="00BD4CFD">
        <w:rPr>
          <w:rFonts w:ascii="Arial" w:hAnsi="Arial"/>
          <w:sz w:val="24"/>
        </w:rPr>
        <w:t xml:space="preserve">s </w:t>
      </w:r>
      <w:r w:rsidR="00F8715D" w:rsidRPr="00BD4CFD">
        <w:rPr>
          <w:rFonts w:ascii="Arial" w:hAnsi="Arial"/>
          <w:sz w:val="24"/>
        </w:rPr>
        <w:t>(</w:t>
      </w:r>
      <w:proofErr w:type="spellStart"/>
      <w:r w:rsidR="000943EC" w:rsidRPr="00BD4CFD">
        <w:rPr>
          <w:rFonts w:ascii="Arial" w:hAnsi="Arial"/>
          <w:sz w:val="24"/>
        </w:rPr>
        <w:t>Kalantidou</w:t>
      </w:r>
      <w:proofErr w:type="spellEnd"/>
      <w:r w:rsidR="000943EC" w:rsidRPr="00BD4CFD">
        <w:rPr>
          <w:rFonts w:ascii="Arial" w:hAnsi="Arial"/>
          <w:sz w:val="24"/>
        </w:rPr>
        <w:t xml:space="preserve"> et al. 2012 </w:t>
      </w:r>
      <w:r w:rsidR="0072516F" w:rsidRPr="00BD4CFD">
        <w:rPr>
          <w:rFonts w:ascii="Arial" w:hAnsi="Arial"/>
          <w:sz w:val="24"/>
        </w:rPr>
        <w:t xml:space="preserve">; </w:t>
      </w:r>
      <w:proofErr w:type="spellStart"/>
      <w:r w:rsidR="0072516F" w:rsidRPr="00BD4CFD">
        <w:rPr>
          <w:rFonts w:ascii="Arial" w:hAnsi="Arial"/>
          <w:sz w:val="24"/>
        </w:rPr>
        <w:t>Ng</w:t>
      </w:r>
      <w:proofErr w:type="spellEnd"/>
      <w:r w:rsidR="0072516F" w:rsidRPr="00BD4CFD">
        <w:rPr>
          <w:rFonts w:ascii="Arial" w:hAnsi="Arial"/>
          <w:sz w:val="24"/>
        </w:rPr>
        <w:t xml:space="preserve"> et </w:t>
      </w:r>
      <w:proofErr w:type="gramStart"/>
      <w:r w:rsidR="0072516F" w:rsidRPr="00BD4CFD">
        <w:rPr>
          <w:rFonts w:ascii="Arial" w:hAnsi="Arial"/>
          <w:sz w:val="24"/>
        </w:rPr>
        <w:t>al.,</w:t>
      </w:r>
      <w:proofErr w:type="gramEnd"/>
      <w:r w:rsidR="0072516F" w:rsidRPr="00BD4CFD">
        <w:rPr>
          <w:rFonts w:ascii="Arial" w:hAnsi="Arial"/>
          <w:sz w:val="24"/>
        </w:rPr>
        <w:t xml:space="preserve"> 2015 ;</w:t>
      </w:r>
      <w:r w:rsidR="00F8715D" w:rsidRPr="00BD4CFD">
        <w:rPr>
          <w:rFonts w:ascii="Arial" w:hAnsi="Arial"/>
          <w:sz w:val="24"/>
        </w:rPr>
        <w:t xml:space="preserve"> </w:t>
      </w:r>
      <w:proofErr w:type="spellStart"/>
      <w:r w:rsidR="00F8715D" w:rsidRPr="00BD4CFD">
        <w:rPr>
          <w:rFonts w:ascii="Arial" w:hAnsi="Arial"/>
          <w:sz w:val="24"/>
        </w:rPr>
        <w:t>Yavari</w:t>
      </w:r>
      <w:proofErr w:type="spellEnd"/>
      <w:r w:rsidR="00F8715D" w:rsidRPr="00BD4CFD">
        <w:rPr>
          <w:rFonts w:ascii="Arial" w:hAnsi="Arial"/>
          <w:sz w:val="24"/>
        </w:rPr>
        <w:t xml:space="preserve"> et al., 2016</w:t>
      </w:r>
      <w:r w:rsidR="0072516F" w:rsidRPr="00BD4CFD">
        <w:rPr>
          <w:rFonts w:ascii="Arial" w:hAnsi="Arial"/>
          <w:sz w:val="24"/>
        </w:rPr>
        <w:t> ; Nguyen et al., 2017</w:t>
      </w:r>
      <w:r w:rsidR="00F8715D" w:rsidRPr="00BD4CFD">
        <w:rPr>
          <w:rFonts w:ascii="Arial" w:hAnsi="Arial"/>
          <w:sz w:val="24"/>
        </w:rPr>
        <w:t xml:space="preserve">) ou en </w:t>
      </w:r>
      <w:r w:rsidR="002E264A" w:rsidRPr="00BD4CFD">
        <w:rPr>
          <w:rFonts w:ascii="Arial" w:hAnsi="Arial"/>
          <w:sz w:val="24"/>
        </w:rPr>
        <w:t>vraie</w:t>
      </w:r>
      <w:r w:rsidR="00F8715D" w:rsidRPr="00BD4CFD">
        <w:rPr>
          <w:rFonts w:ascii="Arial" w:hAnsi="Arial"/>
          <w:sz w:val="24"/>
        </w:rPr>
        <w:t xml:space="preserve"> grandeur (</w:t>
      </w:r>
      <w:proofErr w:type="spellStart"/>
      <w:r w:rsidR="0072516F" w:rsidRPr="00BD4CFD">
        <w:rPr>
          <w:rFonts w:ascii="Arial" w:hAnsi="Arial"/>
          <w:sz w:val="24"/>
        </w:rPr>
        <w:t>Szymkiewicz</w:t>
      </w:r>
      <w:proofErr w:type="spellEnd"/>
      <w:r w:rsidR="0072516F" w:rsidRPr="00BD4CFD">
        <w:rPr>
          <w:rFonts w:ascii="Arial" w:hAnsi="Arial"/>
          <w:sz w:val="24"/>
        </w:rPr>
        <w:t xml:space="preserve"> et al., 2016 ; </w:t>
      </w:r>
      <w:proofErr w:type="spellStart"/>
      <w:r w:rsidR="00F8715D" w:rsidRPr="00BD4CFD">
        <w:rPr>
          <w:rFonts w:ascii="Arial" w:hAnsi="Arial"/>
          <w:sz w:val="24"/>
        </w:rPr>
        <w:t>Faizal</w:t>
      </w:r>
      <w:proofErr w:type="spellEnd"/>
      <w:r w:rsidR="00F8715D" w:rsidRPr="00BD4CFD">
        <w:rPr>
          <w:rFonts w:ascii="Arial" w:hAnsi="Arial"/>
          <w:sz w:val="24"/>
        </w:rPr>
        <w:t xml:space="preserve"> et al. 2018)</w:t>
      </w:r>
      <w:r w:rsidR="0072516F" w:rsidRPr="00BD4CFD">
        <w:rPr>
          <w:rFonts w:ascii="Arial" w:hAnsi="Arial"/>
          <w:sz w:val="24"/>
        </w:rPr>
        <w:t>.</w:t>
      </w:r>
    </w:p>
    <w:p w:rsidR="007755BE" w:rsidRPr="00BD4CFD" w:rsidRDefault="0072516F" w:rsidP="00BD4CFD">
      <w:pPr>
        <w:ind w:firstLine="284"/>
        <w:jc w:val="both"/>
        <w:rPr>
          <w:rFonts w:ascii="Arial" w:hAnsi="Arial"/>
          <w:sz w:val="24"/>
        </w:rPr>
      </w:pPr>
      <w:r w:rsidRPr="00BD4CFD">
        <w:rPr>
          <w:rFonts w:ascii="Arial" w:hAnsi="Arial"/>
          <w:sz w:val="24"/>
        </w:rPr>
        <w:t xml:space="preserve">Plus spécifiquement, </w:t>
      </w:r>
      <w:r w:rsidR="00CF5117" w:rsidRPr="00BD4CFD">
        <w:rPr>
          <w:rFonts w:ascii="Arial" w:hAnsi="Arial"/>
          <w:sz w:val="24"/>
        </w:rPr>
        <w:t xml:space="preserve">plusieurs études se sont intéressées au comportement des interfaces </w:t>
      </w:r>
      <w:r w:rsidR="009A28D3" w:rsidRPr="00BD4CFD">
        <w:rPr>
          <w:rFonts w:ascii="Arial" w:hAnsi="Arial"/>
          <w:sz w:val="24"/>
        </w:rPr>
        <w:t xml:space="preserve">entre </w:t>
      </w:r>
      <w:r w:rsidR="00CF5117" w:rsidRPr="00BD4CFD">
        <w:rPr>
          <w:rFonts w:ascii="Arial" w:hAnsi="Arial"/>
          <w:sz w:val="24"/>
        </w:rPr>
        <w:t>sol</w:t>
      </w:r>
      <w:r w:rsidR="009A28D3" w:rsidRPr="00BD4CFD">
        <w:rPr>
          <w:rFonts w:ascii="Arial" w:hAnsi="Arial"/>
          <w:sz w:val="24"/>
        </w:rPr>
        <w:t xml:space="preserve"> et </w:t>
      </w:r>
      <w:r w:rsidR="00CF5117" w:rsidRPr="00BD4CFD">
        <w:rPr>
          <w:rFonts w:ascii="Arial" w:hAnsi="Arial"/>
          <w:sz w:val="24"/>
        </w:rPr>
        <w:t>structure géothermiques. Elle</w:t>
      </w:r>
      <w:r w:rsidR="009A28D3" w:rsidRPr="00BD4CFD">
        <w:rPr>
          <w:rFonts w:ascii="Arial" w:hAnsi="Arial"/>
          <w:sz w:val="24"/>
        </w:rPr>
        <w:t>s</w:t>
      </w:r>
      <w:r w:rsidR="00CF5117" w:rsidRPr="00BD4CFD">
        <w:rPr>
          <w:rFonts w:ascii="Arial" w:hAnsi="Arial"/>
          <w:sz w:val="24"/>
        </w:rPr>
        <w:t xml:space="preserve"> s’intéresse</w:t>
      </w:r>
      <w:r w:rsidR="009A28D3" w:rsidRPr="00BD4CFD">
        <w:rPr>
          <w:rFonts w:ascii="Arial" w:hAnsi="Arial"/>
          <w:sz w:val="24"/>
        </w:rPr>
        <w:t>nt</w:t>
      </w:r>
      <w:r w:rsidR="00CF5117" w:rsidRPr="00BD4CFD">
        <w:rPr>
          <w:rFonts w:ascii="Arial" w:hAnsi="Arial"/>
          <w:sz w:val="24"/>
        </w:rPr>
        <w:t xml:space="preserve"> à la variation de résistance au cisaillement selon </w:t>
      </w:r>
      <w:r w:rsidR="007755BE" w:rsidRPr="00BD4CFD">
        <w:rPr>
          <w:rFonts w:ascii="Arial" w:hAnsi="Arial"/>
          <w:sz w:val="24"/>
        </w:rPr>
        <w:t xml:space="preserve">la température (Shakir et Zhu, 2009 ; </w:t>
      </w:r>
      <w:proofErr w:type="spellStart"/>
      <w:r w:rsidR="007755BE" w:rsidRPr="00BD4CFD">
        <w:rPr>
          <w:rFonts w:ascii="Arial" w:hAnsi="Arial"/>
          <w:sz w:val="24"/>
        </w:rPr>
        <w:t>Yavari</w:t>
      </w:r>
      <w:proofErr w:type="spellEnd"/>
      <w:r w:rsidR="007755BE" w:rsidRPr="00BD4CFD">
        <w:rPr>
          <w:rFonts w:ascii="Arial" w:hAnsi="Arial"/>
          <w:sz w:val="24"/>
        </w:rPr>
        <w:t xml:space="preserve"> et </w:t>
      </w:r>
      <w:proofErr w:type="gramStart"/>
      <w:r w:rsidR="007755BE" w:rsidRPr="00BD4CFD">
        <w:rPr>
          <w:rFonts w:ascii="Arial" w:hAnsi="Arial"/>
          <w:sz w:val="24"/>
        </w:rPr>
        <w:t>al</w:t>
      </w:r>
      <w:r w:rsidR="00EF5A85" w:rsidRPr="00BD4CFD">
        <w:rPr>
          <w:rFonts w:ascii="Arial" w:hAnsi="Arial"/>
          <w:sz w:val="24"/>
        </w:rPr>
        <w:t>.,</w:t>
      </w:r>
      <w:proofErr w:type="gramEnd"/>
      <w:r w:rsidR="007755BE" w:rsidRPr="00BD4CFD">
        <w:rPr>
          <w:rFonts w:ascii="Arial" w:hAnsi="Arial"/>
          <w:sz w:val="24"/>
        </w:rPr>
        <w:t xml:space="preserve"> 2016)</w:t>
      </w:r>
      <w:r w:rsidR="00CF5117" w:rsidRPr="00BD4CFD">
        <w:rPr>
          <w:rFonts w:ascii="Arial" w:hAnsi="Arial"/>
          <w:sz w:val="24"/>
        </w:rPr>
        <w:t xml:space="preserve">, ou sous l’influence </w:t>
      </w:r>
      <w:r w:rsidR="007755BE" w:rsidRPr="00BD4CFD">
        <w:rPr>
          <w:rFonts w:ascii="Arial" w:hAnsi="Arial"/>
          <w:sz w:val="24"/>
        </w:rPr>
        <w:t>des cycles de température (</w:t>
      </w:r>
      <w:proofErr w:type="spellStart"/>
      <w:r w:rsidR="007755BE" w:rsidRPr="00BD4CFD">
        <w:rPr>
          <w:rFonts w:ascii="Arial" w:hAnsi="Arial"/>
          <w:sz w:val="24"/>
        </w:rPr>
        <w:t>Vasilescu</w:t>
      </w:r>
      <w:proofErr w:type="spellEnd"/>
      <w:r w:rsidR="007755BE" w:rsidRPr="00BD4CFD">
        <w:rPr>
          <w:rFonts w:ascii="Arial" w:hAnsi="Arial"/>
          <w:sz w:val="24"/>
        </w:rPr>
        <w:t xml:space="preserve"> et al., 2019 ;</w:t>
      </w:r>
      <w:r w:rsidR="00CF5117" w:rsidRPr="00BD4CFD">
        <w:rPr>
          <w:rFonts w:ascii="Arial" w:hAnsi="Arial"/>
          <w:sz w:val="24"/>
        </w:rPr>
        <w:t xml:space="preserve"> Xiao et al., 2019 ; </w:t>
      </w:r>
      <w:proofErr w:type="spellStart"/>
      <w:r w:rsidR="00EF5A85" w:rsidRPr="00BD4CFD">
        <w:rPr>
          <w:rFonts w:ascii="Arial" w:hAnsi="Arial"/>
          <w:sz w:val="24"/>
        </w:rPr>
        <w:t>Maghsoodi</w:t>
      </w:r>
      <w:proofErr w:type="spellEnd"/>
      <w:r w:rsidR="00EF5A85" w:rsidRPr="00BD4CFD">
        <w:rPr>
          <w:rFonts w:ascii="Arial" w:hAnsi="Arial"/>
          <w:sz w:val="24"/>
        </w:rPr>
        <w:t xml:space="preserve">, S., 2020, </w:t>
      </w:r>
      <w:r w:rsidR="007755BE" w:rsidRPr="00BD4CFD">
        <w:rPr>
          <w:rFonts w:ascii="Arial" w:hAnsi="Arial"/>
          <w:sz w:val="24"/>
        </w:rPr>
        <w:t>Yin et al 2020).</w:t>
      </w:r>
      <w:r w:rsidR="00CF5117" w:rsidRPr="00BD4CFD">
        <w:rPr>
          <w:rFonts w:ascii="Arial" w:hAnsi="Arial"/>
          <w:sz w:val="24"/>
        </w:rPr>
        <w:t xml:space="preserve"> </w:t>
      </w:r>
      <w:r w:rsidR="002E264A" w:rsidRPr="00BD4CFD">
        <w:rPr>
          <w:rFonts w:ascii="Arial" w:hAnsi="Arial"/>
          <w:sz w:val="24"/>
        </w:rPr>
        <w:t>La plupart</w:t>
      </w:r>
      <w:r w:rsidR="00CF5117" w:rsidRPr="00BD4CFD">
        <w:rPr>
          <w:rFonts w:ascii="Arial" w:hAnsi="Arial"/>
          <w:sz w:val="24"/>
        </w:rPr>
        <w:t xml:space="preserve"> d’entre </w:t>
      </w:r>
      <w:r w:rsidR="002E264A" w:rsidRPr="00BD4CFD">
        <w:rPr>
          <w:rFonts w:ascii="Arial" w:hAnsi="Arial"/>
          <w:sz w:val="24"/>
        </w:rPr>
        <w:t>elles</w:t>
      </w:r>
      <w:r w:rsidR="00CF5117" w:rsidRPr="00BD4CFD">
        <w:rPr>
          <w:rFonts w:ascii="Arial" w:hAnsi="Arial"/>
          <w:sz w:val="24"/>
        </w:rPr>
        <w:t xml:space="preserve"> </w:t>
      </w:r>
      <w:r w:rsidR="002E264A" w:rsidRPr="00BD4CFD">
        <w:rPr>
          <w:rFonts w:ascii="Arial" w:hAnsi="Arial"/>
          <w:sz w:val="24"/>
        </w:rPr>
        <w:t>utilisent</w:t>
      </w:r>
      <w:r w:rsidR="00CF5117" w:rsidRPr="00BD4CFD">
        <w:rPr>
          <w:rFonts w:ascii="Arial" w:hAnsi="Arial"/>
          <w:sz w:val="24"/>
        </w:rPr>
        <w:t xml:space="preserve"> des dispositifs de cisaillement direct similaire à celui présent</w:t>
      </w:r>
      <w:r w:rsidR="002E264A" w:rsidRPr="00BD4CFD">
        <w:rPr>
          <w:rFonts w:ascii="Arial" w:hAnsi="Arial"/>
          <w:sz w:val="24"/>
        </w:rPr>
        <w:t>é</w:t>
      </w:r>
      <w:r w:rsidR="00CF5117" w:rsidRPr="00BD4CFD">
        <w:rPr>
          <w:rFonts w:ascii="Arial" w:hAnsi="Arial"/>
          <w:sz w:val="24"/>
        </w:rPr>
        <w:t xml:space="preserve"> dans </w:t>
      </w:r>
      <w:r w:rsidR="002E264A" w:rsidRPr="00BD4CFD">
        <w:rPr>
          <w:rFonts w:ascii="Arial" w:hAnsi="Arial"/>
          <w:sz w:val="24"/>
        </w:rPr>
        <w:t>cet</w:t>
      </w:r>
      <w:r w:rsidR="00CF5117" w:rsidRPr="00BD4CFD">
        <w:rPr>
          <w:rFonts w:ascii="Arial" w:hAnsi="Arial"/>
          <w:sz w:val="24"/>
        </w:rPr>
        <w:t xml:space="preserve"> article</w:t>
      </w:r>
      <w:r w:rsidR="002E264A" w:rsidRPr="00BD4CFD">
        <w:rPr>
          <w:rFonts w:ascii="Arial" w:hAnsi="Arial"/>
          <w:sz w:val="24"/>
        </w:rPr>
        <w:t>,</w:t>
      </w:r>
      <w:r w:rsidR="009A28D3" w:rsidRPr="00BD4CFD">
        <w:rPr>
          <w:rFonts w:ascii="Arial" w:hAnsi="Arial"/>
          <w:sz w:val="24"/>
        </w:rPr>
        <w:t xml:space="preserve"> mais </w:t>
      </w:r>
      <w:r w:rsidR="002E264A" w:rsidRPr="00BD4CFD">
        <w:rPr>
          <w:rFonts w:ascii="Arial" w:hAnsi="Arial"/>
          <w:sz w:val="24"/>
        </w:rPr>
        <w:t>un</w:t>
      </w:r>
      <w:r w:rsidR="009A28D3" w:rsidRPr="00BD4CFD">
        <w:rPr>
          <w:rFonts w:ascii="Arial" w:hAnsi="Arial"/>
          <w:sz w:val="24"/>
        </w:rPr>
        <w:t xml:space="preserve"> dispositif d’arrachement sur </w:t>
      </w:r>
      <w:r w:rsidR="002E264A" w:rsidRPr="00BD4CFD">
        <w:rPr>
          <w:rFonts w:ascii="Arial" w:hAnsi="Arial"/>
          <w:sz w:val="24"/>
        </w:rPr>
        <w:t>un</w:t>
      </w:r>
      <w:r w:rsidR="009A28D3" w:rsidRPr="00BD4CFD">
        <w:rPr>
          <w:rFonts w:ascii="Arial" w:hAnsi="Arial"/>
          <w:sz w:val="24"/>
        </w:rPr>
        <w:t xml:space="preserve"> pieu modèle </w:t>
      </w:r>
      <w:r w:rsidR="002E264A" w:rsidRPr="00BD4CFD">
        <w:rPr>
          <w:rFonts w:ascii="Arial" w:hAnsi="Arial"/>
          <w:sz w:val="24"/>
        </w:rPr>
        <w:t>a</w:t>
      </w:r>
      <w:r w:rsidR="009A28D3" w:rsidRPr="00BD4CFD">
        <w:rPr>
          <w:rFonts w:ascii="Arial" w:hAnsi="Arial"/>
          <w:sz w:val="24"/>
        </w:rPr>
        <w:t xml:space="preserve"> également été </w:t>
      </w:r>
      <w:r w:rsidR="002E264A" w:rsidRPr="00BD4CFD">
        <w:rPr>
          <w:rFonts w:ascii="Arial" w:hAnsi="Arial"/>
          <w:sz w:val="24"/>
        </w:rPr>
        <w:t xml:space="preserve">utilisé dans un but similaire </w:t>
      </w:r>
      <w:r w:rsidR="009A28D3" w:rsidRPr="00BD4CFD">
        <w:rPr>
          <w:rFonts w:ascii="Arial" w:hAnsi="Arial"/>
          <w:sz w:val="24"/>
        </w:rPr>
        <w:t>(</w:t>
      </w:r>
      <w:proofErr w:type="spellStart"/>
      <w:r w:rsidR="009A28D3" w:rsidRPr="00BD4CFD">
        <w:rPr>
          <w:rFonts w:ascii="Arial" w:hAnsi="Arial"/>
          <w:sz w:val="24"/>
        </w:rPr>
        <w:t>Elzeiny</w:t>
      </w:r>
      <w:proofErr w:type="spellEnd"/>
      <w:r w:rsidR="009A28D3" w:rsidRPr="00BD4CFD">
        <w:rPr>
          <w:rFonts w:ascii="Arial" w:hAnsi="Arial"/>
          <w:sz w:val="24"/>
        </w:rPr>
        <w:t xml:space="preserve"> et </w:t>
      </w:r>
      <w:proofErr w:type="spellStart"/>
      <w:r w:rsidR="009A28D3" w:rsidRPr="00BD4CFD">
        <w:rPr>
          <w:rFonts w:ascii="Arial" w:hAnsi="Arial"/>
          <w:sz w:val="24"/>
        </w:rPr>
        <w:t>Suleiman</w:t>
      </w:r>
      <w:proofErr w:type="spellEnd"/>
      <w:r w:rsidR="009A28D3" w:rsidRPr="00BD4CFD">
        <w:rPr>
          <w:rFonts w:ascii="Arial" w:hAnsi="Arial"/>
          <w:sz w:val="24"/>
        </w:rPr>
        <w:t xml:space="preserve">, 2021). </w:t>
      </w:r>
    </w:p>
    <w:p w:rsidR="00D61E2A" w:rsidRPr="00BD4CFD" w:rsidRDefault="00F615E8" w:rsidP="00BD4CFD">
      <w:pPr>
        <w:ind w:firstLine="284"/>
        <w:jc w:val="both"/>
        <w:rPr>
          <w:rFonts w:ascii="Arial" w:hAnsi="Arial"/>
          <w:sz w:val="24"/>
        </w:rPr>
      </w:pPr>
      <w:r w:rsidRPr="00BD4CFD">
        <w:rPr>
          <w:rFonts w:ascii="Arial" w:hAnsi="Arial"/>
          <w:sz w:val="24"/>
        </w:rPr>
        <w:t>A</w:t>
      </w:r>
      <w:r w:rsidR="0044334F" w:rsidRPr="00BD4CFD">
        <w:rPr>
          <w:rFonts w:ascii="Arial" w:hAnsi="Arial"/>
          <w:sz w:val="24"/>
        </w:rPr>
        <w:t>fin d</w:t>
      </w:r>
      <w:r w:rsidRPr="00BD4CFD">
        <w:rPr>
          <w:rFonts w:ascii="Arial" w:hAnsi="Arial"/>
          <w:sz w:val="24"/>
        </w:rPr>
        <w:t>’étudier</w:t>
      </w:r>
      <w:r w:rsidR="009A28D3" w:rsidRPr="00BD4CFD">
        <w:rPr>
          <w:rFonts w:ascii="Arial" w:hAnsi="Arial"/>
          <w:sz w:val="24"/>
        </w:rPr>
        <w:t xml:space="preserve"> le comportement </w:t>
      </w:r>
      <w:r w:rsidR="0044334F" w:rsidRPr="00BD4CFD">
        <w:rPr>
          <w:rFonts w:ascii="Arial" w:hAnsi="Arial"/>
          <w:sz w:val="24"/>
        </w:rPr>
        <w:t>thermomécanique de</w:t>
      </w:r>
      <w:r w:rsidR="009A28D3" w:rsidRPr="00BD4CFD">
        <w:rPr>
          <w:rFonts w:ascii="Arial" w:hAnsi="Arial"/>
          <w:sz w:val="24"/>
        </w:rPr>
        <w:t xml:space="preserve"> ces interfaces sol</w:t>
      </w:r>
      <w:r w:rsidR="002E264A" w:rsidRPr="00BD4CFD">
        <w:rPr>
          <w:rFonts w:ascii="Arial" w:hAnsi="Arial"/>
          <w:sz w:val="24"/>
        </w:rPr>
        <w:t>-fondation,</w:t>
      </w:r>
      <w:r w:rsidR="009A28D3" w:rsidRPr="00BD4CFD">
        <w:rPr>
          <w:rFonts w:ascii="Arial" w:hAnsi="Arial"/>
          <w:sz w:val="24"/>
        </w:rPr>
        <w:t xml:space="preserve"> </w:t>
      </w:r>
      <w:r w:rsidRPr="00BD4CFD">
        <w:rPr>
          <w:rFonts w:ascii="Arial" w:hAnsi="Arial"/>
          <w:sz w:val="24"/>
        </w:rPr>
        <w:t xml:space="preserve">une </w:t>
      </w:r>
      <w:r w:rsidR="00D34EE2">
        <w:rPr>
          <w:rFonts w:ascii="Arial" w:hAnsi="Arial"/>
          <w:sz w:val="24"/>
        </w:rPr>
        <w:t>boite</w:t>
      </w:r>
      <w:r w:rsidRPr="00BD4CFD">
        <w:rPr>
          <w:rFonts w:ascii="Arial" w:hAnsi="Arial"/>
          <w:sz w:val="24"/>
        </w:rPr>
        <w:t xml:space="preserve"> de cisaillement thermomécanique a été développée</w:t>
      </w:r>
      <w:r w:rsidR="009A28D3" w:rsidRPr="00BD4CFD">
        <w:rPr>
          <w:rFonts w:ascii="Arial" w:hAnsi="Arial"/>
          <w:sz w:val="24"/>
        </w:rPr>
        <w:t xml:space="preserve">. Contrairement aux études précédemment </w:t>
      </w:r>
      <w:r w:rsidR="002E264A" w:rsidRPr="00BD4CFD">
        <w:rPr>
          <w:rFonts w:ascii="Arial" w:hAnsi="Arial"/>
          <w:sz w:val="24"/>
        </w:rPr>
        <w:t>citées</w:t>
      </w:r>
      <w:r w:rsidR="009A28D3" w:rsidRPr="00BD4CFD">
        <w:rPr>
          <w:rFonts w:ascii="Arial" w:hAnsi="Arial"/>
          <w:sz w:val="24"/>
        </w:rPr>
        <w:t xml:space="preserve">, elle permet </w:t>
      </w:r>
      <w:r w:rsidR="0044334F" w:rsidRPr="00BD4CFD">
        <w:rPr>
          <w:rFonts w:ascii="Arial" w:hAnsi="Arial"/>
          <w:sz w:val="24"/>
        </w:rPr>
        <w:t xml:space="preserve">de tester </w:t>
      </w:r>
      <w:r w:rsidRPr="00BD4CFD">
        <w:rPr>
          <w:rFonts w:ascii="Arial" w:hAnsi="Arial"/>
          <w:sz w:val="24"/>
        </w:rPr>
        <w:t xml:space="preserve">le comportement </w:t>
      </w:r>
      <w:r w:rsidR="0044334F" w:rsidRPr="00BD4CFD">
        <w:rPr>
          <w:rFonts w:ascii="Arial" w:hAnsi="Arial"/>
          <w:sz w:val="24"/>
        </w:rPr>
        <w:t>d’</w:t>
      </w:r>
      <w:r w:rsidR="009A28D3" w:rsidRPr="00BD4CFD">
        <w:rPr>
          <w:rFonts w:ascii="Arial" w:hAnsi="Arial"/>
          <w:sz w:val="24"/>
        </w:rPr>
        <w:t xml:space="preserve">interfaces </w:t>
      </w:r>
      <w:r w:rsidRPr="00BD4CFD">
        <w:rPr>
          <w:rFonts w:ascii="Arial" w:hAnsi="Arial"/>
          <w:sz w:val="24"/>
        </w:rPr>
        <w:t>sol-fondation</w:t>
      </w:r>
      <w:r w:rsidR="009A28D3" w:rsidRPr="00BD4CFD">
        <w:rPr>
          <w:rFonts w:ascii="Arial" w:hAnsi="Arial"/>
          <w:sz w:val="24"/>
        </w:rPr>
        <w:t xml:space="preserve"> modèles</w:t>
      </w:r>
      <w:r w:rsidRPr="00BD4CFD">
        <w:rPr>
          <w:rFonts w:ascii="Arial" w:hAnsi="Arial"/>
          <w:sz w:val="24"/>
        </w:rPr>
        <w:t xml:space="preserve"> soumis</w:t>
      </w:r>
      <w:r w:rsidR="009A28D3" w:rsidRPr="00BD4CFD">
        <w:rPr>
          <w:rFonts w:ascii="Arial" w:hAnsi="Arial"/>
          <w:sz w:val="24"/>
        </w:rPr>
        <w:t>es</w:t>
      </w:r>
      <w:r w:rsidR="0044334F" w:rsidRPr="00BD4CFD">
        <w:rPr>
          <w:rFonts w:ascii="Arial" w:hAnsi="Arial"/>
          <w:sz w:val="24"/>
        </w:rPr>
        <w:t xml:space="preserve"> à </w:t>
      </w:r>
      <w:r w:rsidR="002E264A" w:rsidRPr="00BD4CFD">
        <w:rPr>
          <w:rFonts w:ascii="Arial" w:hAnsi="Arial"/>
          <w:sz w:val="24"/>
        </w:rPr>
        <w:t>des</w:t>
      </w:r>
      <w:r w:rsidR="0044334F" w:rsidRPr="00BD4CFD">
        <w:rPr>
          <w:rFonts w:ascii="Arial" w:hAnsi="Arial"/>
          <w:sz w:val="24"/>
        </w:rPr>
        <w:t xml:space="preserve"> sollicitation</w:t>
      </w:r>
      <w:r w:rsidR="002E264A" w:rsidRPr="00BD4CFD">
        <w:rPr>
          <w:rFonts w:ascii="Arial" w:hAnsi="Arial"/>
          <w:sz w:val="24"/>
        </w:rPr>
        <w:t xml:space="preserve">s </w:t>
      </w:r>
      <w:r w:rsidR="0044334F" w:rsidRPr="00BD4CFD">
        <w:rPr>
          <w:rFonts w:ascii="Arial" w:hAnsi="Arial"/>
          <w:sz w:val="24"/>
        </w:rPr>
        <w:t>mécanique</w:t>
      </w:r>
      <w:r w:rsidR="002E264A" w:rsidRPr="00BD4CFD">
        <w:rPr>
          <w:rFonts w:ascii="Arial" w:hAnsi="Arial"/>
          <w:sz w:val="24"/>
        </w:rPr>
        <w:t xml:space="preserve">s </w:t>
      </w:r>
      <w:r w:rsidR="0044334F" w:rsidRPr="00BD4CFD">
        <w:rPr>
          <w:rFonts w:ascii="Arial" w:hAnsi="Arial"/>
          <w:sz w:val="24"/>
        </w:rPr>
        <w:t xml:space="preserve">et </w:t>
      </w:r>
      <w:r w:rsidR="002E264A" w:rsidRPr="00BD4CFD">
        <w:rPr>
          <w:rFonts w:ascii="Arial" w:hAnsi="Arial"/>
          <w:sz w:val="24"/>
        </w:rPr>
        <w:t>thermiques</w:t>
      </w:r>
      <w:r w:rsidR="009A28D3" w:rsidRPr="00BD4CFD">
        <w:rPr>
          <w:rFonts w:ascii="Arial" w:hAnsi="Arial"/>
          <w:sz w:val="24"/>
        </w:rPr>
        <w:t xml:space="preserve"> proche de celle</w:t>
      </w:r>
      <w:r w:rsidR="002E264A" w:rsidRPr="00BD4CFD">
        <w:rPr>
          <w:rFonts w:ascii="Arial" w:hAnsi="Arial"/>
          <w:sz w:val="24"/>
        </w:rPr>
        <w:t xml:space="preserve">s </w:t>
      </w:r>
      <w:r w:rsidR="009A28D3" w:rsidRPr="00BD4CFD">
        <w:rPr>
          <w:rFonts w:ascii="Arial" w:hAnsi="Arial"/>
          <w:sz w:val="24"/>
        </w:rPr>
        <w:t>subies par une fondation en place</w:t>
      </w:r>
      <w:r w:rsidR="0044334F" w:rsidRPr="00BD4CFD">
        <w:rPr>
          <w:rFonts w:ascii="Arial" w:hAnsi="Arial"/>
          <w:sz w:val="24"/>
        </w:rPr>
        <w:t xml:space="preserve">. Le dispositif consiste en deux </w:t>
      </w:r>
      <w:proofErr w:type="spellStart"/>
      <w:r w:rsidR="0044334F" w:rsidRPr="00BD4CFD">
        <w:rPr>
          <w:rFonts w:ascii="Arial" w:hAnsi="Arial"/>
          <w:sz w:val="24"/>
        </w:rPr>
        <w:t>demi</w:t>
      </w:r>
      <w:r w:rsidR="00D34EE2">
        <w:rPr>
          <w:rFonts w:ascii="Arial" w:hAnsi="Arial"/>
          <w:sz w:val="24"/>
        </w:rPr>
        <w:t>-boites</w:t>
      </w:r>
      <w:proofErr w:type="spellEnd"/>
      <w:r w:rsidR="0044334F" w:rsidRPr="00BD4CFD">
        <w:rPr>
          <w:rFonts w:ascii="Arial" w:hAnsi="Arial"/>
          <w:sz w:val="24"/>
        </w:rPr>
        <w:t xml:space="preserve"> de cisaillement</w:t>
      </w:r>
      <w:r w:rsidR="009A28D3" w:rsidRPr="00BD4CFD">
        <w:rPr>
          <w:rFonts w:ascii="Arial" w:hAnsi="Arial"/>
          <w:sz w:val="24"/>
        </w:rPr>
        <w:t xml:space="preserve"> </w:t>
      </w:r>
      <w:r w:rsidR="002E264A" w:rsidRPr="00BD4CFD">
        <w:rPr>
          <w:rFonts w:ascii="Arial" w:hAnsi="Arial"/>
          <w:sz w:val="24"/>
        </w:rPr>
        <w:t>carrées</w:t>
      </w:r>
      <w:r w:rsidR="0044334F" w:rsidRPr="00BD4CFD">
        <w:rPr>
          <w:rFonts w:ascii="Arial" w:hAnsi="Arial"/>
          <w:sz w:val="24"/>
        </w:rPr>
        <w:t xml:space="preserve"> de 20 cm de côté. La partie inférieure </w:t>
      </w:r>
      <w:r w:rsidR="002B4C66" w:rsidRPr="00BD4CFD">
        <w:rPr>
          <w:rFonts w:ascii="Arial" w:hAnsi="Arial"/>
          <w:sz w:val="24"/>
        </w:rPr>
        <w:t xml:space="preserve">est </w:t>
      </w:r>
      <w:r w:rsidR="0044334F" w:rsidRPr="00BD4CFD">
        <w:rPr>
          <w:rFonts w:ascii="Arial" w:hAnsi="Arial"/>
          <w:sz w:val="24"/>
        </w:rPr>
        <w:t xml:space="preserve">remplie de béton et contient un circuit échangeur de chaleurs </w:t>
      </w:r>
      <w:r w:rsidR="002B4C66" w:rsidRPr="00BD4CFD">
        <w:rPr>
          <w:rFonts w:ascii="Arial" w:hAnsi="Arial"/>
          <w:sz w:val="24"/>
        </w:rPr>
        <w:t>tandis que l</w:t>
      </w:r>
      <w:r w:rsidR="0044334F" w:rsidRPr="00BD4CFD">
        <w:rPr>
          <w:rFonts w:ascii="Arial" w:hAnsi="Arial"/>
          <w:sz w:val="24"/>
        </w:rPr>
        <w:t xml:space="preserve">’autre moitié </w:t>
      </w:r>
      <w:r w:rsidR="002B4C66" w:rsidRPr="00BD4CFD">
        <w:rPr>
          <w:rFonts w:ascii="Arial" w:hAnsi="Arial"/>
          <w:sz w:val="24"/>
        </w:rPr>
        <w:t>est</w:t>
      </w:r>
      <w:r w:rsidR="0044334F" w:rsidRPr="00BD4CFD">
        <w:rPr>
          <w:rFonts w:ascii="Arial" w:hAnsi="Arial"/>
          <w:sz w:val="24"/>
        </w:rPr>
        <w:t xml:space="preserve"> </w:t>
      </w:r>
      <w:r w:rsidR="00862B61" w:rsidRPr="00BD4CFD">
        <w:rPr>
          <w:rFonts w:ascii="Arial" w:hAnsi="Arial"/>
          <w:sz w:val="24"/>
        </w:rPr>
        <w:t xml:space="preserve">remplie </w:t>
      </w:r>
      <w:r w:rsidR="0044334F" w:rsidRPr="00BD4CFD">
        <w:rPr>
          <w:rFonts w:ascii="Arial" w:hAnsi="Arial"/>
          <w:sz w:val="24"/>
        </w:rPr>
        <w:t>de sol</w:t>
      </w:r>
      <w:r w:rsidR="00862B61" w:rsidRPr="00BD4CFD">
        <w:rPr>
          <w:rFonts w:ascii="Arial" w:hAnsi="Arial"/>
          <w:sz w:val="24"/>
        </w:rPr>
        <w:t xml:space="preserve">. L’ensemble de la </w:t>
      </w:r>
      <w:r w:rsidR="00D34EE2">
        <w:rPr>
          <w:rFonts w:ascii="Arial" w:hAnsi="Arial"/>
          <w:sz w:val="24"/>
        </w:rPr>
        <w:t>boite</w:t>
      </w:r>
      <w:r w:rsidR="00862B61" w:rsidRPr="00BD4CFD">
        <w:rPr>
          <w:rFonts w:ascii="Arial" w:hAnsi="Arial"/>
          <w:sz w:val="24"/>
        </w:rPr>
        <w:t xml:space="preserve"> permet </w:t>
      </w:r>
      <w:r w:rsidR="002B4C66" w:rsidRPr="00BD4CFD">
        <w:rPr>
          <w:rFonts w:ascii="Arial" w:hAnsi="Arial"/>
          <w:sz w:val="24"/>
        </w:rPr>
        <w:t>donc</w:t>
      </w:r>
      <w:r w:rsidR="00862B61" w:rsidRPr="00BD4CFD">
        <w:rPr>
          <w:rFonts w:ascii="Arial" w:hAnsi="Arial"/>
          <w:sz w:val="24"/>
        </w:rPr>
        <w:t xml:space="preserve"> de</w:t>
      </w:r>
      <w:r w:rsidR="0044334F" w:rsidRPr="00BD4CFD">
        <w:rPr>
          <w:rFonts w:ascii="Arial" w:hAnsi="Arial"/>
          <w:sz w:val="24"/>
        </w:rPr>
        <w:t xml:space="preserve"> modélis</w:t>
      </w:r>
      <w:r w:rsidR="00862B61" w:rsidRPr="00BD4CFD">
        <w:rPr>
          <w:rFonts w:ascii="Arial" w:hAnsi="Arial"/>
          <w:sz w:val="24"/>
        </w:rPr>
        <w:t>er</w:t>
      </w:r>
      <w:r w:rsidR="0044334F" w:rsidRPr="00BD4CFD">
        <w:rPr>
          <w:rFonts w:ascii="Arial" w:hAnsi="Arial"/>
          <w:sz w:val="24"/>
        </w:rPr>
        <w:t xml:space="preserve"> une interface entre un sol et une fondation géothermique</w:t>
      </w:r>
      <w:r w:rsidR="00862B61" w:rsidRPr="00BD4CFD">
        <w:rPr>
          <w:rFonts w:ascii="Arial" w:hAnsi="Arial"/>
          <w:sz w:val="24"/>
        </w:rPr>
        <w:t xml:space="preserve">, </w:t>
      </w:r>
      <w:r w:rsidRPr="00BD4CFD">
        <w:rPr>
          <w:rFonts w:ascii="Arial" w:hAnsi="Arial"/>
          <w:sz w:val="24"/>
        </w:rPr>
        <w:t>soumise à</w:t>
      </w:r>
      <w:r w:rsidR="0044334F" w:rsidRPr="00BD4CFD">
        <w:rPr>
          <w:rFonts w:ascii="Arial" w:hAnsi="Arial"/>
          <w:sz w:val="24"/>
        </w:rPr>
        <w:t xml:space="preserve"> un cisaillement</w:t>
      </w:r>
      <w:r w:rsidRPr="00BD4CFD">
        <w:rPr>
          <w:rFonts w:ascii="Arial" w:hAnsi="Arial"/>
          <w:sz w:val="24"/>
        </w:rPr>
        <w:t xml:space="preserve"> mécanique</w:t>
      </w:r>
      <w:r w:rsidR="0044334F" w:rsidRPr="00BD4CFD">
        <w:rPr>
          <w:rFonts w:ascii="Arial" w:hAnsi="Arial"/>
          <w:sz w:val="24"/>
        </w:rPr>
        <w:t xml:space="preserve"> constant et simultané</w:t>
      </w:r>
      <w:r w:rsidRPr="00BD4CFD">
        <w:rPr>
          <w:rFonts w:ascii="Arial" w:hAnsi="Arial"/>
          <w:sz w:val="24"/>
        </w:rPr>
        <w:t>ment à</w:t>
      </w:r>
      <w:r w:rsidR="0044334F" w:rsidRPr="00BD4CFD">
        <w:rPr>
          <w:rFonts w:ascii="Arial" w:hAnsi="Arial"/>
          <w:sz w:val="24"/>
        </w:rPr>
        <w:t xml:space="preserve"> des cycles de température correspondant au fonctionnement saisonnier d’une fondation géothermique. Des essais préliminaires sur du sable lâche et dense et sur de l’argile normalement </w:t>
      </w:r>
      <w:r w:rsidR="0044334F" w:rsidRPr="00BD4CFD">
        <w:rPr>
          <w:rFonts w:ascii="Arial" w:hAnsi="Arial"/>
          <w:sz w:val="24"/>
        </w:rPr>
        <w:lastRenderedPageBreak/>
        <w:t xml:space="preserve">consolidée et </w:t>
      </w:r>
      <w:proofErr w:type="spellStart"/>
      <w:r w:rsidR="009C7807" w:rsidRPr="00BD4CFD">
        <w:rPr>
          <w:rFonts w:ascii="Arial" w:hAnsi="Arial"/>
          <w:sz w:val="24"/>
        </w:rPr>
        <w:t>surconsolidée</w:t>
      </w:r>
      <w:proofErr w:type="spellEnd"/>
      <w:r w:rsidR="0044334F" w:rsidRPr="00BD4CFD">
        <w:rPr>
          <w:rFonts w:ascii="Arial" w:hAnsi="Arial"/>
          <w:sz w:val="24"/>
        </w:rPr>
        <w:t xml:space="preserve"> ont permis d’obtenir </w:t>
      </w:r>
      <w:r w:rsidR="002E264A" w:rsidRPr="00BD4CFD">
        <w:rPr>
          <w:rFonts w:ascii="Arial" w:hAnsi="Arial"/>
          <w:sz w:val="24"/>
        </w:rPr>
        <w:t>d</w:t>
      </w:r>
      <w:r w:rsidR="0044334F" w:rsidRPr="00BD4CFD">
        <w:rPr>
          <w:rFonts w:ascii="Arial" w:hAnsi="Arial"/>
          <w:sz w:val="24"/>
        </w:rPr>
        <w:t xml:space="preserve">es premiers résultats </w:t>
      </w:r>
      <w:r w:rsidR="002E264A" w:rsidRPr="00BD4CFD">
        <w:rPr>
          <w:rFonts w:ascii="Arial" w:hAnsi="Arial"/>
          <w:sz w:val="24"/>
        </w:rPr>
        <w:t xml:space="preserve">montrant </w:t>
      </w:r>
      <w:r w:rsidR="0044334F" w:rsidRPr="00BD4CFD">
        <w:rPr>
          <w:rFonts w:ascii="Arial" w:hAnsi="Arial"/>
          <w:sz w:val="24"/>
        </w:rPr>
        <w:t xml:space="preserve">une accumulation de </w:t>
      </w:r>
      <w:r w:rsidR="008E3746">
        <w:rPr>
          <w:rFonts w:ascii="Arial" w:hAnsi="Arial"/>
          <w:sz w:val="24"/>
        </w:rPr>
        <w:t>déplacement</w:t>
      </w:r>
      <w:r w:rsidR="0044334F" w:rsidRPr="00BD4CFD">
        <w:rPr>
          <w:rFonts w:ascii="Arial" w:hAnsi="Arial"/>
          <w:sz w:val="24"/>
        </w:rPr>
        <w:t xml:space="preserve"> avec les cycles de température.</w:t>
      </w:r>
    </w:p>
    <w:p w:rsidR="00D61E2A" w:rsidRDefault="00D61E2A" w:rsidP="00D61E2A">
      <w:pPr>
        <w:pStyle w:val="Titre1"/>
        <w:rPr>
          <w:lang w:val="fr-FR"/>
        </w:rPr>
      </w:pPr>
      <w:r>
        <w:rPr>
          <w:lang w:val="fr-FR"/>
        </w:rPr>
        <w:t>Dispositif d’essais</w:t>
      </w:r>
    </w:p>
    <w:p w:rsidR="00025ACA" w:rsidRDefault="00D61E2A" w:rsidP="00590CC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dispositif d’essais est construit sur la base d’un b</w:t>
      </w:r>
      <w:r w:rsidR="002E264A">
        <w:rPr>
          <w:rFonts w:ascii="Arial" w:hAnsi="Arial"/>
          <w:sz w:val="24"/>
        </w:rPr>
        <w:t>â</w:t>
      </w:r>
      <w:r>
        <w:rPr>
          <w:rFonts w:ascii="Arial" w:hAnsi="Arial"/>
          <w:sz w:val="24"/>
        </w:rPr>
        <w:t xml:space="preserve">ti </w:t>
      </w:r>
      <w:r w:rsidR="007328D8">
        <w:rPr>
          <w:rFonts w:ascii="Arial" w:hAnsi="Arial"/>
          <w:sz w:val="24"/>
        </w:rPr>
        <w:t xml:space="preserve">de chargement </w:t>
      </w:r>
      <w:r w:rsidR="002E264A">
        <w:rPr>
          <w:rFonts w:ascii="Arial" w:hAnsi="Arial"/>
          <w:sz w:val="24"/>
        </w:rPr>
        <w:t>œdométrique</w:t>
      </w:r>
      <w:r w:rsidR="007328D8">
        <w:rPr>
          <w:rFonts w:ascii="Arial" w:hAnsi="Arial"/>
          <w:sz w:val="24"/>
        </w:rPr>
        <w:t xml:space="preserve"> détourné de sa fonction initiale</w:t>
      </w:r>
      <w:r>
        <w:rPr>
          <w:rFonts w:ascii="Arial" w:hAnsi="Arial"/>
          <w:sz w:val="24"/>
        </w:rPr>
        <w:t xml:space="preserve">. Il consiste en deux </w:t>
      </w:r>
      <w:proofErr w:type="spellStart"/>
      <w:r>
        <w:rPr>
          <w:rFonts w:ascii="Arial" w:hAnsi="Arial"/>
          <w:sz w:val="24"/>
        </w:rPr>
        <w:t>demi</w:t>
      </w:r>
      <w:r w:rsidR="00D34EE2">
        <w:rPr>
          <w:rFonts w:ascii="Arial" w:hAnsi="Arial"/>
          <w:sz w:val="24"/>
        </w:rPr>
        <w:t>-boites</w:t>
      </w:r>
      <w:proofErr w:type="spellEnd"/>
      <w:r>
        <w:rPr>
          <w:rFonts w:ascii="Arial" w:hAnsi="Arial"/>
          <w:sz w:val="24"/>
        </w:rPr>
        <w:t xml:space="preserve"> carrées de 20 cm de 7 et 8 cm de profondeur (respectivement </w:t>
      </w:r>
      <w:r w:rsidR="00D34EE2">
        <w:rPr>
          <w:rFonts w:ascii="Arial" w:hAnsi="Arial"/>
          <w:sz w:val="24"/>
        </w:rPr>
        <w:t>boite</w:t>
      </w:r>
      <w:r>
        <w:rPr>
          <w:rFonts w:ascii="Arial" w:hAnsi="Arial"/>
          <w:sz w:val="24"/>
        </w:rPr>
        <w:t xml:space="preserve"> in</w:t>
      </w:r>
      <w:r w:rsidR="002E264A">
        <w:rPr>
          <w:rFonts w:ascii="Arial" w:hAnsi="Arial"/>
          <w:sz w:val="24"/>
        </w:rPr>
        <w:t>f</w:t>
      </w:r>
      <w:r w:rsidR="00AD5193">
        <w:rPr>
          <w:rFonts w:ascii="Arial" w:hAnsi="Arial"/>
          <w:sz w:val="24"/>
        </w:rPr>
        <w:t>érieure</w:t>
      </w:r>
      <w:r w:rsidR="002E264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et </w:t>
      </w:r>
      <w:r w:rsidR="00AD5193">
        <w:rPr>
          <w:rFonts w:ascii="Arial" w:hAnsi="Arial"/>
          <w:sz w:val="24"/>
        </w:rPr>
        <w:t>supérieure</w:t>
      </w:r>
      <w:r>
        <w:rPr>
          <w:rFonts w:ascii="Arial" w:hAnsi="Arial"/>
          <w:sz w:val="24"/>
        </w:rPr>
        <w:t xml:space="preserve">). La </w:t>
      </w:r>
      <w:r w:rsidR="00D34EE2">
        <w:rPr>
          <w:rFonts w:ascii="Arial" w:hAnsi="Arial"/>
          <w:sz w:val="24"/>
        </w:rPr>
        <w:t>boite</w:t>
      </w:r>
      <w:r>
        <w:rPr>
          <w:rFonts w:ascii="Arial" w:hAnsi="Arial"/>
          <w:sz w:val="24"/>
        </w:rPr>
        <w:t xml:space="preserve"> </w:t>
      </w:r>
      <w:r w:rsidR="002E264A">
        <w:rPr>
          <w:rFonts w:ascii="Arial" w:hAnsi="Arial"/>
          <w:sz w:val="24"/>
        </w:rPr>
        <w:t>supérieure</w:t>
      </w:r>
      <w:r>
        <w:rPr>
          <w:rFonts w:ascii="Arial" w:hAnsi="Arial"/>
          <w:sz w:val="24"/>
        </w:rPr>
        <w:t xml:space="preserve"> est fixe et est maintenue au </w:t>
      </w:r>
      <w:r w:rsidR="002E264A">
        <w:rPr>
          <w:rFonts w:ascii="Arial" w:hAnsi="Arial"/>
          <w:sz w:val="24"/>
        </w:rPr>
        <w:t>bâti</w:t>
      </w:r>
      <w:r>
        <w:rPr>
          <w:rFonts w:ascii="Arial" w:hAnsi="Arial"/>
          <w:sz w:val="24"/>
        </w:rPr>
        <w:t xml:space="preserve"> par des montants verticaux. La </w:t>
      </w:r>
      <w:r w:rsidR="00D34EE2">
        <w:rPr>
          <w:rFonts w:ascii="Arial" w:hAnsi="Arial"/>
          <w:sz w:val="24"/>
        </w:rPr>
        <w:t>boite</w:t>
      </w:r>
      <w:r>
        <w:rPr>
          <w:rFonts w:ascii="Arial" w:hAnsi="Arial"/>
          <w:sz w:val="24"/>
        </w:rPr>
        <w:t xml:space="preserve"> </w:t>
      </w:r>
      <w:r w:rsidR="002E264A">
        <w:rPr>
          <w:rFonts w:ascii="Arial" w:hAnsi="Arial"/>
          <w:sz w:val="24"/>
        </w:rPr>
        <w:t>inférieure</w:t>
      </w:r>
      <w:r>
        <w:rPr>
          <w:rFonts w:ascii="Arial" w:hAnsi="Arial"/>
          <w:sz w:val="24"/>
        </w:rPr>
        <w:t xml:space="preserve"> est mobile, elle est </w:t>
      </w:r>
      <w:r w:rsidR="002E264A">
        <w:rPr>
          <w:rFonts w:ascii="Arial" w:hAnsi="Arial"/>
          <w:sz w:val="24"/>
        </w:rPr>
        <w:t>montée</w:t>
      </w:r>
      <w:r>
        <w:rPr>
          <w:rFonts w:ascii="Arial" w:hAnsi="Arial"/>
          <w:sz w:val="24"/>
        </w:rPr>
        <w:t xml:space="preserve"> sur roulement à </w:t>
      </w:r>
      <w:r w:rsidR="002E264A">
        <w:rPr>
          <w:rFonts w:ascii="Arial" w:hAnsi="Arial"/>
          <w:sz w:val="24"/>
        </w:rPr>
        <w:t>billes</w:t>
      </w:r>
      <w:r>
        <w:rPr>
          <w:rFonts w:ascii="Arial" w:hAnsi="Arial"/>
          <w:sz w:val="24"/>
        </w:rPr>
        <w:t xml:space="preserve"> </w:t>
      </w:r>
      <w:r w:rsidR="002E264A">
        <w:rPr>
          <w:rFonts w:ascii="Arial" w:hAnsi="Arial"/>
          <w:sz w:val="24"/>
        </w:rPr>
        <w:t xml:space="preserve">et </w:t>
      </w:r>
      <w:r>
        <w:rPr>
          <w:rFonts w:ascii="Arial" w:hAnsi="Arial"/>
          <w:sz w:val="24"/>
        </w:rPr>
        <w:t>guidée par des rails</w:t>
      </w:r>
      <w:r w:rsidR="002E264A">
        <w:rPr>
          <w:rFonts w:ascii="Arial" w:hAnsi="Arial"/>
          <w:sz w:val="24"/>
        </w:rPr>
        <w:t>.</w:t>
      </w:r>
      <w:r w:rsidR="00CC7B36">
        <w:rPr>
          <w:rFonts w:ascii="Arial" w:hAnsi="Arial"/>
          <w:sz w:val="24"/>
        </w:rPr>
        <w:t xml:space="preserve"> Celle-ci est remplie d</w:t>
      </w:r>
      <w:r w:rsidR="002E264A">
        <w:rPr>
          <w:rFonts w:ascii="Arial" w:hAnsi="Arial"/>
          <w:sz w:val="24"/>
        </w:rPr>
        <w:t xml:space="preserve">e </w:t>
      </w:r>
      <w:r w:rsidR="00CC7B36">
        <w:rPr>
          <w:rFonts w:ascii="Arial" w:hAnsi="Arial"/>
          <w:sz w:val="24"/>
        </w:rPr>
        <w:t xml:space="preserve">béton et est en deux </w:t>
      </w:r>
      <w:r w:rsidR="004A01B1">
        <w:rPr>
          <w:rFonts w:ascii="Arial" w:hAnsi="Arial"/>
          <w:sz w:val="24"/>
        </w:rPr>
        <w:t>parties</w:t>
      </w:r>
      <w:r w:rsidR="00CC7B36">
        <w:rPr>
          <w:rFonts w:ascii="Arial" w:hAnsi="Arial"/>
          <w:sz w:val="24"/>
        </w:rPr>
        <w:t xml:space="preserve">. La partie supérieure de la fondation modèle est une dalle amovible de 2 cm pouvant être </w:t>
      </w:r>
      <w:proofErr w:type="spellStart"/>
      <w:r w:rsidR="002E264A">
        <w:rPr>
          <w:rFonts w:ascii="Arial" w:hAnsi="Arial"/>
          <w:sz w:val="24"/>
        </w:rPr>
        <w:t>interchangé</w:t>
      </w:r>
      <w:r w:rsidR="00D52B44">
        <w:rPr>
          <w:rFonts w:ascii="Arial" w:hAnsi="Arial"/>
          <w:sz w:val="24"/>
        </w:rPr>
        <w:t>e</w:t>
      </w:r>
      <w:proofErr w:type="spellEnd"/>
      <w:r w:rsidR="00CC7B36">
        <w:rPr>
          <w:rFonts w:ascii="Arial" w:hAnsi="Arial"/>
          <w:sz w:val="24"/>
        </w:rPr>
        <w:t xml:space="preserve"> pour modifier les conditions ou les matériaux d’interface.</w:t>
      </w:r>
      <w:r w:rsidR="00025ACA">
        <w:rPr>
          <w:rFonts w:ascii="Arial" w:hAnsi="Arial"/>
          <w:sz w:val="24"/>
        </w:rPr>
        <w:t xml:space="preserve"> Deux photos montrant la </w:t>
      </w:r>
      <w:r w:rsidR="00D34EE2">
        <w:rPr>
          <w:rFonts w:ascii="Arial" w:hAnsi="Arial"/>
          <w:sz w:val="24"/>
        </w:rPr>
        <w:t>boite</w:t>
      </w:r>
      <w:r w:rsidR="00025ACA">
        <w:rPr>
          <w:rFonts w:ascii="Arial" w:hAnsi="Arial"/>
          <w:sz w:val="24"/>
        </w:rPr>
        <w:t xml:space="preserve"> de cisaillement en cours d’assemblage sont </w:t>
      </w:r>
      <w:r w:rsidR="002E264A">
        <w:rPr>
          <w:rFonts w:ascii="Arial" w:hAnsi="Arial"/>
          <w:sz w:val="24"/>
        </w:rPr>
        <w:t>présentées</w:t>
      </w:r>
      <w:r w:rsidR="00025ACA">
        <w:rPr>
          <w:rFonts w:ascii="Arial" w:hAnsi="Arial"/>
          <w:sz w:val="24"/>
        </w:rPr>
        <w:t xml:space="preserve"> en </w:t>
      </w:r>
      <w:r w:rsidR="00A96626">
        <w:rPr>
          <w:rFonts w:ascii="Arial" w:hAnsi="Arial"/>
          <w:sz w:val="24"/>
        </w:rPr>
        <w:t xml:space="preserve">Figure </w:t>
      </w:r>
      <w:r w:rsidR="00025ACA">
        <w:rPr>
          <w:rFonts w:ascii="Arial" w:hAnsi="Arial"/>
          <w:sz w:val="24"/>
        </w:rPr>
        <w:t xml:space="preserve">1. </w:t>
      </w:r>
    </w:p>
    <w:p w:rsidR="00025ACA" w:rsidRPr="00025ACA" w:rsidRDefault="00025ACA" w:rsidP="00025ACA"/>
    <w:p w:rsidR="001D490E" w:rsidRDefault="001D490E" w:rsidP="00025ACA">
      <w:pPr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784391B8" wp14:editId="533A37BA">
            <wp:extent cx="2162086" cy="2880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8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ACA">
        <w:rPr>
          <w:noProof/>
        </w:rPr>
        <w:drawing>
          <wp:inline distT="0" distB="0" distL="0" distR="0" wp14:anchorId="7B78CC62" wp14:editId="6445C86E">
            <wp:extent cx="2162086" cy="28800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8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ACA" w:rsidRDefault="00025ACA" w:rsidP="00025ACA"/>
    <w:p w:rsidR="00025ACA" w:rsidRDefault="00025ACA" w:rsidP="00025AC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Figure 1 : Photos de la </w:t>
      </w:r>
      <w:r w:rsidR="00D34EE2">
        <w:rPr>
          <w:rFonts w:ascii="Arial" w:hAnsi="Arial"/>
          <w:sz w:val="22"/>
        </w:rPr>
        <w:t>boite</w:t>
      </w:r>
      <w:r>
        <w:rPr>
          <w:rFonts w:ascii="Arial" w:hAnsi="Arial"/>
          <w:sz w:val="22"/>
        </w:rPr>
        <w:t xml:space="preserve"> de cisaillement en cours d’assemblage. </w:t>
      </w:r>
    </w:p>
    <w:p w:rsidR="00025ACA" w:rsidRPr="00025ACA" w:rsidRDefault="00025ACA" w:rsidP="00025ACA"/>
    <w:p w:rsidR="00D61E2A" w:rsidRDefault="00D61E2A" w:rsidP="00590CC7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sollicitation thermique est </w:t>
      </w:r>
      <w:r w:rsidR="001B459F">
        <w:rPr>
          <w:rFonts w:ascii="Arial" w:hAnsi="Arial"/>
          <w:sz w:val="24"/>
        </w:rPr>
        <w:t>imposée</w:t>
      </w:r>
      <w:r>
        <w:rPr>
          <w:rFonts w:ascii="Arial" w:hAnsi="Arial"/>
          <w:sz w:val="24"/>
        </w:rPr>
        <w:t xml:space="preserve"> par un tube échangeur de chaleur </w:t>
      </w:r>
      <w:r w:rsidR="00C87A8F">
        <w:rPr>
          <w:rFonts w:ascii="Arial" w:hAnsi="Arial"/>
          <w:sz w:val="24"/>
        </w:rPr>
        <w:t xml:space="preserve">coulé dans le béton de la </w:t>
      </w:r>
      <w:proofErr w:type="spellStart"/>
      <w:r w:rsidR="00C87A8F">
        <w:rPr>
          <w:rFonts w:ascii="Arial" w:hAnsi="Arial"/>
          <w:sz w:val="24"/>
        </w:rPr>
        <w:t>demi</w:t>
      </w:r>
      <w:r w:rsidR="00D34EE2">
        <w:rPr>
          <w:rFonts w:ascii="Arial" w:hAnsi="Arial"/>
          <w:sz w:val="24"/>
        </w:rPr>
        <w:t>-boite</w:t>
      </w:r>
      <w:proofErr w:type="spellEnd"/>
      <w:r w:rsidR="007328D8">
        <w:rPr>
          <w:rFonts w:ascii="Arial" w:hAnsi="Arial"/>
          <w:sz w:val="24"/>
        </w:rPr>
        <w:t xml:space="preserve"> </w:t>
      </w:r>
      <w:r w:rsidR="00C87A8F">
        <w:rPr>
          <w:rFonts w:ascii="Arial" w:hAnsi="Arial"/>
          <w:sz w:val="24"/>
        </w:rPr>
        <w:t xml:space="preserve">inférieure, à 3 cm sous la surface. Le circuit </w:t>
      </w:r>
      <w:r w:rsidR="00025ACA">
        <w:rPr>
          <w:rFonts w:ascii="Arial" w:hAnsi="Arial"/>
          <w:sz w:val="24"/>
        </w:rPr>
        <w:t xml:space="preserve">échangeur de chaleur </w:t>
      </w:r>
      <w:r w:rsidR="00C87A8F">
        <w:rPr>
          <w:rFonts w:ascii="Arial" w:hAnsi="Arial"/>
          <w:sz w:val="24"/>
        </w:rPr>
        <w:t xml:space="preserve">est </w:t>
      </w:r>
      <w:r w:rsidR="00025ACA">
        <w:rPr>
          <w:rFonts w:ascii="Arial" w:hAnsi="Arial"/>
          <w:sz w:val="24"/>
        </w:rPr>
        <w:t>complét</w:t>
      </w:r>
      <w:r w:rsidR="002E264A">
        <w:rPr>
          <w:rFonts w:ascii="Arial" w:hAnsi="Arial"/>
          <w:sz w:val="24"/>
        </w:rPr>
        <w:t>é</w:t>
      </w:r>
      <w:r w:rsidR="00025ACA">
        <w:rPr>
          <w:rFonts w:ascii="Arial" w:hAnsi="Arial"/>
          <w:sz w:val="24"/>
        </w:rPr>
        <w:t xml:space="preserve"> par </w:t>
      </w:r>
      <w:r w:rsidR="00C87A8F">
        <w:rPr>
          <w:rFonts w:ascii="Arial" w:hAnsi="Arial"/>
          <w:sz w:val="24"/>
        </w:rPr>
        <w:t xml:space="preserve">une pompe électrique, </w:t>
      </w:r>
      <w:r w:rsidR="00025ACA">
        <w:rPr>
          <w:rFonts w:ascii="Arial" w:hAnsi="Arial"/>
          <w:sz w:val="24"/>
        </w:rPr>
        <w:t xml:space="preserve">un réservoir et </w:t>
      </w:r>
      <w:r w:rsidR="00C87A8F">
        <w:rPr>
          <w:rFonts w:ascii="Arial" w:hAnsi="Arial"/>
          <w:sz w:val="24"/>
        </w:rPr>
        <w:t xml:space="preserve">un module à effet Peltier. </w:t>
      </w:r>
      <w:r w:rsidR="00025ACA">
        <w:rPr>
          <w:rFonts w:ascii="Arial" w:hAnsi="Arial"/>
          <w:sz w:val="24"/>
        </w:rPr>
        <w:t>Le module à effet Peltier permet de forcer un échange de calorie</w:t>
      </w:r>
      <w:r w:rsidR="002E264A">
        <w:rPr>
          <w:rFonts w:ascii="Arial" w:hAnsi="Arial"/>
          <w:sz w:val="24"/>
        </w:rPr>
        <w:t xml:space="preserve">s </w:t>
      </w:r>
      <w:r w:rsidR="00025ACA">
        <w:rPr>
          <w:rFonts w:ascii="Arial" w:hAnsi="Arial"/>
          <w:sz w:val="24"/>
        </w:rPr>
        <w:t xml:space="preserve">entre ses deux faces et ainsi </w:t>
      </w:r>
      <w:r w:rsidR="00F05DE6">
        <w:rPr>
          <w:rFonts w:ascii="Arial" w:hAnsi="Arial"/>
          <w:sz w:val="24"/>
        </w:rPr>
        <w:t xml:space="preserve">de </w:t>
      </w:r>
      <w:r w:rsidR="00025ACA">
        <w:rPr>
          <w:rFonts w:ascii="Arial" w:hAnsi="Arial"/>
          <w:sz w:val="24"/>
        </w:rPr>
        <w:t xml:space="preserve">réchauffer ou refroidir le fluide utilisé dans le circulateur. </w:t>
      </w:r>
      <w:r w:rsidR="002E264A">
        <w:rPr>
          <w:rFonts w:ascii="Arial" w:hAnsi="Arial"/>
          <w:sz w:val="24"/>
        </w:rPr>
        <w:t>À</w:t>
      </w:r>
      <w:r w:rsidR="00C87A8F">
        <w:rPr>
          <w:rFonts w:ascii="Arial" w:hAnsi="Arial"/>
          <w:sz w:val="24"/>
        </w:rPr>
        <w:t xml:space="preserve"> l’aide d’une carte électronique simple</w:t>
      </w:r>
      <w:r w:rsidR="00025ACA">
        <w:rPr>
          <w:rFonts w:ascii="Arial" w:hAnsi="Arial"/>
          <w:sz w:val="24"/>
        </w:rPr>
        <w:t>,</w:t>
      </w:r>
      <w:r w:rsidR="00C87A8F">
        <w:rPr>
          <w:rFonts w:ascii="Arial" w:hAnsi="Arial"/>
          <w:sz w:val="24"/>
        </w:rPr>
        <w:t xml:space="preserve"> la polarité électrique aux bornes du module Peltier peut être </w:t>
      </w:r>
      <w:r w:rsidR="00025ACA">
        <w:rPr>
          <w:rFonts w:ascii="Arial" w:hAnsi="Arial"/>
          <w:sz w:val="24"/>
        </w:rPr>
        <w:t>inversée</w:t>
      </w:r>
      <w:r w:rsidR="00C87A8F">
        <w:rPr>
          <w:rFonts w:ascii="Arial" w:hAnsi="Arial"/>
          <w:sz w:val="24"/>
        </w:rPr>
        <w:t xml:space="preserve"> pour produire un cycle chaud</w:t>
      </w:r>
      <w:r w:rsidR="007328D8">
        <w:rPr>
          <w:rFonts w:ascii="Arial" w:hAnsi="Arial"/>
          <w:sz w:val="24"/>
        </w:rPr>
        <w:t>-</w:t>
      </w:r>
      <w:r w:rsidR="00C87A8F">
        <w:rPr>
          <w:rFonts w:ascii="Arial" w:hAnsi="Arial"/>
          <w:sz w:val="24"/>
        </w:rPr>
        <w:t xml:space="preserve">froid. </w:t>
      </w:r>
    </w:p>
    <w:p w:rsidR="00C87A8F" w:rsidRDefault="00C87A8F" w:rsidP="00590CC7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sollicitation mécanique de l’interface est </w:t>
      </w:r>
      <w:r w:rsidR="002E264A">
        <w:rPr>
          <w:rFonts w:ascii="Arial" w:hAnsi="Arial"/>
          <w:sz w:val="24"/>
        </w:rPr>
        <w:t>imposée</w:t>
      </w:r>
      <w:r>
        <w:rPr>
          <w:rFonts w:ascii="Arial" w:hAnsi="Arial"/>
          <w:sz w:val="24"/>
        </w:rPr>
        <w:t xml:space="preserve"> par un système de </w:t>
      </w:r>
      <w:r w:rsidR="007328D8">
        <w:rPr>
          <w:rFonts w:ascii="Arial" w:hAnsi="Arial"/>
          <w:sz w:val="24"/>
        </w:rPr>
        <w:t>contre</w:t>
      </w:r>
      <w:r>
        <w:rPr>
          <w:rFonts w:ascii="Arial" w:hAnsi="Arial"/>
          <w:sz w:val="24"/>
        </w:rPr>
        <w:t xml:space="preserve">poids. La </w:t>
      </w:r>
      <w:r w:rsidR="00BD4CFD">
        <w:rPr>
          <w:rFonts w:ascii="Arial" w:hAnsi="Arial"/>
          <w:sz w:val="24"/>
        </w:rPr>
        <w:t>charge</w:t>
      </w:r>
      <w:r>
        <w:rPr>
          <w:rFonts w:ascii="Arial" w:hAnsi="Arial"/>
          <w:sz w:val="24"/>
        </w:rPr>
        <w:t xml:space="preserve"> </w:t>
      </w:r>
      <w:r w:rsidR="00590CC7">
        <w:rPr>
          <w:rFonts w:ascii="Arial" w:hAnsi="Arial"/>
          <w:sz w:val="24"/>
        </w:rPr>
        <w:t xml:space="preserve">verticale est imposée au sol via </w:t>
      </w:r>
      <w:r w:rsidR="005C499C">
        <w:rPr>
          <w:rFonts w:ascii="Arial" w:hAnsi="Arial"/>
          <w:sz w:val="24"/>
        </w:rPr>
        <w:t>le couvercle mobile supérieur</w:t>
      </w:r>
      <w:r w:rsidR="007328D8">
        <w:rPr>
          <w:rFonts w:ascii="Arial" w:hAnsi="Arial"/>
          <w:sz w:val="24"/>
        </w:rPr>
        <w:t xml:space="preserve"> </w:t>
      </w:r>
      <w:r w:rsidR="00590CC7">
        <w:rPr>
          <w:rFonts w:ascii="Arial" w:hAnsi="Arial"/>
          <w:sz w:val="24"/>
        </w:rPr>
        <w:t xml:space="preserve">sur </w:t>
      </w:r>
      <w:r w:rsidR="00D34EE2">
        <w:rPr>
          <w:rFonts w:ascii="Arial" w:hAnsi="Arial"/>
          <w:sz w:val="24"/>
        </w:rPr>
        <w:t>lequel</w:t>
      </w:r>
      <w:r w:rsidR="00590CC7">
        <w:rPr>
          <w:rFonts w:ascii="Arial" w:hAnsi="Arial"/>
          <w:sz w:val="24"/>
        </w:rPr>
        <w:t xml:space="preserve"> </w:t>
      </w:r>
      <w:r w:rsidR="002E264A">
        <w:rPr>
          <w:rFonts w:ascii="Arial" w:hAnsi="Arial"/>
          <w:sz w:val="24"/>
        </w:rPr>
        <w:t>agit</w:t>
      </w:r>
      <w:r w:rsidR="00590CC7">
        <w:rPr>
          <w:rFonts w:ascii="Arial" w:hAnsi="Arial"/>
          <w:sz w:val="24"/>
        </w:rPr>
        <w:t xml:space="preserve"> un système de bras de levier monté sous </w:t>
      </w:r>
      <w:r w:rsidR="002E264A">
        <w:rPr>
          <w:rFonts w:ascii="Arial" w:hAnsi="Arial"/>
          <w:sz w:val="24"/>
        </w:rPr>
        <w:t>le</w:t>
      </w:r>
      <w:r w:rsidR="00590CC7">
        <w:rPr>
          <w:rFonts w:ascii="Arial" w:hAnsi="Arial"/>
          <w:sz w:val="24"/>
        </w:rPr>
        <w:t xml:space="preserve"> bâti de chargement (similaire à un bâti </w:t>
      </w:r>
      <w:r w:rsidR="007A13C9">
        <w:rPr>
          <w:rFonts w:ascii="Arial" w:hAnsi="Arial"/>
          <w:sz w:val="24"/>
        </w:rPr>
        <w:t>œdométrique</w:t>
      </w:r>
      <w:r w:rsidR="00590CC7">
        <w:rPr>
          <w:rFonts w:ascii="Arial" w:hAnsi="Arial"/>
          <w:sz w:val="24"/>
        </w:rPr>
        <w:t>)</w:t>
      </w:r>
      <w:r w:rsidR="0077630A">
        <w:rPr>
          <w:rFonts w:ascii="Arial" w:hAnsi="Arial"/>
          <w:sz w:val="24"/>
        </w:rPr>
        <w:t xml:space="preserve">. La </w:t>
      </w:r>
      <w:r w:rsidR="00BD4CFD">
        <w:rPr>
          <w:rFonts w:ascii="Arial" w:hAnsi="Arial"/>
          <w:sz w:val="24"/>
        </w:rPr>
        <w:t>charge</w:t>
      </w:r>
      <w:r w:rsidR="0077630A">
        <w:rPr>
          <w:rFonts w:ascii="Arial" w:hAnsi="Arial"/>
          <w:sz w:val="24"/>
        </w:rPr>
        <w:t xml:space="preserve"> horizontale est imposée par l’action d’une masse suspendue </w:t>
      </w:r>
      <w:r w:rsidR="002E264A">
        <w:rPr>
          <w:rFonts w:ascii="Arial" w:hAnsi="Arial"/>
          <w:sz w:val="24"/>
        </w:rPr>
        <w:t>transmise</w:t>
      </w:r>
      <w:r w:rsidR="0077630A">
        <w:rPr>
          <w:rFonts w:ascii="Arial" w:hAnsi="Arial"/>
          <w:sz w:val="24"/>
        </w:rPr>
        <w:t xml:space="preserve"> à la </w:t>
      </w:r>
      <w:r w:rsidR="00D34EE2">
        <w:rPr>
          <w:rFonts w:ascii="Arial" w:hAnsi="Arial"/>
          <w:sz w:val="24"/>
        </w:rPr>
        <w:t>boite</w:t>
      </w:r>
      <w:r w:rsidR="0077630A">
        <w:rPr>
          <w:rFonts w:ascii="Arial" w:hAnsi="Arial"/>
          <w:sz w:val="24"/>
        </w:rPr>
        <w:t xml:space="preserve"> inférieure via un système de câble et poulies. Le système d</w:t>
      </w:r>
      <w:r w:rsidR="00200C85">
        <w:rPr>
          <w:rFonts w:ascii="Arial" w:hAnsi="Arial"/>
          <w:sz w:val="24"/>
        </w:rPr>
        <w:t>e</w:t>
      </w:r>
      <w:r w:rsidR="0077630A">
        <w:rPr>
          <w:rFonts w:ascii="Arial" w:hAnsi="Arial"/>
          <w:sz w:val="24"/>
        </w:rPr>
        <w:t xml:space="preserve"> </w:t>
      </w:r>
      <w:r w:rsidR="00200C85">
        <w:rPr>
          <w:rFonts w:ascii="Arial" w:hAnsi="Arial"/>
          <w:sz w:val="24"/>
        </w:rPr>
        <w:t xml:space="preserve">chargement ainsi </w:t>
      </w:r>
      <w:r w:rsidR="0077630A">
        <w:rPr>
          <w:rFonts w:ascii="Arial" w:hAnsi="Arial"/>
          <w:sz w:val="24"/>
        </w:rPr>
        <w:t xml:space="preserve">construit </w:t>
      </w:r>
      <w:r w:rsidR="00200C85">
        <w:rPr>
          <w:rFonts w:ascii="Arial" w:hAnsi="Arial"/>
          <w:sz w:val="24"/>
        </w:rPr>
        <w:t>permet d’</w:t>
      </w:r>
      <w:r w:rsidR="002E264A">
        <w:rPr>
          <w:rFonts w:ascii="Arial" w:hAnsi="Arial"/>
          <w:sz w:val="24"/>
        </w:rPr>
        <w:t>imposer</w:t>
      </w:r>
      <w:r w:rsidR="00200C85">
        <w:rPr>
          <w:rFonts w:ascii="Arial" w:hAnsi="Arial"/>
          <w:sz w:val="24"/>
        </w:rPr>
        <w:t xml:space="preserve"> des </w:t>
      </w:r>
      <w:r w:rsidR="00275262">
        <w:rPr>
          <w:rFonts w:ascii="Arial" w:hAnsi="Arial"/>
          <w:sz w:val="24"/>
        </w:rPr>
        <w:t xml:space="preserve">sollicitations mécaniques constantes ou par </w:t>
      </w:r>
      <w:r w:rsidR="002E264A">
        <w:rPr>
          <w:rFonts w:ascii="Arial" w:hAnsi="Arial"/>
          <w:sz w:val="24"/>
        </w:rPr>
        <w:t>palier</w:t>
      </w:r>
      <w:r w:rsidR="00275262">
        <w:rPr>
          <w:rFonts w:ascii="Arial" w:hAnsi="Arial"/>
          <w:sz w:val="24"/>
        </w:rPr>
        <w:t xml:space="preserve"> </w:t>
      </w:r>
      <w:r w:rsidR="002E264A">
        <w:rPr>
          <w:rFonts w:ascii="Arial" w:hAnsi="Arial"/>
          <w:sz w:val="24"/>
        </w:rPr>
        <w:t>manuel</w:t>
      </w:r>
      <w:r w:rsidR="00275262">
        <w:rPr>
          <w:rFonts w:ascii="Arial" w:hAnsi="Arial"/>
          <w:sz w:val="24"/>
        </w:rPr>
        <w:t>.</w:t>
      </w:r>
    </w:p>
    <w:p w:rsidR="00BE6E7E" w:rsidRDefault="00275262" w:rsidP="00BE6E7E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L’instrumentation de la </w:t>
      </w:r>
      <w:r w:rsidR="00D34EE2">
        <w:rPr>
          <w:rFonts w:ascii="Arial" w:hAnsi="Arial"/>
          <w:sz w:val="24"/>
        </w:rPr>
        <w:t>boite</w:t>
      </w:r>
      <w:r>
        <w:rPr>
          <w:rFonts w:ascii="Arial" w:hAnsi="Arial"/>
          <w:sz w:val="24"/>
        </w:rPr>
        <w:t xml:space="preserve"> de cisaillement comprend trois </w:t>
      </w:r>
      <w:r w:rsidR="002E264A">
        <w:rPr>
          <w:rFonts w:ascii="Arial" w:hAnsi="Arial"/>
          <w:sz w:val="24"/>
        </w:rPr>
        <w:t>capteurs</w:t>
      </w:r>
      <w:r>
        <w:rPr>
          <w:rFonts w:ascii="Arial" w:hAnsi="Arial"/>
          <w:sz w:val="24"/>
        </w:rPr>
        <w:t xml:space="preserve"> de déplacement de type LVDT et six capteurs de température de type PT100. Les capteurs </w:t>
      </w:r>
      <w:r w:rsidR="00CC7B36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VDT sont disposés en avant et en arrière de la </w:t>
      </w:r>
      <w:proofErr w:type="spellStart"/>
      <w:r w:rsidR="002E264A">
        <w:rPr>
          <w:rFonts w:ascii="Arial" w:hAnsi="Arial"/>
          <w:sz w:val="24"/>
        </w:rPr>
        <w:t>demi</w:t>
      </w:r>
      <w:r w:rsidR="00D34EE2">
        <w:rPr>
          <w:rFonts w:ascii="Arial" w:hAnsi="Arial"/>
          <w:sz w:val="24"/>
        </w:rPr>
        <w:t>-boite</w:t>
      </w:r>
      <w:proofErr w:type="spellEnd"/>
      <w:r w:rsidR="007328D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inférieure, pour </w:t>
      </w:r>
      <w:r w:rsidR="002E264A">
        <w:rPr>
          <w:rFonts w:ascii="Arial" w:hAnsi="Arial"/>
          <w:sz w:val="24"/>
        </w:rPr>
        <w:t>mesurer</w:t>
      </w:r>
      <w:r>
        <w:rPr>
          <w:rFonts w:ascii="Arial" w:hAnsi="Arial"/>
          <w:sz w:val="24"/>
        </w:rPr>
        <w:t xml:space="preserve"> le cisaillement de l’interface et compens</w:t>
      </w:r>
      <w:r w:rsidR="00CC7B36">
        <w:rPr>
          <w:rFonts w:ascii="Arial" w:hAnsi="Arial"/>
          <w:sz w:val="24"/>
        </w:rPr>
        <w:t>er</w:t>
      </w:r>
      <w:r>
        <w:rPr>
          <w:rFonts w:ascii="Arial" w:hAnsi="Arial"/>
          <w:sz w:val="24"/>
        </w:rPr>
        <w:t xml:space="preserve"> la dilatation et contraction thermique de la </w:t>
      </w:r>
      <w:r w:rsidR="00D34EE2">
        <w:rPr>
          <w:rFonts w:ascii="Arial" w:hAnsi="Arial"/>
          <w:sz w:val="24"/>
        </w:rPr>
        <w:t>boite</w:t>
      </w:r>
      <w:r w:rsidR="00CC7B36">
        <w:rPr>
          <w:rFonts w:ascii="Arial" w:hAnsi="Arial"/>
          <w:sz w:val="24"/>
        </w:rPr>
        <w:t xml:space="preserve"> due au cycle de température. Le troisième capteur est placé au niveau du couvercle supérieur de la </w:t>
      </w:r>
      <w:r w:rsidR="00D34EE2">
        <w:rPr>
          <w:rFonts w:ascii="Arial" w:hAnsi="Arial"/>
          <w:sz w:val="24"/>
        </w:rPr>
        <w:t>boite</w:t>
      </w:r>
      <w:r w:rsidR="00CC7B36">
        <w:rPr>
          <w:rFonts w:ascii="Arial" w:hAnsi="Arial"/>
          <w:sz w:val="24"/>
        </w:rPr>
        <w:t xml:space="preserve"> </w:t>
      </w:r>
      <w:r w:rsidR="00CC7B36">
        <w:rPr>
          <w:rFonts w:ascii="Arial" w:hAnsi="Arial"/>
          <w:sz w:val="24"/>
        </w:rPr>
        <w:lastRenderedPageBreak/>
        <w:t xml:space="preserve">et permet de mesurer le gonflement et la contraction du sol lors de l’essai. Les capteurs de température PT100 sont </w:t>
      </w:r>
      <w:r w:rsidR="002B3E09">
        <w:rPr>
          <w:rFonts w:ascii="Arial" w:hAnsi="Arial"/>
          <w:sz w:val="24"/>
        </w:rPr>
        <w:t>disposés</w:t>
      </w:r>
      <w:r w:rsidR="00CC7B36">
        <w:rPr>
          <w:rFonts w:ascii="Arial" w:hAnsi="Arial"/>
          <w:sz w:val="24"/>
        </w:rPr>
        <w:t xml:space="preserve"> par paires</w:t>
      </w:r>
      <w:r w:rsidR="00D34EE2">
        <w:rPr>
          <w:rFonts w:ascii="Arial" w:hAnsi="Arial"/>
          <w:sz w:val="24"/>
        </w:rPr>
        <w:t>. De</w:t>
      </w:r>
      <w:r w:rsidR="00CC7B36">
        <w:rPr>
          <w:rFonts w:ascii="Arial" w:hAnsi="Arial"/>
          <w:sz w:val="24"/>
        </w:rPr>
        <w:t xml:space="preserve">ux capteurs sont </w:t>
      </w:r>
      <w:r w:rsidR="002B3E09">
        <w:rPr>
          <w:rFonts w:ascii="Arial" w:hAnsi="Arial"/>
          <w:sz w:val="24"/>
        </w:rPr>
        <w:t>disposés</w:t>
      </w:r>
      <w:r w:rsidR="00CC7B36">
        <w:rPr>
          <w:rFonts w:ascii="Arial" w:hAnsi="Arial"/>
          <w:sz w:val="24"/>
        </w:rPr>
        <w:t xml:space="preserve"> à l’entrée et à la sortie du serpentin échangeur de chaleur</w:t>
      </w:r>
      <w:r w:rsidR="00D34EE2">
        <w:rPr>
          <w:rFonts w:ascii="Arial" w:hAnsi="Arial"/>
          <w:sz w:val="24"/>
        </w:rPr>
        <w:t xml:space="preserve">, </w:t>
      </w:r>
      <w:r w:rsidR="002B3E09">
        <w:rPr>
          <w:rFonts w:ascii="Arial" w:hAnsi="Arial"/>
          <w:sz w:val="24"/>
        </w:rPr>
        <w:t>permettant de mesurer la température d’eau à l’entrée et à la sortie du circuit</w:t>
      </w:r>
      <w:r w:rsidR="002E264A">
        <w:rPr>
          <w:rFonts w:ascii="Arial" w:hAnsi="Arial"/>
          <w:sz w:val="24"/>
        </w:rPr>
        <w:t xml:space="preserve"> et ainsi </w:t>
      </w:r>
      <w:r w:rsidR="009C7807">
        <w:rPr>
          <w:rFonts w:ascii="Arial" w:hAnsi="Arial"/>
          <w:sz w:val="24"/>
        </w:rPr>
        <w:t>évaluer</w:t>
      </w:r>
      <w:r w:rsidR="002E264A">
        <w:rPr>
          <w:rFonts w:ascii="Arial" w:hAnsi="Arial"/>
          <w:sz w:val="24"/>
        </w:rPr>
        <w:t xml:space="preserve"> la puissance thermique échangée avec la fondation.</w:t>
      </w:r>
      <w:r w:rsidR="002B3E09">
        <w:rPr>
          <w:rFonts w:ascii="Arial" w:hAnsi="Arial"/>
          <w:sz w:val="24"/>
        </w:rPr>
        <w:t xml:space="preserve"> Deux capteurs sont disposés dans la fondation modèle</w:t>
      </w:r>
      <w:r w:rsidR="002E264A">
        <w:rPr>
          <w:rFonts w:ascii="Arial" w:hAnsi="Arial"/>
          <w:sz w:val="24"/>
        </w:rPr>
        <w:t xml:space="preserve">, </w:t>
      </w:r>
      <w:r w:rsidR="002B3E09">
        <w:rPr>
          <w:rFonts w:ascii="Arial" w:hAnsi="Arial"/>
          <w:sz w:val="24"/>
        </w:rPr>
        <w:t>1 cm sous la surface</w:t>
      </w:r>
      <w:r w:rsidR="002E264A">
        <w:rPr>
          <w:rFonts w:ascii="Arial" w:hAnsi="Arial"/>
          <w:sz w:val="24"/>
        </w:rPr>
        <w:t xml:space="preserve">, </w:t>
      </w:r>
      <w:r w:rsidR="002B3E09">
        <w:rPr>
          <w:rFonts w:ascii="Arial" w:hAnsi="Arial"/>
          <w:sz w:val="24"/>
        </w:rPr>
        <w:t>et deux capteurs sont disposés dans le sol</w:t>
      </w:r>
      <w:r w:rsidR="002E264A">
        <w:rPr>
          <w:rFonts w:ascii="Arial" w:hAnsi="Arial"/>
          <w:sz w:val="24"/>
        </w:rPr>
        <w:t xml:space="preserve">, </w:t>
      </w:r>
      <w:r w:rsidR="002B3E09">
        <w:rPr>
          <w:rFonts w:ascii="Arial" w:hAnsi="Arial"/>
          <w:sz w:val="24"/>
        </w:rPr>
        <w:t xml:space="preserve">1 cm au-dessus de l’interface. Le schéma complet du système est présenté sur la </w:t>
      </w:r>
      <w:r w:rsidR="00A96626">
        <w:rPr>
          <w:rFonts w:ascii="Arial" w:hAnsi="Arial"/>
          <w:sz w:val="24"/>
        </w:rPr>
        <w:t xml:space="preserve">Figure </w:t>
      </w:r>
      <w:r w:rsidR="002E264A">
        <w:rPr>
          <w:rFonts w:ascii="Arial" w:hAnsi="Arial"/>
          <w:sz w:val="24"/>
        </w:rPr>
        <w:t>2</w:t>
      </w:r>
      <w:r w:rsidR="002B3E09">
        <w:rPr>
          <w:rFonts w:ascii="Arial" w:hAnsi="Arial"/>
          <w:sz w:val="24"/>
        </w:rPr>
        <w:t xml:space="preserve">. </w:t>
      </w:r>
    </w:p>
    <w:p w:rsidR="00025ACA" w:rsidRDefault="00025ACA" w:rsidP="00025ACA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contrôle de l’essai</w:t>
      </w:r>
      <w:r w:rsidR="002E264A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ainsi que le suivi et l’enregistrement des résultats sont réalisés avec le logiciel LabVIEW et un système de </w:t>
      </w:r>
      <w:r w:rsidR="002E264A">
        <w:rPr>
          <w:rFonts w:ascii="Arial" w:hAnsi="Arial"/>
          <w:sz w:val="24"/>
        </w:rPr>
        <w:t>cartes</w:t>
      </w:r>
      <w:r>
        <w:rPr>
          <w:rFonts w:ascii="Arial" w:hAnsi="Arial"/>
          <w:sz w:val="24"/>
        </w:rPr>
        <w:t xml:space="preserve"> National Instrument</w:t>
      </w:r>
      <w:r w:rsidR="002E264A">
        <w:rPr>
          <w:rFonts w:ascii="Arial" w:hAnsi="Arial"/>
          <w:sz w:val="24"/>
        </w:rPr>
        <w:t>s.</w:t>
      </w:r>
      <w:r>
        <w:rPr>
          <w:rFonts w:ascii="Arial" w:hAnsi="Arial"/>
          <w:sz w:val="24"/>
        </w:rPr>
        <w:t xml:space="preserve"> Le système </w:t>
      </w:r>
      <w:r w:rsidR="002E264A">
        <w:rPr>
          <w:rFonts w:ascii="Arial" w:hAnsi="Arial"/>
          <w:sz w:val="24"/>
        </w:rPr>
        <w:t>emploie</w:t>
      </w:r>
      <w:r>
        <w:rPr>
          <w:rFonts w:ascii="Arial" w:hAnsi="Arial"/>
          <w:sz w:val="24"/>
        </w:rPr>
        <w:t xml:space="preserve"> une carte spécifique pour les capteurs PT100, une carte d’enregistrement universel pour les capteurs de déplacement LVDT et une carte de contrôle </w:t>
      </w:r>
      <w:r w:rsidR="002E264A">
        <w:rPr>
          <w:rFonts w:ascii="Arial" w:hAnsi="Arial"/>
          <w:sz w:val="24"/>
        </w:rPr>
        <w:t>à</w:t>
      </w:r>
      <w:r>
        <w:rPr>
          <w:rFonts w:ascii="Arial" w:hAnsi="Arial"/>
          <w:sz w:val="24"/>
        </w:rPr>
        <w:t xml:space="preserve"> </w:t>
      </w:r>
      <w:r w:rsidR="002E264A">
        <w:rPr>
          <w:rFonts w:ascii="Arial" w:hAnsi="Arial"/>
          <w:sz w:val="24"/>
        </w:rPr>
        <w:t>tension</w:t>
      </w:r>
      <w:r>
        <w:rPr>
          <w:rFonts w:ascii="Arial" w:hAnsi="Arial"/>
          <w:sz w:val="24"/>
        </w:rPr>
        <w:t xml:space="preserve"> variable pour le contrôle du module à effet Peltier.</w:t>
      </w:r>
    </w:p>
    <w:p w:rsidR="00025ACA" w:rsidRDefault="00025ACA" w:rsidP="00BE6E7E">
      <w:pPr>
        <w:ind w:firstLine="284"/>
        <w:jc w:val="both"/>
        <w:rPr>
          <w:rFonts w:ascii="Arial" w:hAnsi="Arial"/>
          <w:sz w:val="24"/>
        </w:rPr>
      </w:pPr>
    </w:p>
    <w:p w:rsidR="001D490E" w:rsidRDefault="001D490E" w:rsidP="001D490E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64271553" wp14:editId="4A6A0A89">
            <wp:extent cx="5040000" cy="284568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dinier\Documents\Affaires\2021-05_Boite_Géothermique\sche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4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0E" w:rsidRDefault="001D490E" w:rsidP="001D490E"/>
    <w:p w:rsidR="001D490E" w:rsidRPr="00C02800" w:rsidRDefault="001D490E" w:rsidP="001D490E">
      <w:pPr>
        <w:pStyle w:val="titredefigure"/>
        <w:spacing w:before="0"/>
      </w:pPr>
      <w:r w:rsidRPr="00025ACA">
        <w:t xml:space="preserve">Figure </w:t>
      </w:r>
      <w:r w:rsidR="00025ACA" w:rsidRPr="00025ACA">
        <w:t>2 :</w:t>
      </w:r>
      <w:r w:rsidRPr="00025ACA">
        <w:t xml:space="preserve"> </w:t>
      </w:r>
      <w:r>
        <w:t>Schéma du dispositif</w:t>
      </w:r>
    </w:p>
    <w:p w:rsidR="00BE6E7E" w:rsidRDefault="00BE6E7E" w:rsidP="00BE6E7E">
      <w:pPr>
        <w:pStyle w:val="Titre1"/>
        <w:rPr>
          <w:lang w:val="fr-FR"/>
        </w:rPr>
      </w:pPr>
      <w:r>
        <w:rPr>
          <w:lang w:val="fr-FR"/>
        </w:rPr>
        <w:t xml:space="preserve">Protocole d’essai et essais préliminaires. </w:t>
      </w:r>
    </w:p>
    <w:p w:rsidR="00CA4A5B" w:rsidRDefault="00CA4A5B" w:rsidP="00CA4A5B">
      <w:pPr>
        <w:jc w:val="both"/>
        <w:rPr>
          <w:rFonts w:ascii="Arial" w:hAnsi="Arial"/>
          <w:sz w:val="24"/>
        </w:rPr>
      </w:pPr>
      <w:r w:rsidRPr="00CA4A5B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e protocole d’essais établi pour les essais préliminaire</w:t>
      </w:r>
      <w:r w:rsidR="00025ACA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comporte trois phases. La première phase correspond au montage de la </w:t>
      </w:r>
      <w:r w:rsidR="00D34EE2">
        <w:rPr>
          <w:rFonts w:ascii="Arial" w:hAnsi="Arial"/>
          <w:sz w:val="24"/>
        </w:rPr>
        <w:t>boite</w:t>
      </w:r>
      <w:r>
        <w:rPr>
          <w:rFonts w:ascii="Arial" w:hAnsi="Arial"/>
          <w:sz w:val="24"/>
        </w:rPr>
        <w:t xml:space="preserve"> et à la préparation de l’échantillon. La </w:t>
      </w:r>
      <w:r w:rsidR="00D34EE2">
        <w:rPr>
          <w:rFonts w:ascii="Arial" w:hAnsi="Arial"/>
          <w:sz w:val="24"/>
        </w:rPr>
        <w:t>boite</w:t>
      </w:r>
      <w:r>
        <w:rPr>
          <w:rFonts w:ascii="Arial" w:hAnsi="Arial"/>
          <w:sz w:val="24"/>
        </w:rPr>
        <w:t xml:space="preserve"> supérieure est assemb</w:t>
      </w:r>
      <w:r w:rsidR="00025ACA">
        <w:rPr>
          <w:rFonts w:ascii="Arial" w:hAnsi="Arial"/>
          <w:sz w:val="24"/>
        </w:rPr>
        <w:t xml:space="preserve">lée sur les montants verticaux. L’espace entre les </w:t>
      </w:r>
      <w:r w:rsidR="00D34EE2">
        <w:rPr>
          <w:rFonts w:ascii="Arial" w:hAnsi="Arial"/>
          <w:sz w:val="24"/>
        </w:rPr>
        <w:t>boites</w:t>
      </w:r>
      <w:r>
        <w:rPr>
          <w:rFonts w:ascii="Arial" w:hAnsi="Arial"/>
          <w:sz w:val="24"/>
        </w:rPr>
        <w:t xml:space="preserve"> peut être ajusté grâce au système de fixation. La </w:t>
      </w:r>
      <w:r w:rsidR="00D34EE2">
        <w:rPr>
          <w:rFonts w:ascii="Arial" w:hAnsi="Arial"/>
          <w:sz w:val="24"/>
        </w:rPr>
        <w:t>boite</w:t>
      </w:r>
      <w:r>
        <w:rPr>
          <w:rFonts w:ascii="Arial" w:hAnsi="Arial"/>
          <w:sz w:val="24"/>
        </w:rPr>
        <w:t xml:space="preserve"> inférieure est alignée sur la </w:t>
      </w:r>
      <w:r w:rsidR="00D34EE2">
        <w:rPr>
          <w:rFonts w:ascii="Arial" w:hAnsi="Arial"/>
          <w:sz w:val="24"/>
        </w:rPr>
        <w:t>boite</w:t>
      </w:r>
      <w:r>
        <w:rPr>
          <w:rFonts w:ascii="Arial" w:hAnsi="Arial"/>
          <w:sz w:val="24"/>
        </w:rPr>
        <w:t xml:space="preserve"> supérieure. Le sol est ensuite mis en place selon sa nature</w:t>
      </w:r>
      <w:r w:rsidR="00B62FC5">
        <w:rPr>
          <w:rFonts w:ascii="Arial" w:hAnsi="Arial"/>
          <w:sz w:val="24"/>
        </w:rPr>
        <w:t xml:space="preserve"> </w:t>
      </w:r>
      <w:r w:rsidR="00B62FC5">
        <w:rPr>
          <w:rFonts w:ascii="Arial" w:hAnsi="Arial"/>
          <w:sz w:val="24"/>
        </w:rPr>
        <w:t>et l’état voulu</w:t>
      </w:r>
      <w:r w:rsidR="00B62FC5">
        <w:rPr>
          <w:rFonts w:ascii="Arial" w:hAnsi="Arial"/>
          <w:sz w:val="24"/>
        </w:rPr>
        <w:t>. Pour un sable</w:t>
      </w:r>
      <w:r w:rsidR="00D34EE2">
        <w:rPr>
          <w:rFonts w:ascii="Arial" w:hAnsi="Arial"/>
          <w:sz w:val="24"/>
        </w:rPr>
        <w:t xml:space="preserve">, </w:t>
      </w:r>
      <w:r w:rsidR="00B62FC5">
        <w:rPr>
          <w:rFonts w:ascii="Arial" w:hAnsi="Arial"/>
          <w:sz w:val="24"/>
        </w:rPr>
        <w:t xml:space="preserve">la mise en place est faite par </w:t>
      </w:r>
      <w:proofErr w:type="spellStart"/>
      <w:r w:rsidR="00B62FC5">
        <w:rPr>
          <w:rFonts w:ascii="Arial" w:hAnsi="Arial"/>
          <w:sz w:val="24"/>
        </w:rPr>
        <w:t>pluviation</w:t>
      </w:r>
      <w:proofErr w:type="spellEnd"/>
      <w:r w:rsidR="00B62FC5">
        <w:rPr>
          <w:rFonts w:ascii="Arial" w:hAnsi="Arial"/>
          <w:sz w:val="24"/>
        </w:rPr>
        <w:t xml:space="preserve">, compléter par un comptage et une saturation en eau </w:t>
      </w:r>
      <w:r w:rsidR="00D34EE2">
        <w:rPr>
          <w:rFonts w:ascii="Arial" w:hAnsi="Arial"/>
          <w:sz w:val="24"/>
        </w:rPr>
        <w:t>gravitaire</w:t>
      </w:r>
      <w:r w:rsidR="00B62FC5">
        <w:rPr>
          <w:rFonts w:ascii="Arial" w:hAnsi="Arial"/>
          <w:sz w:val="24"/>
        </w:rPr>
        <w:t xml:space="preserve"> dans le cas dense </w:t>
      </w:r>
      <w:r w:rsidR="005C499C">
        <w:rPr>
          <w:rFonts w:ascii="Arial" w:hAnsi="Arial"/>
          <w:sz w:val="24"/>
        </w:rPr>
        <w:t>ou une saturation</w:t>
      </w:r>
      <w:r w:rsidR="00B62FC5">
        <w:rPr>
          <w:rFonts w:ascii="Arial" w:hAnsi="Arial"/>
          <w:sz w:val="24"/>
        </w:rPr>
        <w:t xml:space="preserve"> par capillarité dans le cas lâche. Pour l’argile, la pâte mélangé</w:t>
      </w:r>
      <w:r w:rsidR="005C499C">
        <w:rPr>
          <w:rFonts w:ascii="Arial" w:hAnsi="Arial"/>
          <w:sz w:val="24"/>
        </w:rPr>
        <w:t>e</w:t>
      </w:r>
      <w:r w:rsidR="00B62FC5">
        <w:rPr>
          <w:rFonts w:ascii="Arial" w:hAnsi="Arial"/>
          <w:sz w:val="24"/>
        </w:rPr>
        <w:t xml:space="preserve"> préalablement</w:t>
      </w:r>
      <w:r w:rsidR="005C499C">
        <w:rPr>
          <w:rFonts w:ascii="Arial" w:hAnsi="Arial"/>
          <w:sz w:val="24"/>
        </w:rPr>
        <w:t>,</w:t>
      </w:r>
      <w:r w:rsidR="00B62FC5">
        <w:rPr>
          <w:rFonts w:ascii="Arial" w:hAnsi="Arial"/>
          <w:sz w:val="24"/>
        </w:rPr>
        <w:t xml:space="preserve"> est mise en place à la spatule par couche successive, </w:t>
      </w:r>
      <w:r w:rsidR="005C499C">
        <w:rPr>
          <w:rFonts w:ascii="Arial" w:hAnsi="Arial"/>
          <w:sz w:val="24"/>
        </w:rPr>
        <w:t xml:space="preserve">le moulage est ensuite </w:t>
      </w:r>
      <w:r w:rsidR="00D34EE2">
        <w:rPr>
          <w:rFonts w:ascii="Arial" w:hAnsi="Arial"/>
          <w:sz w:val="24"/>
        </w:rPr>
        <w:t>finalisé</w:t>
      </w:r>
      <w:r w:rsidR="005C499C">
        <w:rPr>
          <w:rFonts w:ascii="Arial" w:hAnsi="Arial"/>
          <w:sz w:val="24"/>
        </w:rPr>
        <w:t xml:space="preserve"> par la phase de consolidation</w:t>
      </w:r>
      <w:r>
        <w:rPr>
          <w:rFonts w:ascii="Arial" w:hAnsi="Arial"/>
          <w:sz w:val="24"/>
        </w:rPr>
        <w:t xml:space="preserve">. Au </w:t>
      </w:r>
      <w:r w:rsidR="002F67E6">
        <w:rPr>
          <w:rFonts w:ascii="Arial" w:hAnsi="Arial"/>
          <w:sz w:val="24"/>
        </w:rPr>
        <w:t>cours</w:t>
      </w:r>
      <w:r w:rsidR="00D34EE2">
        <w:rPr>
          <w:rFonts w:ascii="Arial" w:hAnsi="Arial"/>
          <w:sz w:val="24"/>
        </w:rPr>
        <w:t xml:space="preserve"> de la </w:t>
      </w:r>
      <w:r w:rsidR="005C499C">
        <w:rPr>
          <w:rFonts w:ascii="Arial" w:hAnsi="Arial"/>
          <w:sz w:val="24"/>
        </w:rPr>
        <w:t>préparation du sol</w:t>
      </w:r>
      <w:r>
        <w:rPr>
          <w:rFonts w:ascii="Arial" w:hAnsi="Arial"/>
          <w:sz w:val="24"/>
        </w:rPr>
        <w:t>, les sonde</w:t>
      </w:r>
      <w:r w:rsidR="002F67E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PT100 sont </w:t>
      </w:r>
      <w:r w:rsidR="002F67E6">
        <w:rPr>
          <w:rFonts w:ascii="Arial" w:hAnsi="Arial"/>
          <w:sz w:val="24"/>
        </w:rPr>
        <w:t xml:space="preserve">également </w:t>
      </w:r>
      <w:r w:rsidR="002E264A">
        <w:rPr>
          <w:rFonts w:ascii="Arial" w:hAnsi="Arial"/>
          <w:sz w:val="24"/>
        </w:rPr>
        <w:t>mises</w:t>
      </w:r>
      <w:r w:rsidR="002F67E6">
        <w:rPr>
          <w:rFonts w:ascii="Arial" w:hAnsi="Arial"/>
          <w:sz w:val="24"/>
        </w:rPr>
        <w:t xml:space="preserve"> </w:t>
      </w:r>
      <w:r w:rsidR="002E264A">
        <w:rPr>
          <w:rFonts w:ascii="Arial" w:hAnsi="Arial"/>
          <w:sz w:val="24"/>
        </w:rPr>
        <w:t>en p</w:t>
      </w:r>
      <w:r>
        <w:rPr>
          <w:rFonts w:ascii="Arial" w:hAnsi="Arial"/>
          <w:sz w:val="24"/>
        </w:rPr>
        <w:t>lace.</w:t>
      </w:r>
      <w:r w:rsidR="002F67E6">
        <w:rPr>
          <w:rFonts w:ascii="Arial" w:hAnsi="Arial"/>
          <w:sz w:val="24"/>
        </w:rPr>
        <w:t xml:space="preserve"> La </w:t>
      </w:r>
      <w:r w:rsidR="00D34EE2">
        <w:rPr>
          <w:rFonts w:ascii="Arial" w:hAnsi="Arial"/>
          <w:sz w:val="24"/>
        </w:rPr>
        <w:t>boite</w:t>
      </w:r>
      <w:r w:rsidR="002F67E6">
        <w:rPr>
          <w:rFonts w:ascii="Arial" w:hAnsi="Arial"/>
          <w:sz w:val="24"/>
        </w:rPr>
        <w:t xml:space="preserve"> est ensuite refermée par le couvercle mobile. Afin de mieux conserver l’état hydrique des sols une membrane plastique est mise en place</w:t>
      </w:r>
      <w:r w:rsidR="00025ACA">
        <w:rPr>
          <w:rFonts w:ascii="Arial" w:hAnsi="Arial"/>
          <w:sz w:val="24"/>
        </w:rPr>
        <w:t>. E</w:t>
      </w:r>
      <w:r w:rsidR="002F67E6">
        <w:rPr>
          <w:rFonts w:ascii="Arial" w:hAnsi="Arial"/>
          <w:sz w:val="24"/>
        </w:rPr>
        <w:t>lle entoure le sol et la dalle supérieur</w:t>
      </w:r>
      <w:r w:rsidR="00025ACA">
        <w:rPr>
          <w:rFonts w:ascii="Arial" w:hAnsi="Arial"/>
          <w:sz w:val="24"/>
        </w:rPr>
        <w:t>e de la partie fondation</w:t>
      </w:r>
      <w:r w:rsidR="002F67E6">
        <w:rPr>
          <w:rFonts w:ascii="Arial" w:hAnsi="Arial"/>
          <w:sz w:val="24"/>
        </w:rPr>
        <w:t xml:space="preserve">. Bien que n’assurant pas l’étanchéité du dispositif, l’expérience montre qu’elle permet de maintenir l’état hydrique du sol </w:t>
      </w:r>
      <w:r w:rsidR="00242F61">
        <w:rPr>
          <w:rFonts w:ascii="Arial" w:hAnsi="Arial"/>
          <w:sz w:val="24"/>
        </w:rPr>
        <w:t>quasiment constant</w:t>
      </w:r>
      <w:r w:rsidR="002F67E6">
        <w:rPr>
          <w:rFonts w:ascii="Arial" w:hAnsi="Arial"/>
          <w:sz w:val="24"/>
        </w:rPr>
        <w:t xml:space="preserve"> au cours de </w:t>
      </w:r>
      <w:r w:rsidR="00D01E6B">
        <w:rPr>
          <w:rFonts w:ascii="Arial" w:hAnsi="Arial"/>
          <w:sz w:val="24"/>
        </w:rPr>
        <w:t>l’essai</w:t>
      </w:r>
      <w:r w:rsidR="002F67E6">
        <w:rPr>
          <w:rFonts w:ascii="Arial" w:hAnsi="Arial"/>
          <w:sz w:val="24"/>
        </w:rPr>
        <w:t>. Finalement</w:t>
      </w:r>
      <w:r w:rsidR="002E264A">
        <w:rPr>
          <w:rFonts w:ascii="Arial" w:hAnsi="Arial"/>
          <w:sz w:val="24"/>
        </w:rPr>
        <w:t xml:space="preserve">, </w:t>
      </w:r>
      <w:r w:rsidR="002F67E6">
        <w:rPr>
          <w:rFonts w:ascii="Arial" w:hAnsi="Arial"/>
          <w:sz w:val="24"/>
        </w:rPr>
        <w:t xml:space="preserve">les capteurs de déplacement sont mis en place et l’enregistrement est lancé. </w:t>
      </w:r>
    </w:p>
    <w:p w:rsidR="00E6102D" w:rsidRDefault="002F67E6" w:rsidP="00E6102D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seconde phase est la phase de </w:t>
      </w:r>
      <w:r w:rsidR="00CF35FC">
        <w:rPr>
          <w:rFonts w:ascii="Arial" w:hAnsi="Arial"/>
          <w:sz w:val="24"/>
        </w:rPr>
        <w:t xml:space="preserve">chargement </w:t>
      </w:r>
      <w:r>
        <w:rPr>
          <w:rFonts w:ascii="Arial" w:hAnsi="Arial"/>
          <w:sz w:val="24"/>
        </w:rPr>
        <w:t xml:space="preserve">de l’interface. </w:t>
      </w:r>
      <w:r w:rsidR="00CF35FC">
        <w:rPr>
          <w:rFonts w:ascii="Arial" w:hAnsi="Arial"/>
          <w:sz w:val="24"/>
        </w:rPr>
        <w:t>Elle débute par le chargement vertical</w:t>
      </w:r>
      <w:r>
        <w:rPr>
          <w:rFonts w:ascii="Arial" w:hAnsi="Arial"/>
          <w:sz w:val="24"/>
        </w:rPr>
        <w:t xml:space="preserve"> </w:t>
      </w:r>
      <w:r w:rsidR="00886481">
        <w:rPr>
          <w:rFonts w:ascii="Arial" w:hAnsi="Arial"/>
          <w:sz w:val="24"/>
        </w:rPr>
        <w:t>qui est maintenu</w:t>
      </w:r>
      <w:r w:rsidR="00CF35FC">
        <w:rPr>
          <w:rFonts w:ascii="Arial" w:hAnsi="Arial"/>
          <w:sz w:val="24"/>
        </w:rPr>
        <w:t xml:space="preserve"> durant une </w:t>
      </w:r>
      <w:r w:rsidR="00886481">
        <w:rPr>
          <w:rFonts w:ascii="Arial" w:hAnsi="Arial"/>
          <w:sz w:val="24"/>
        </w:rPr>
        <w:t xml:space="preserve">période nécessaire à la </w:t>
      </w:r>
      <w:r w:rsidR="00CF35FC">
        <w:rPr>
          <w:rFonts w:ascii="Arial" w:hAnsi="Arial"/>
          <w:sz w:val="24"/>
        </w:rPr>
        <w:t>consolidation</w:t>
      </w:r>
      <w:r w:rsidR="007C4DCE">
        <w:rPr>
          <w:rFonts w:ascii="Arial" w:hAnsi="Arial"/>
          <w:sz w:val="24"/>
        </w:rPr>
        <w:t xml:space="preserve">. </w:t>
      </w:r>
      <w:r w:rsidR="002E264A">
        <w:rPr>
          <w:rFonts w:ascii="Arial" w:hAnsi="Arial"/>
          <w:sz w:val="24"/>
        </w:rPr>
        <w:t>Éventuellement</w:t>
      </w:r>
      <w:r w:rsidR="00E6102D">
        <w:rPr>
          <w:rFonts w:ascii="Arial" w:hAnsi="Arial"/>
          <w:sz w:val="24"/>
        </w:rPr>
        <w:t>,</w:t>
      </w:r>
      <w:r w:rsidR="007C4DCE">
        <w:rPr>
          <w:rFonts w:ascii="Arial" w:hAnsi="Arial"/>
          <w:sz w:val="24"/>
        </w:rPr>
        <w:t xml:space="preserve"> pour un sol </w:t>
      </w:r>
      <w:proofErr w:type="spellStart"/>
      <w:r w:rsidR="009C7807">
        <w:rPr>
          <w:rFonts w:ascii="Arial" w:hAnsi="Arial"/>
          <w:sz w:val="24"/>
        </w:rPr>
        <w:t>surconsolidé</w:t>
      </w:r>
      <w:proofErr w:type="spellEnd"/>
      <w:r w:rsidR="007C4DCE">
        <w:rPr>
          <w:rFonts w:ascii="Arial" w:hAnsi="Arial"/>
          <w:sz w:val="24"/>
        </w:rPr>
        <w:t xml:space="preserve">, la charge de </w:t>
      </w:r>
      <w:proofErr w:type="spellStart"/>
      <w:r w:rsidR="009C7807">
        <w:rPr>
          <w:rFonts w:ascii="Arial" w:hAnsi="Arial"/>
          <w:sz w:val="24"/>
        </w:rPr>
        <w:t>surconsolidation</w:t>
      </w:r>
      <w:proofErr w:type="spellEnd"/>
      <w:r w:rsidR="007C4DCE">
        <w:rPr>
          <w:rFonts w:ascii="Arial" w:hAnsi="Arial"/>
          <w:sz w:val="24"/>
        </w:rPr>
        <w:t xml:space="preserve"> est d’abord appliquée jusqu’à </w:t>
      </w:r>
      <w:r w:rsidR="002E264A">
        <w:rPr>
          <w:rFonts w:ascii="Arial" w:hAnsi="Arial"/>
          <w:sz w:val="24"/>
        </w:rPr>
        <w:t>la s</w:t>
      </w:r>
      <w:r w:rsidR="007C4DCE">
        <w:rPr>
          <w:rFonts w:ascii="Arial" w:hAnsi="Arial"/>
          <w:sz w:val="24"/>
        </w:rPr>
        <w:t xml:space="preserve">tabilisation, puis l’interface modèle est </w:t>
      </w:r>
      <w:r w:rsidR="002E264A">
        <w:rPr>
          <w:rFonts w:ascii="Arial" w:hAnsi="Arial"/>
          <w:sz w:val="24"/>
        </w:rPr>
        <w:t>déchargée</w:t>
      </w:r>
      <w:r w:rsidR="007C4DCE">
        <w:rPr>
          <w:rFonts w:ascii="Arial" w:hAnsi="Arial"/>
          <w:sz w:val="24"/>
        </w:rPr>
        <w:t xml:space="preserve"> jusqu’à la </w:t>
      </w:r>
      <w:r w:rsidR="00CF35FC">
        <w:rPr>
          <w:rFonts w:ascii="Arial" w:hAnsi="Arial"/>
          <w:sz w:val="24"/>
        </w:rPr>
        <w:t>charge</w:t>
      </w:r>
      <w:r w:rsidR="007C4DCE">
        <w:rPr>
          <w:rFonts w:ascii="Arial" w:hAnsi="Arial"/>
          <w:sz w:val="24"/>
        </w:rPr>
        <w:t xml:space="preserve"> </w:t>
      </w:r>
      <w:r w:rsidR="007C4DCE">
        <w:rPr>
          <w:rFonts w:ascii="Arial" w:hAnsi="Arial"/>
          <w:sz w:val="24"/>
        </w:rPr>
        <w:lastRenderedPageBreak/>
        <w:t xml:space="preserve">définitive. La </w:t>
      </w:r>
      <w:r w:rsidR="00CF35FC">
        <w:rPr>
          <w:rFonts w:ascii="Arial" w:hAnsi="Arial"/>
          <w:sz w:val="24"/>
        </w:rPr>
        <w:t>charge</w:t>
      </w:r>
      <w:r w:rsidR="007C4DCE">
        <w:rPr>
          <w:rFonts w:ascii="Arial" w:hAnsi="Arial"/>
          <w:sz w:val="24"/>
        </w:rPr>
        <w:t xml:space="preserve"> horizontale est ensuite mise en place progressivement, afin d’</w:t>
      </w:r>
      <w:r w:rsidR="002E264A">
        <w:rPr>
          <w:rFonts w:ascii="Arial" w:hAnsi="Arial"/>
          <w:sz w:val="24"/>
        </w:rPr>
        <w:t>observer</w:t>
      </w:r>
      <w:r w:rsidR="007C4DCE">
        <w:rPr>
          <w:rFonts w:ascii="Arial" w:hAnsi="Arial"/>
          <w:sz w:val="24"/>
        </w:rPr>
        <w:t xml:space="preserve"> le comportement de l’</w:t>
      </w:r>
      <w:r w:rsidR="00E6102D">
        <w:rPr>
          <w:rFonts w:ascii="Arial" w:hAnsi="Arial"/>
          <w:sz w:val="24"/>
        </w:rPr>
        <w:t>interface lors du</w:t>
      </w:r>
      <w:r w:rsidR="007C4DCE">
        <w:rPr>
          <w:rFonts w:ascii="Arial" w:hAnsi="Arial"/>
          <w:sz w:val="24"/>
        </w:rPr>
        <w:t xml:space="preserve"> chargement et prévenir les </w:t>
      </w:r>
      <w:r w:rsidR="00D34EE2">
        <w:rPr>
          <w:rFonts w:ascii="Arial" w:hAnsi="Arial"/>
          <w:sz w:val="24"/>
        </w:rPr>
        <w:t>ruptures</w:t>
      </w:r>
      <w:r w:rsidR="00CF35FC">
        <w:rPr>
          <w:rFonts w:ascii="Arial" w:hAnsi="Arial"/>
          <w:sz w:val="24"/>
        </w:rPr>
        <w:t xml:space="preserve"> de l’interface</w:t>
      </w:r>
      <w:r w:rsidR="007C4DCE">
        <w:rPr>
          <w:rFonts w:ascii="Arial" w:hAnsi="Arial"/>
          <w:sz w:val="24"/>
        </w:rPr>
        <w:t>.</w:t>
      </w:r>
      <w:r w:rsidR="00E6102D">
        <w:rPr>
          <w:rFonts w:ascii="Arial" w:hAnsi="Arial"/>
          <w:sz w:val="24"/>
        </w:rPr>
        <w:t xml:space="preserve"> Une fois la </w:t>
      </w:r>
      <w:r w:rsidR="00CF35FC">
        <w:rPr>
          <w:rFonts w:ascii="Arial" w:hAnsi="Arial"/>
          <w:sz w:val="24"/>
        </w:rPr>
        <w:t>charge</w:t>
      </w:r>
      <w:r w:rsidR="00E6102D">
        <w:rPr>
          <w:rFonts w:ascii="Arial" w:hAnsi="Arial"/>
          <w:sz w:val="24"/>
        </w:rPr>
        <w:t xml:space="preserve"> horizontale atteinte, l’état de </w:t>
      </w:r>
      <w:r w:rsidR="00CF35FC">
        <w:rPr>
          <w:rFonts w:ascii="Arial" w:hAnsi="Arial"/>
          <w:sz w:val="24"/>
        </w:rPr>
        <w:t>chargement</w:t>
      </w:r>
      <w:r w:rsidR="00E6102D">
        <w:rPr>
          <w:rFonts w:ascii="Arial" w:hAnsi="Arial"/>
          <w:sz w:val="24"/>
        </w:rPr>
        <w:t xml:space="preserve"> </w:t>
      </w:r>
      <w:r w:rsidR="009C7807">
        <w:rPr>
          <w:rFonts w:ascii="Arial" w:hAnsi="Arial"/>
          <w:sz w:val="24"/>
        </w:rPr>
        <w:t>final</w:t>
      </w:r>
      <w:r w:rsidR="00E6102D">
        <w:rPr>
          <w:rFonts w:ascii="Arial" w:hAnsi="Arial"/>
          <w:sz w:val="24"/>
        </w:rPr>
        <w:t xml:space="preserve"> est </w:t>
      </w:r>
      <w:r w:rsidR="009C7807">
        <w:rPr>
          <w:rFonts w:ascii="Arial" w:hAnsi="Arial"/>
          <w:sz w:val="24"/>
        </w:rPr>
        <w:t>maintenu</w:t>
      </w:r>
      <w:r w:rsidR="00E6102D">
        <w:rPr>
          <w:rFonts w:ascii="Arial" w:hAnsi="Arial"/>
          <w:sz w:val="24"/>
        </w:rPr>
        <w:t xml:space="preserve"> jusqu’à </w:t>
      </w:r>
      <w:r w:rsidR="009C7807">
        <w:rPr>
          <w:rFonts w:ascii="Arial" w:hAnsi="Arial"/>
          <w:sz w:val="24"/>
        </w:rPr>
        <w:t>la s</w:t>
      </w:r>
      <w:r w:rsidR="00E6102D">
        <w:rPr>
          <w:rFonts w:ascii="Arial" w:hAnsi="Arial"/>
          <w:sz w:val="24"/>
        </w:rPr>
        <w:t>tabilisation totale des déplacements.</w:t>
      </w:r>
    </w:p>
    <w:p w:rsidR="00E6102D" w:rsidRDefault="00E6102D" w:rsidP="00E6102D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dernière phase de l’essai correspond à la sollicitation </w:t>
      </w:r>
      <w:r w:rsidR="00D87A27">
        <w:rPr>
          <w:rFonts w:ascii="Arial" w:hAnsi="Arial"/>
          <w:sz w:val="24"/>
        </w:rPr>
        <w:t xml:space="preserve">thermique de l’interface. Elle est réalisée par </w:t>
      </w:r>
      <w:r w:rsidR="009C7807">
        <w:rPr>
          <w:rFonts w:ascii="Arial" w:hAnsi="Arial"/>
          <w:sz w:val="24"/>
        </w:rPr>
        <w:t>des c</w:t>
      </w:r>
      <w:r w:rsidR="00D87A27">
        <w:rPr>
          <w:rFonts w:ascii="Arial" w:hAnsi="Arial"/>
          <w:sz w:val="24"/>
        </w:rPr>
        <w:t>ycle</w:t>
      </w:r>
      <w:r w:rsidR="009C7807">
        <w:rPr>
          <w:rFonts w:ascii="Arial" w:hAnsi="Arial"/>
          <w:sz w:val="24"/>
        </w:rPr>
        <w:t>s successifs</w:t>
      </w:r>
      <w:r w:rsidR="00D87A27">
        <w:rPr>
          <w:rFonts w:ascii="Arial" w:hAnsi="Arial"/>
          <w:sz w:val="24"/>
        </w:rPr>
        <w:t xml:space="preserve"> de chauffage et de refroidissement. </w:t>
      </w:r>
      <w:r w:rsidR="009C7807">
        <w:rPr>
          <w:rFonts w:ascii="Arial" w:hAnsi="Arial"/>
          <w:sz w:val="24"/>
        </w:rPr>
        <w:t>Une</w:t>
      </w:r>
      <w:r w:rsidR="00D87A27">
        <w:rPr>
          <w:rFonts w:ascii="Arial" w:hAnsi="Arial"/>
          <w:sz w:val="24"/>
        </w:rPr>
        <w:t xml:space="preserve"> phase de chauffage dure </w:t>
      </w:r>
      <w:r w:rsidR="006D5401">
        <w:rPr>
          <w:rFonts w:ascii="Arial" w:hAnsi="Arial"/>
          <w:sz w:val="24"/>
        </w:rPr>
        <w:t>3 </w:t>
      </w:r>
      <w:r w:rsidR="00D87A27">
        <w:rPr>
          <w:rFonts w:ascii="Arial" w:hAnsi="Arial"/>
          <w:sz w:val="24"/>
        </w:rPr>
        <w:t xml:space="preserve">h </w:t>
      </w:r>
      <w:r w:rsidR="00D87A27" w:rsidRPr="00F8197C">
        <w:rPr>
          <w:rFonts w:ascii="Arial" w:hAnsi="Arial"/>
          <w:sz w:val="24"/>
        </w:rPr>
        <w:t xml:space="preserve">et </w:t>
      </w:r>
      <w:r w:rsidR="009C7807">
        <w:rPr>
          <w:rFonts w:ascii="Arial" w:hAnsi="Arial"/>
          <w:sz w:val="24"/>
        </w:rPr>
        <w:t>une</w:t>
      </w:r>
      <w:r w:rsidR="00D87A27" w:rsidRPr="00F8197C">
        <w:rPr>
          <w:rFonts w:ascii="Arial" w:hAnsi="Arial"/>
          <w:sz w:val="24"/>
        </w:rPr>
        <w:t xml:space="preserve"> phase de </w:t>
      </w:r>
      <w:r w:rsidR="00F8197C" w:rsidRPr="00F8197C">
        <w:rPr>
          <w:rFonts w:ascii="Arial" w:hAnsi="Arial"/>
          <w:sz w:val="24"/>
        </w:rPr>
        <w:t>refroidissement</w:t>
      </w:r>
      <w:r w:rsidR="00D87A27" w:rsidRPr="00F8197C">
        <w:rPr>
          <w:rFonts w:ascii="Arial" w:hAnsi="Arial"/>
          <w:sz w:val="24"/>
        </w:rPr>
        <w:t xml:space="preserve"> </w:t>
      </w:r>
      <w:r w:rsidR="006D5401" w:rsidRPr="00F8197C">
        <w:rPr>
          <w:rFonts w:ascii="Arial" w:hAnsi="Arial"/>
          <w:sz w:val="24"/>
        </w:rPr>
        <w:t xml:space="preserve">4 h 30. </w:t>
      </w:r>
      <w:r w:rsidR="00F618FB" w:rsidRPr="00F8197C">
        <w:rPr>
          <w:rFonts w:ascii="Arial" w:hAnsi="Arial"/>
          <w:sz w:val="24"/>
        </w:rPr>
        <w:t xml:space="preserve">La puissance du module à effet Peltier est </w:t>
      </w:r>
      <w:r w:rsidR="009C7807">
        <w:rPr>
          <w:rFonts w:ascii="Arial" w:hAnsi="Arial"/>
          <w:sz w:val="24"/>
        </w:rPr>
        <w:t>limitée</w:t>
      </w:r>
      <w:r w:rsidR="00F618FB" w:rsidRPr="00F8197C">
        <w:rPr>
          <w:rFonts w:ascii="Arial" w:hAnsi="Arial"/>
          <w:sz w:val="24"/>
        </w:rPr>
        <w:t xml:space="preserve"> par l’alimentation </w:t>
      </w:r>
      <w:r w:rsidR="00F8197C" w:rsidRPr="00F8197C">
        <w:rPr>
          <w:rFonts w:ascii="Arial" w:hAnsi="Arial"/>
          <w:sz w:val="24"/>
        </w:rPr>
        <w:t xml:space="preserve">électrique </w:t>
      </w:r>
      <w:r w:rsidR="00F618FB" w:rsidRPr="00F8197C">
        <w:rPr>
          <w:rFonts w:ascii="Arial" w:hAnsi="Arial"/>
          <w:sz w:val="24"/>
        </w:rPr>
        <w:t xml:space="preserve">utilisée qui ne permet pas de délivrer plus de 5 A. </w:t>
      </w:r>
      <w:r w:rsidR="00D87A27" w:rsidRPr="00F8197C">
        <w:rPr>
          <w:rFonts w:ascii="Arial" w:hAnsi="Arial"/>
          <w:sz w:val="24"/>
        </w:rPr>
        <w:t xml:space="preserve">Les températures atteintes </w:t>
      </w:r>
      <w:r w:rsidR="00F8197C" w:rsidRPr="00F8197C">
        <w:rPr>
          <w:rFonts w:ascii="Arial" w:hAnsi="Arial"/>
          <w:sz w:val="24"/>
        </w:rPr>
        <w:t xml:space="preserve">dans l’eau du circulateur </w:t>
      </w:r>
      <w:r w:rsidR="00F618FB" w:rsidRPr="00F8197C">
        <w:rPr>
          <w:rFonts w:ascii="Arial" w:hAnsi="Arial"/>
          <w:sz w:val="24"/>
        </w:rPr>
        <w:t xml:space="preserve">sont </w:t>
      </w:r>
      <w:r w:rsidR="00D87A27" w:rsidRPr="00F8197C">
        <w:rPr>
          <w:rFonts w:ascii="Arial" w:hAnsi="Arial"/>
          <w:sz w:val="24"/>
        </w:rPr>
        <w:t xml:space="preserve">au plus froid de </w:t>
      </w:r>
      <w:r w:rsidR="00F8197C" w:rsidRPr="00F8197C">
        <w:rPr>
          <w:rFonts w:ascii="Arial" w:hAnsi="Arial"/>
          <w:sz w:val="24"/>
        </w:rPr>
        <w:t>2</w:t>
      </w:r>
      <w:r w:rsidR="00D87A27" w:rsidRPr="00F8197C">
        <w:rPr>
          <w:rFonts w:ascii="Arial" w:hAnsi="Arial"/>
          <w:sz w:val="24"/>
        </w:rPr>
        <w:t xml:space="preserve">°C et au plus chaud de </w:t>
      </w:r>
      <w:r w:rsidR="00F8197C" w:rsidRPr="00F8197C">
        <w:rPr>
          <w:rFonts w:ascii="Arial" w:hAnsi="Arial"/>
          <w:sz w:val="24"/>
        </w:rPr>
        <w:t>62</w:t>
      </w:r>
      <w:r w:rsidR="00D87A27" w:rsidRPr="00F8197C">
        <w:rPr>
          <w:rFonts w:ascii="Arial" w:hAnsi="Arial"/>
          <w:sz w:val="24"/>
        </w:rPr>
        <w:t xml:space="preserve">°C. </w:t>
      </w:r>
      <w:r w:rsidR="00F8197C">
        <w:rPr>
          <w:rFonts w:ascii="Arial" w:hAnsi="Arial"/>
          <w:sz w:val="24"/>
        </w:rPr>
        <w:t>Pour les PT100 présentes dans le sol, les températures extrêmes mesurées sont de 1</w:t>
      </w:r>
      <w:r w:rsidR="005C5B0D">
        <w:rPr>
          <w:rFonts w:ascii="Arial" w:hAnsi="Arial"/>
          <w:sz w:val="24"/>
        </w:rPr>
        <w:t>4</w:t>
      </w:r>
      <w:r w:rsidR="00F8197C">
        <w:rPr>
          <w:rFonts w:ascii="Arial" w:hAnsi="Arial"/>
          <w:sz w:val="24"/>
        </w:rPr>
        <w:t xml:space="preserve">°C et 37°C. </w:t>
      </w:r>
      <w:r w:rsidR="00F618FB">
        <w:rPr>
          <w:rFonts w:ascii="Arial" w:hAnsi="Arial"/>
          <w:sz w:val="24"/>
        </w:rPr>
        <w:t>Ce</w:t>
      </w:r>
      <w:r w:rsidR="009C7807">
        <w:rPr>
          <w:rFonts w:ascii="Arial" w:hAnsi="Arial"/>
          <w:sz w:val="24"/>
        </w:rPr>
        <w:t>s températures</w:t>
      </w:r>
      <w:r w:rsidR="00F618FB">
        <w:rPr>
          <w:rFonts w:ascii="Arial" w:hAnsi="Arial"/>
          <w:sz w:val="24"/>
        </w:rPr>
        <w:t xml:space="preserve"> ne </w:t>
      </w:r>
      <w:r w:rsidR="009C7807">
        <w:rPr>
          <w:rFonts w:ascii="Arial" w:hAnsi="Arial"/>
          <w:sz w:val="24"/>
        </w:rPr>
        <w:t>varient</w:t>
      </w:r>
      <w:r w:rsidR="00F618FB">
        <w:rPr>
          <w:rFonts w:ascii="Arial" w:hAnsi="Arial"/>
          <w:sz w:val="24"/>
        </w:rPr>
        <w:t xml:space="preserve"> </w:t>
      </w:r>
      <w:r w:rsidR="009C7807">
        <w:rPr>
          <w:rFonts w:ascii="Arial" w:hAnsi="Arial"/>
          <w:sz w:val="24"/>
        </w:rPr>
        <w:t>quasiment</w:t>
      </w:r>
      <w:r w:rsidR="00F618FB">
        <w:rPr>
          <w:rFonts w:ascii="Arial" w:hAnsi="Arial"/>
          <w:sz w:val="24"/>
        </w:rPr>
        <w:t xml:space="preserve"> pas selon le type </w:t>
      </w:r>
      <w:r w:rsidR="00A96626">
        <w:rPr>
          <w:rFonts w:ascii="Arial" w:hAnsi="Arial"/>
          <w:sz w:val="24"/>
        </w:rPr>
        <w:t xml:space="preserve">de </w:t>
      </w:r>
      <w:r w:rsidR="00F618FB">
        <w:rPr>
          <w:rFonts w:ascii="Arial" w:hAnsi="Arial"/>
          <w:sz w:val="24"/>
        </w:rPr>
        <w:t xml:space="preserve">sol et les cycles de sollicitation thermique sont donc tous </w:t>
      </w:r>
      <w:r w:rsidR="009C7807">
        <w:rPr>
          <w:rFonts w:ascii="Arial" w:hAnsi="Arial"/>
          <w:sz w:val="24"/>
        </w:rPr>
        <w:t>identiques</w:t>
      </w:r>
      <w:r w:rsidR="00F618FB">
        <w:rPr>
          <w:rFonts w:ascii="Arial" w:hAnsi="Arial"/>
          <w:sz w:val="24"/>
        </w:rPr>
        <w:t xml:space="preserve">. </w:t>
      </w:r>
      <w:r w:rsidR="009C7807">
        <w:rPr>
          <w:rFonts w:ascii="Arial" w:hAnsi="Arial"/>
          <w:sz w:val="24"/>
        </w:rPr>
        <w:t>Deux</w:t>
      </w:r>
      <w:r w:rsidR="00F618FB">
        <w:rPr>
          <w:rFonts w:ascii="Arial" w:hAnsi="Arial"/>
          <w:sz w:val="24"/>
        </w:rPr>
        <w:t xml:space="preserve"> </w:t>
      </w:r>
      <w:r w:rsidR="009C7807">
        <w:rPr>
          <w:rFonts w:ascii="Arial" w:hAnsi="Arial"/>
          <w:sz w:val="24"/>
        </w:rPr>
        <w:t>cycles</w:t>
      </w:r>
      <w:r w:rsidR="00F618FB">
        <w:rPr>
          <w:rFonts w:ascii="Arial" w:hAnsi="Arial"/>
          <w:sz w:val="24"/>
        </w:rPr>
        <w:t xml:space="preserve"> de sollicitation </w:t>
      </w:r>
      <w:r w:rsidR="009C7807">
        <w:rPr>
          <w:rFonts w:ascii="Arial" w:hAnsi="Arial"/>
          <w:sz w:val="24"/>
        </w:rPr>
        <w:t>sont</w:t>
      </w:r>
      <w:r w:rsidR="00F618FB">
        <w:rPr>
          <w:rFonts w:ascii="Arial" w:hAnsi="Arial"/>
          <w:sz w:val="24"/>
        </w:rPr>
        <w:t xml:space="preserve"> </w:t>
      </w:r>
      <w:r w:rsidR="009C7807">
        <w:rPr>
          <w:rFonts w:ascii="Arial" w:hAnsi="Arial"/>
          <w:sz w:val="24"/>
        </w:rPr>
        <w:t>présentés</w:t>
      </w:r>
      <w:r w:rsidR="00F618FB">
        <w:rPr>
          <w:rFonts w:ascii="Arial" w:hAnsi="Arial"/>
          <w:sz w:val="24"/>
        </w:rPr>
        <w:t xml:space="preserve"> sur la </w:t>
      </w:r>
      <w:r w:rsidR="00A96626">
        <w:rPr>
          <w:rFonts w:ascii="Arial" w:hAnsi="Arial"/>
          <w:sz w:val="24"/>
        </w:rPr>
        <w:t>F</w:t>
      </w:r>
      <w:r w:rsidR="00A96626" w:rsidRPr="005C5B0D">
        <w:rPr>
          <w:rFonts w:ascii="Arial" w:hAnsi="Arial"/>
          <w:sz w:val="24"/>
        </w:rPr>
        <w:t xml:space="preserve">igure </w:t>
      </w:r>
      <w:r w:rsidR="005C5B0D" w:rsidRPr="005C5B0D">
        <w:rPr>
          <w:rFonts w:ascii="Arial" w:hAnsi="Arial"/>
          <w:sz w:val="24"/>
        </w:rPr>
        <w:t>3</w:t>
      </w:r>
      <w:r w:rsidR="00F618FB" w:rsidRPr="005C5B0D">
        <w:rPr>
          <w:rFonts w:ascii="Arial" w:hAnsi="Arial"/>
          <w:sz w:val="24"/>
        </w:rPr>
        <w:t>.</w:t>
      </w:r>
      <w:r w:rsidR="00D01E6B" w:rsidRPr="005C5B0D">
        <w:rPr>
          <w:rFonts w:ascii="Arial" w:hAnsi="Arial"/>
          <w:sz w:val="24"/>
        </w:rPr>
        <w:t xml:space="preserve"> </w:t>
      </w:r>
      <w:r w:rsidR="00D34EE2">
        <w:rPr>
          <w:rFonts w:ascii="Arial" w:hAnsi="Arial"/>
          <w:sz w:val="24"/>
        </w:rPr>
        <w:t>À</w:t>
      </w:r>
      <w:r w:rsidR="007A13C9">
        <w:rPr>
          <w:rFonts w:ascii="Arial" w:hAnsi="Arial"/>
          <w:sz w:val="24"/>
        </w:rPr>
        <w:t xml:space="preserve"> basse température</w:t>
      </w:r>
      <w:r w:rsidR="00D34EE2">
        <w:rPr>
          <w:rFonts w:ascii="Arial" w:hAnsi="Arial"/>
          <w:sz w:val="24"/>
        </w:rPr>
        <w:t xml:space="preserve">, </w:t>
      </w:r>
      <w:r w:rsidR="007A13C9">
        <w:rPr>
          <w:rFonts w:ascii="Arial" w:hAnsi="Arial"/>
          <w:sz w:val="24"/>
        </w:rPr>
        <w:t xml:space="preserve">le cycle de chauffage et interrompu </w:t>
      </w:r>
      <w:r w:rsidR="00D01E6B">
        <w:rPr>
          <w:rFonts w:ascii="Arial" w:hAnsi="Arial"/>
          <w:sz w:val="24"/>
        </w:rPr>
        <w:t>volontairement pour éviter la congélation du fluide</w:t>
      </w:r>
      <w:r w:rsidR="007D420C">
        <w:rPr>
          <w:rFonts w:ascii="Arial" w:hAnsi="Arial"/>
          <w:sz w:val="24"/>
        </w:rPr>
        <w:t xml:space="preserve"> sous 0°C</w:t>
      </w:r>
      <w:r w:rsidR="00D01E6B">
        <w:rPr>
          <w:rFonts w:ascii="Arial" w:hAnsi="Arial"/>
          <w:sz w:val="24"/>
        </w:rPr>
        <w:t>.</w:t>
      </w:r>
    </w:p>
    <w:p w:rsidR="00D02240" w:rsidRDefault="0068744F" w:rsidP="00D02240">
      <w:pPr>
        <w:ind w:firstLine="28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72788C09">
            <wp:extent cx="5040000" cy="3025600"/>
            <wp:effectExtent l="0" t="0" r="8255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240" w:rsidRDefault="00D02240" w:rsidP="00D02240"/>
    <w:p w:rsidR="00D02240" w:rsidRDefault="00D02240" w:rsidP="00D02240">
      <w:pPr>
        <w:ind w:firstLine="28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Figure 3 : Cycle</w:t>
      </w:r>
      <w:r w:rsidR="0050435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de température dans le fluide, la fondation et le sol</w:t>
      </w:r>
    </w:p>
    <w:p w:rsidR="00D02240" w:rsidRPr="00D01E6B" w:rsidRDefault="00D02240" w:rsidP="00D02240"/>
    <w:p w:rsidR="00CF0F08" w:rsidRDefault="00F618FB" w:rsidP="00D01E6B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premiers essais ont été </w:t>
      </w:r>
      <w:r w:rsidR="003F4E03">
        <w:rPr>
          <w:rFonts w:ascii="Arial" w:hAnsi="Arial"/>
          <w:sz w:val="24"/>
        </w:rPr>
        <w:t>réalisés</w:t>
      </w:r>
      <w:r>
        <w:rPr>
          <w:rFonts w:ascii="Arial" w:hAnsi="Arial"/>
          <w:sz w:val="24"/>
        </w:rPr>
        <w:t xml:space="preserve"> sur un sable de </w:t>
      </w:r>
      <w:r w:rsidR="00A96626">
        <w:rPr>
          <w:rFonts w:ascii="Arial" w:hAnsi="Arial"/>
          <w:sz w:val="24"/>
        </w:rPr>
        <w:t xml:space="preserve">Fontainebleau </w:t>
      </w:r>
      <w:r>
        <w:rPr>
          <w:rFonts w:ascii="Arial" w:hAnsi="Arial"/>
          <w:sz w:val="24"/>
        </w:rPr>
        <w:t>et sur une argile verte du bassin parisien.</w:t>
      </w:r>
      <w:r w:rsidR="003F4E03">
        <w:rPr>
          <w:rFonts w:ascii="Arial" w:hAnsi="Arial"/>
          <w:sz w:val="24"/>
        </w:rPr>
        <w:t xml:space="preserve"> Quatre essais en particulier sont présentés </w:t>
      </w:r>
      <w:r w:rsidR="00FC7161">
        <w:rPr>
          <w:rFonts w:ascii="Arial" w:hAnsi="Arial"/>
          <w:sz w:val="24"/>
        </w:rPr>
        <w:t xml:space="preserve">par </w:t>
      </w:r>
      <w:r w:rsidR="003F4E03">
        <w:rPr>
          <w:rFonts w:ascii="Arial" w:hAnsi="Arial"/>
          <w:sz w:val="24"/>
        </w:rPr>
        <w:t>la suite</w:t>
      </w:r>
      <w:r w:rsidR="00FC7161">
        <w:rPr>
          <w:rFonts w:ascii="Arial" w:hAnsi="Arial"/>
          <w:sz w:val="24"/>
        </w:rPr>
        <w:t xml:space="preserve"> : deux </w:t>
      </w:r>
      <w:r w:rsidR="009C7807">
        <w:rPr>
          <w:rFonts w:ascii="Arial" w:hAnsi="Arial"/>
          <w:sz w:val="24"/>
        </w:rPr>
        <w:t>essais</w:t>
      </w:r>
      <w:r w:rsidR="00CF0F08">
        <w:rPr>
          <w:rFonts w:ascii="Arial" w:hAnsi="Arial"/>
          <w:sz w:val="24"/>
        </w:rPr>
        <w:t xml:space="preserve"> </w:t>
      </w:r>
      <w:r w:rsidR="00C408CD">
        <w:rPr>
          <w:rFonts w:ascii="Arial" w:hAnsi="Arial"/>
          <w:sz w:val="24"/>
        </w:rPr>
        <w:t xml:space="preserve">sur du sable, un sable </w:t>
      </w:r>
      <w:r w:rsidR="00DF46F6">
        <w:rPr>
          <w:rFonts w:ascii="Arial" w:hAnsi="Arial"/>
          <w:sz w:val="24"/>
        </w:rPr>
        <w:t xml:space="preserve">lâche </w:t>
      </w:r>
      <w:r w:rsidR="00C408CD">
        <w:rPr>
          <w:rFonts w:ascii="Arial" w:hAnsi="Arial"/>
          <w:sz w:val="24"/>
        </w:rPr>
        <w:t xml:space="preserve">et </w:t>
      </w:r>
      <w:r w:rsidR="009C7807">
        <w:rPr>
          <w:rFonts w:ascii="Arial" w:hAnsi="Arial"/>
          <w:sz w:val="24"/>
        </w:rPr>
        <w:t>un</w:t>
      </w:r>
      <w:r w:rsidR="00C408CD">
        <w:rPr>
          <w:rFonts w:ascii="Arial" w:hAnsi="Arial"/>
          <w:sz w:val="24"/>
        </w:rPr>
        <w:t xml:space="preserve"> sable</w:t>
      </w:r>
      <w:r w:rsidR="00DF46F6" w:rsidRPr="00DF46F6">
        <w:rPr>
          <w:rFonts w:ascii="Arial" w:hAnsi="Arial"/>
          <w:sz w:val="24"/>
        </w:rPr>
        <w:t xml:space="preserve"> </w:t>
      </w:r>
      <w:r w:rsidR="00DF46F6">
        <w:rPr>
          <w:rFonts w:ascii="Arial" w:hAnsi="Arial"/>
          <w:sz w:val="24"/>
        </w:rPr>
        <w:t>dense</w:t>
      </w:r>
      <w:r w:rsidR="00C408CD">
        <w:rPr>
          <w:rFonts w:ascii="Arial" w:hAnsi="Arial"/>
          <w:sz w:val="24"/>
        </w:rPr>
        <w:t xml:space="preserve">, et deux essais sur de l’argile, une argile </w:t>
      </w:r>
      <w:proofErr w:type="spellStart"/>
      <w:r w:rsidR="009C7807">
        <w:rPr>
          <w:rFonts w:ascii="Arial" w:hAnsi="Arial"/>
          <w:sz w:val="24"/>
        </w:rPr>
        <w:t>surconsolidée</w:t>
      </w:r>
      <w:proofErr w:type="spellEnd"/>
      <w:r w:rsidR="00C408CD">
        <w:rPr>
          <w:rFonts w:ascii="Arial" w:hAnsi="Arial"/>
          <w:sz w:val="24"/>
        </w:rPr>
        <w:t xml:space="preserve"> et une argile </w:t>
      </w:r>
      <w:r w:rsidR="00CF0F08">
        <w:rPr>
          <w:rFonts w:ascii="Arial" w:hAnsi="Arial"/>
          <w:sz w:val="24"/>
        </w:rPr>
        <w:t>normalement</w:t>
      </w:r>
      <w:r w:rsidR="00C408CD">
        <w:rPr>
          <w:rFonts w:ascii="Arial" w:hAnsi="Arial"/>
          <w:sz w:val="24"/>
        </w:rPr>
        <w:t xml:space="preserve"> </w:t>
      </w:r>
      <w:r w:rsidR="009C7807">
        <w:rPr>
          <w:rFonts w:ascii="Arial" w:hAnsi="Arial"/>
          <w:sz w:val="24"/>
        </w:rPr>
        <w:t>consolidée</w:t>
      </w:r>
      <w:r w:rsidR="00857F61">
        <w:rPr>
          <w:rFonts w:ascii="Arial" w:hAnsi="Arial"/>
          <w:sz w:val="24"/>
        </w:rPr>
        <w:t xml:space="preserve"> (notés 1 à 4 dans la suite</w:t>
      </w:r>
      <w:r w:rsidR="009C7807">
        <w:rPr>
          <w:rFonts w:ascii="Arial" w:hAnsi="Arial"/>
          <w:sz w:val="24"/>
        </w:rPr>
        <w:t xml:space="preserve">, </w:t>
      </w:r>
      <w:r w:rsidR="00857F61">
        <w:rPr>
          <w:rFonts w:ascii="Arial" w:hAnsi="Arial"/>
          <w:sz w:val="24"/>
        </w:rPr>
        <w:t xml:space="preserve">conformément à l’ordre du </w:t>
      </w:r>
      <w:r w:rsidR="00FC7161">
        <w:rPr>
          <w:rFonts w:ascii="Arial" w:hAnsi="Arial"/>
          <w:sz w:val="24"/>
        </w:rPr>
        <w:t xml:space="preserve">Tableau </w:t>
      </w:r>
      <w:r w:rsidR="00857F61">
        <w:rPr>
          <w:rFonts w:ascii="Arial" w:hAnsi="Arial"/>
          <w:sz w:val="24"/>
        </w:rPr>
        <w:t>1)</w:t>
      </w:r>
      <w:r w:rsidR="00C408CD">
        <w:rPr>
          <w:rFonts w:ascii="Arial" w:hAnsi="Arial"/>
          <w:sz w:val="24"/>
        </w:rPr>
        <w:t xml:space="preserve">. </w:t>
      </w:r>
      <w:r w:rsidR="007C0E16">
        <w:rPr>
          <w:rFonts w:ascii="Arial" w:hAnsi="Arial"/>
          <w:sz w:val="24"/>
        </w:rPr>
        <w:t>L</w:t>
      </w:r>
      <w:r w:rsidR="00C408CD">
        <w:rPr>
          <w:rFonts w:ascii="Arial" w:hAnsi="Arial"/>
          <w:sz w:val="24"/>
        </w:rPr>
        <w:t>a</w:t>
      </w:r>
      <w:r w:rsidR="007C0E16">
        <w:rPr>
          <w:rFonts w:ascii="Arial" w:hAnsi="Arial"/>
          <w:sz w:val="24"/>
        </w:rPr>
        <w:t xml:space="preserve"> </w:t>
      </w:r>
      <w:r w:rsidR="00CF35FC">
        <w:rPr>
          <w:rFonts w:ascii="Arial" w:hAnsi="Arial"/>
          <w:sz w:val="24"/>
        </w:rPr>
        <w:t>charge</w:t>
      </w:r>
      <w:r w:rsidR="007C0E16">
        <w:rPr>
          <w:rFonts w:ascii="Arial" w:hAnsi="Arial"/>
          <w:sz w:val="24"/>
        </w:rPr>
        <w:t xml:space="preserve"> verticale est fixée pour tous les essais et la</w:t>
      </w:r>
      <w:r w:rsidR="00C408CD">
        <w:rPr>
          <w:rFonts w:ascii="Arial" w:hAnsi="Arial"/>
          <w:sz w:val="24"/>
        </w:rPr>
        <w:t xml:space="preserve"> </w:t>
      </w:r>
      <w:r w:rsidR="00CF35FC">
        <w:rPr>
          <w:rFonts w:ascii="Arial" w:hAnsi="Arial"/>
          <w:sz w:val="24"/>
        </w:rPr>
        <w:t>charge</w:t>
      </w:r>
      <w:r w:rsidR="00C408CD">
        <w:rPr>
          <w:rFonts w:ascii="Arial" w:hAnsi="Arial"/>
          <w:sz w:val="24"/>
        </w:rPr>
        <w:t xml:space="preserve"> horizon</w:t>
      </w:r>
      <w:r w:rsidR="00CF35FC">
        <w:rPr>
          <w:rFonts w:ascii="Arial" w:hAnsi="Arial"/>
          <w:sz w:val="24"/>
        </w:rPr>
        <w:t xml:space="preserve">tale dépend du type de sol. Les contraintes moyennes équivalentes </w:t>
      </w:r>
      <w:r w:rsidR="00C408CD">
        <w:rPr>
          <w:rFonts w:ascii="Arial" w:hAnsi="Arial"/>
          <w:sz w:val="24"/>
        </w:rPr>
        <w:t xml:space="preserve">sont </w:t>
      </w:r>
      <w:r w:rsidR="009C7807">
        <w:rPr>
          <w:rFonts w:ascii="Arial" w:hAnsi="Arial"/>
          <w:sz w:val="24"/>
        </w:rPr>
        <w:t>reportées</w:t>
      </w:r>
      <w:r w:rsidR="00C408CD">
        <w:rPr>
          <w:rFonts w:ascii="Arial" w:hAnsi="Arial"/>
          <w:sz w:val="24"/>
        </w:rPr>
        <w:t xml:space="preserve"> dans le tableau 1, avec pour chaque </w:t>
      </w:r>
      <w:r w:rsidR="009C7807">
        <w:rPr>
          <w:rFonts w:ascii="Arial" w:hAnsi="Arial"/>
          <w:sz w:val="24"/>
        </w:rPr>
        <w:t>essai</w:t>
      </w:r>
      <w:r w:rsidR="00C408CD">
        <w:rPr>
          <w:rFonts w:ascii="Arial" w:hAnsi="Arial"/>
          <w:sz w:val="24"/>
        </w:rPr>
        <w:t xml:space="preserve"> les paramètres de mise en place du sol et les paramètres à l’</w:t>
      </w:r>
      <w:r w:rsidR="009C7807">
        <w:rPr>
          <w:rFonts w:ascii="Arial" w:hAnsi="Arial"/>
          <w:sz w:val="24"/>
        </w:rPr>
        <w:t>issu</w:t>
      </w:r>
      <w:r w:rsidR="00FC7161">
        <w:rPr>
          <w:rFonts w:ascii="Arial" w:hAnsi="Arial"/>
          <w:sz w:val="24"/>
        </w:rPr>
        <w:t>e</w:t>
      </w:r>
      <w:r w:rsidR="00C408CD">
        <w:rPr>
          <w:rFonts w:ascii="Arial" w:hAnsi="Arial"/>
          <w:sz w:val="24"/>
        </w:rPr>
        <w:t xml:space="preserve"> de l’essai.</w:t>
      </w:r>
      <w:r w:rsidR="007C0E16">
        <w:rPr>
          <w:rFonts w:ascii="Arial" w:hAnsi="Arial"/>
          <w:sz w:val="24"/>
        </w:rPr>
        <w:t xml:space="preserve"> Les essais sont réalisés en condition humide </w:t>
      </w:r>
      <w:r w:rsidR="00857F61">
        <w:rPr>
          <w:rFonts w:ascii="Arial" w:hAnsi="Arial"/>
          <w:sz w:val="24"/>
        </w:rPr>
        <w:t xml:space="preserve">le </w:t>
      </w:r>
      <w:r w:rsidR="007C0E16">
        <w:rPr>
          <w:rFonts w:ascii="Arial" w:hAnsi="Arial"/>
          <w:sz w:val="24"/>
        </w:rPr>
        <w:t>plus proche possible de la saturation.</w:t>
      </w:r>
    </w:p>
    <w:p w:rsidR="00CF0F08" w:rsidRDefault="00CF0F08" w:rsidP="00824249"/>
    <w:p w:rsidR="00CF0F08" w:rsidRPr="00CF0F08" w:rsidRDefault="00CF0F08" w:rsidP="00CF0F0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Tableau 1 </w:t>
      </w:r>
      <w:r w:rsidR="007C0E16">
        <w:rPr>
          <w:rFonts w:ascii="Arial" w:hAnsi="Arial"/>
          <w:sz w:val="22"/>
          <w:szCs w:val="22"/>
        </w:rPr>
        <w:t>: Paramètres</w:t>
      </w:r>
      <w:r>
        <w:rPr>
          <w:rFonts w:ascii="Arial" w:hAnsi="Arial"/>
          <w:sz w:val="22"/>
          <w:szCs w:val="22"/>
        </w:rPr>
        <w:t xml:space="preserve"> des essais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701"/>
        <w:gridCol w:w="1531"/>
        <w:gridCol w:w="1531"/>
        <w:gridCol w:w="1531"/>
        <w:gridCol w:w="1531"/>
        <w:gridCol w:w="1531"/>
      </w:tblGrid>
      <w:tr w:rsidR="007D420C" w:rsidTr="007D420C">
        <w:trPr>
          <w:jc w:val="center"/>
        </w:trPr>
        <w:tc>
          <w:tcPr>
            <w:tcW w:w="1701" w:type="dxa"/>
            <w:vAlign w:val="center"/>
          </w:tcPr>
          <w:p w:rsidR="00CF0F08" w:rsidRPr="00CF0F08" w:rsidRDefault="00CF0F08" w:rsidP="007D420C">
            <w:pPr>
              <w:jc w:val="center"/>
              <w:rPr>
                <w:rFonts w:ascii="Arial" w:hAnsi="Arial"/>
              </w:rPr>
            </w:pPr>
            <w:r w:rsidRPr="00CF0F08">
              <w:rPr>
                <w:rFonts w:ascii="Arial" w:hAnsi="Arial"/>
              </w:rPr>
              <w:t>Essai</w:t>
            </w:r>
          </w:p>
        </w:tc>
        <w:tc>
          <w:tcPr>
            <w:tcW w:w="1531" w:type="dxa"/>
            <w:vAlign w:val="center"/>
          </w:tcPr>
          <w:p w:rsidR="00CF0F08" w:rsidRPr="00CF0F08" w:rsidRDefault="00CF0F08" w:rsidP="007D420C">
            <w:pPr>
              <w:jc w:val="center"/>
              <w:rPr>
                <w:rFonts w:ascii="Arial" w:hAnsi="Arial"/>
              </w:rPr>
            </w:pPr>
            <w:r w:rsidRPr="00CF0F08">
              <w:rPr>
                <w:rFonts w:ascii="Arial" w:hAnsi="Arial"/>
              </w:rPr>
              <w:t>Contrainte verticale</w:t>
            </w:r>
          </w:p>
        </w:tc>
        <w:tc>
          <w:tcPr>
            <w:tcW w:w="1531" w:type="dxa"/>
            <w:vAlign w:val="center"/>
          </w:tcPr>
          <w:p w:rsidR="00CF0F08" w:rsidRPr="00CF0F08" w:rsidRDefault="00CF0F08" w:rsidP="007D420C">
            <w:pPr>
              <w:jc w:val="center"/>
              <w:rPr>
                <w:rFonts w:ascii="Arial" w:hAnsi="Arial"/>
              </w:rPr>
            </w:pPr>
            <w:r w:rsidRPr="00CF0F08">
              <w:rPr>
                <w:rFonts w:ascii="Arial" w:hAnsi="Arial"/>
              </w:rPr>
              <w:t>Contrainte horizontale</w:t>
            </w:r>
          </w:p>
        </w:tc>
        <w:tc>
          <w:tcPr>
            <w:tcW w:w="1531" w:type="dxa"/>
            <w:vAlign w:val="center"/>
          </w:tcPr>
          <w:p w:rsidR="00CF0F08" w:rsidRPr="00CF0F08" w:rsidRDefault="00CF0F08" w:rsidP="007D420C">
            <w:pPr>
              <w:jc w:val="center"/>
              <w:rPr>
                <w:rFonts w:ascii="Arial" w:hAnsi="Arial"/>
              </w:rPr>
            </w:pPr>
            <w:r w:rsidRPr="00CF0F08">
              <w:rPr>
                <w:rFonts w:ascii="Arial" w:hAnsi="Arial"/>
              </w:rPr>
              <w:t>Densité</w:t>
            </w:r>
            <w:r w:rsidR="00FC7161">
              <w:rPr>
                <w:rFonts w:ascii="Arial" w:hAnsi="Arial"/>
              </w:rPr>
              <w:t xml:space="preserve"> initiale</w:t>
            </w:r>
          </w:p>
          <w:p w:rsidR="00CF0F08" w:rsidRPr="00CF0F08" w:rsidRDefault="00CF0F08" w:rsidP="007D420C">
            <w:pPr>
              <w:jc w:val="center"/>
              <w:rPr>
                <w:rFonts w:ascii="Arial" w:hAnsi="Arial"/>
              </w:rPr>
            </w:pPr>
            <w:r w:rsidRPr="00CF0F08">
              <w:rPr>
                <w:rFonts w:ascii="Arial" w:hAnsi="Arial"/>
              </w:rPr>
              <w:t>(kg/m</w:t>
            </w:r>
            <w:r w:rsidRPr="007D420C">
              <w:rPr>
                <w:rFonts w:ascii="Arial" w:hAnsi="Arial"/>
                <w:vertAlign w:val="superscript"/>
              </w:rPr>
              <w:t>3</w:t>
            </w:r>
            <w:r w:rsidRPr="00CF0F08">
              <w:rPr>
                <w:rFonts w:ascii="Arial" w:hAnsi="Arial"/>
              </w:rPr>
              <w:t>)</w:t>
            </w:r>
          </w:p>
        </w:tc>
        <w:tc>
          <w:tcPr>
            <w:tcW w:w="1531" w:type="dxa"/>
            <w:vAlign w:val="center"/>
          </w:tcPr>
          <w:p w:rsidR="00CF0F08" w:rsidRPr="00CF0F08" w:rsidRDefault="00CF0F08" w:rsidP="007D42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Teneur en eau initiale (%)</w:t>
            </w:r>
          </w:p>
        </w:tc>
        <w:tc>
          <w:tcPr>
            <w:tcW w:w="1531" w:type="dxa"/>
            <w:vAlign w:val="center"/>
          </w:tcPr>
          <w:p w:rsidR="00CF0F08" w:rsidRPr="00CF0F08" w:rsidRDefault="00CF0F08" w:rsidP="007D42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Teneur en eau finale (%)</w:t>
            </w:r>
          </w:p>
        </w:tc>
      </w:tr>
      <w:tr w:rsidR="007D420C" w:rsidRPr="00CF0F08" w:rsidTr="00CD27AD">
        <w:trPr>
          <w:trHeight w:val="283"/>
          <w:jc w:val="center"/>
        </w:trPr>
        <w:tc>
          <w:tcPr>
            <w:tcW w:w="1701" w:type="dxa"/>
            <w:vAlign w:val="center"/>
          </w:tcPr>
          <w:p w:rsidR="00DF46F6" w:rsidRPr="00CF0F08" w:rsidRDefault="0073018C" w:rsidP="007D42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 : </w:t>
            </w:r>
            <w:r w:rsidR="00DF46F6">
              <w:rPr>
                <w:rFonts w:ascii="Arial" w:hAnsi="Arial"/>
              </w:rPr>
              <w:t>Sable lâche</w:t>
            </w:r>
          </w:p>
        </w:tc>
        <w:tc>
          <w:tcPr>
            <w:tcW w:w="1531" w:type="dxa"/>
            <w:vAlign w:val="center"/>
          </w:tcPr>
          <w:p w:rsidR="00DF46F6" w:rsidRPr="00CF0F08" w:rsidRDefault="00DF46F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 kPa</w:t>
            </w:r>
          </w:p>
        </w:tc>
        <w:tc>
          <w:tcPr>
            <w:tcW w:w="1531" w:type="dxa"/>
            <w:vAlign w:val="center"/>
          </w:tcPr>
          <w:p w:rsidR="00DF46F6" w:rsidRPr="00CF0F08" w:rsidRDefault="00DF46F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kPa</w:t>
            </w:r>
          </w:p>
        </w:tc>
        <w:tc>
          <w:tcPr>
            <w:tcW w:w="1531" w:type="dxa"/>
            <w:vAlign w:val="center"/>
          </w:tcPr>
          <w:p w:rsidR="00DF46F6" w:rsidRPr="00CF0F08" w:rsidRDefault="00DF46F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1480</w:t>
            </w:r>
          </w:p>
        </w:tc>
        <w:tc>
          <w:tcPr>
            <w:tcW w:w="1531" w:type="dxa"/>
            <w:vAlign w:val="center"/>
          </w:tcPr>
          <w:p w:rsidR="00DF46F6" w:rsidRPr="00CF0F08" w:rsidRDefault="00DF46F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25 %</w:t>
            </w:r>
          </w:p>
        </w:tc>
        <w:tc>
          <w:tcPr>
            <w:tcW w:w="1531" w:type="dxa"/>
            <w:vAlign w:val="center"/>
          </w:tcPr>
          <w:p w:rsidR="00DF46F6" w:rsidRPr="00CF0F08" w:rsidRDefault="00DF46F6" w:rsidP="00FC71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22 %</w:t>
            </w:r>
          </w:p>
        </w:tc>
      </w:tr>
      <w:tr w:rsidR="007D420C" w:rsidTr="00CD27AD">
        <w:trPr>
          <w:trHeight w:val="283"/>
          <w:jc w:val="center"/>
        </w:trPr>
        <w:tc>
          <w:tcPr>
            <w:tcW w:w="1701" w:type="dxa"/>
            <w:vAlign w:val="center"/>
          </w:tcPr>
          <w:p w:rsidR="00242F61" w:rsidRPr="00CF0F08" w:rsidRDefault="0073018C" w:rsidP="007D42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 : </w:t>
            </w:r>
            <w:r w:rsidR="00CF0F08">
              <w:rPr>
                <w:rFonts w:ascii="Arial" w:hAnsi="Arial"/>
              </w:rPr>
              <w:t>Sable dense</w:t>
            </w:r>
          </w:p>
        </w:tc>
        <w:tc>
          <w:tcPr>
            <w:tcW w:w="1531" w:type="dxa"/>
            <w:vAlign w:val="center"/>
          </w:tcPr>
          <w:p w:rsidR="00CF0F08" w:rsidRPr="00CF0F08" w:rsidRDefault="00242F61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 kPa</w:t>
            </w:r>
          </w:p>
        </w:tc>
        <w:tc>
          <w:tcPr>
            <w:tcW w:w="1531" w:type="dxa"/>
            <w:vAlign w:val="center"/>
          </w:tcPr>
          <w:p w:rsidR="00CF0F08" w:rsidRPr="00CF0F08" w:rsidRDefault="00242F61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kPa</w:t>
            </w:r>
          </w:p>
        </w:tc>
        <w:tc>
          <w:tcPr>
            <w:tcW w:w="1531" w:type="dxa"/>
            <w:vAlign w:val="center"/>
          </w:tcPr>
          <w:p w:rsidR="00CF0F08" w:rsidRPr="00CF0F08" w:rsidRDefault="00242F61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1950</w:t>
            </w:r>
          </w:p>
        </w:tc>
        <w:tc>
          <w:tcPr>
            <w:tcW w:w="1531" w:type="dxa"/>
            <w:vAlign w:val="center"/>
          </w:tcPr>
          <w:p w:rsidR="00CF0F08" w:rsidRPr="00CF0F08" w:rsidRDefault="00242F61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26 %</w:t>
            </w:r>
          </w:p>
        </w:tc>
        <w:tc>
          <w:tcPr>
            <w:tcW w:w="1531" w:type="dxa"/>
            <w:vAlign w:val="center"/>
          </w:tcPr>
          <w:p w:rsidR="00CF0F08" w:rsidRPr="00CF0F08" w:rsidRDefault="00242F61" w:rsidP="00FC71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23 %</w:t>
            </w:r>
          </w:p>
        </w:tc>
      </w:tr>
      <w:tr w:rsidR="007D420C" w:rsidTr="00CD27AD">
        <w:trPr>
          <w:trHeight w:val="283"/>
          <w:jc w:val="center"/>
        </w:trPr>
        <w:tc>
          <w:tcPr>
            <w:tcW w:w="1701" w:type="dxa"/>
            <w:vAlign w:val="center"/>
          </w:tcPr>
          <w:p w:rsidR="00CF0F08" w:rsidRPr="00CF0F08" w:rsidRDefault="0073018C" w:rsidP="007D42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 : </w:t>
            </w:r>
            <w:r w:rsidR="00CF0F08">
              <w:rPr>
                <w:rFonts w:ascii="Arial" w:hAnsi="Arial"/>
              </w:rPr>
              <w:t xml:space="preserve">Argile </w:t>
            </w:r>
            <w:r>
              <w:rPr>
                <w:rFonts w:ascii="Arial" w:hAnsi="Arial"/>
              </w:rPr>
              <w:t>NC</w:t>
            </w:r>
          </w:p>
        </w:tc>
        <w:tc>
          <w:tcPr>
            <w:tcW w:w="1531" w:type="dxa"/>
            <w:vAlign w:val="center"/>
          </w:tcPr>
          <w:p w:rsidR="00CF0F08" w:rsidRPr="00CF0F08" w:rsidRDefault="007C0E1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 kPa</w:t>
            </w:r>
          </w:p>
        </w:tc>
        <w:tc>
          <w:tcPr>
            <w:tcW w:w="1531" w:type="dxa"/>
            <w:vAlign w:val="center"/>
          </w:tcPr>
          <w:p w:rsidR="00CF0F08" w:rsidRPr="00CF0F08" w:rsidRDefault="007C0E1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kPa</w:t>
            </w:r>
          </w:p>
        </w:tc>
        <w:tc>
          <w:tcPr>
            <w:tcW w:w="1531" w:type="dxa"/>
            <w:vAlign w:val="center"/>
          </w:tcPr>
          <w:p w:rsidR="00CF0F08" w:rsidRPr="00CF0F08" w:rsidRDefault="007C0E1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1480</w:t>
            </w:r>
          </w:p>
        </w:tc>
        <w:tc>
          <w:tcPr>
            <w:tcW w:w="1531" w:type="dxa"/>
            <w:vAlign w:val="center"/>
          </w:tcPr>
          <w:p w:rsidR="00CF0F08" w:rsidRPr="00CF0F08" w:rsidRDefault="007C0E1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60 %</w:t>
            </w:r>
          </w:p>
        </w:tc>
        <w:tc>
          <w:tcPr>
            <w:tcW w:w="1531" w:type="dxa"/>
            <w:vAlign w:val="center"/>
          </w:tcPr>
          <w:p w:rsidR="00CF0F08" w:rsidRPr="00CF0F08" w:rsidRDefault="007C0E16" w:rsidP="00FC71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45 %</w:t>
            </w:r>
          </w:p>
        </w:tc>
      </w:tr>
      <w:tr w:rsidR="007D420C" w:rsidTr="007D420C">
        <w:trPr>
          <w:jc w:val="center"/>
        </w:trPr>
        <w:tc>
          <w:tcPr>
            <w:tcW w:w="1701" w:type="dxa"/>
            <w:vAlign w:val="center"/>
          </w:tcPr>
          <w:p w:rsidR="00CF0F08" w:rsidRPr="00CF0F08" w:rsidRDefault="0073018C" w:rsidP="007D42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 : </w:t>
            </w:r>
            <w:r w:rsidR="00CF0F08">
              <w:rPr>
                <w:rFonts w:ascii="Arial" w:hAnsi="Arial"/>
              </w:rPr>
              <w:t>Argile</w:t>
            </w:r>
            <w:r w:rsidR="00503A3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OC</w:t>
            </w:r>
          </w:p>
        </w:tc>
        <w:tc>
          <w:tcPr>
            <w:tcW w:w="1531" w:type="dxa"/>
            <w:vAlign w:val="center"/>
          </w:tcPr>
          <w:p w:rsidR="00CF0F08" w:rsidRDefault="007C0E1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 kPa</w:t>
            </w:r>
          </w:p>
          <w:p w:rsidR="007C0E16" w:rsidRPr="00CF0F08" w:rsidRDefault="007C0E1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*75 kPa</w:t>
            </w:r>
          </w:p>
        </w:tc>
        <w:tc>
          <w:tcPr>
            <w:tcW w:w="1531" w:type="dxa"/>
            <w:vAlign w:val="center"/>
          </w:tcPr>
          <w:p w:rsidR="00CF0F08" w:rsidRPr="00CF0F08" w:rsidRDefault="007C0E1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kPa</w:t>
            </w:r>
          </w:p>
        </w:tc>
        <w:tc>
          <w:tcPr>
            <w:tcW w:w="1531" w:type="dxa"/>
            <w:vAlign w:val="center"/>
          </w:tcPr>
          <w:p w:rsidR="00CF0F08" w:rsidRPr="00CF0F08" w:rsidRDefault="007C0E16" w:rsidP="00A96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1520</w:t>
            </w:r>
          </w:p>
        </w:tc>
        <w:tc>
          <w:tcPr>
            <w:tcW w:w="1531" w:type="dxa"/>
            <w:vAlign w:val="center"/>
          </w:tcPr>
          <w:p w:rsidR="00CF0F08" w:rsidRPr="00CF0F08" w:rsidRDefault="007C0E16" w:rsidP="00FC71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70 %</w:t>
            </w:r>
          </w:p>
        </w:tc>
        <w:tc>
          <w:tcPr>
            <w:tcW w:w="1531" w:type="dxa"/>
            <w:vAlign w:val="center"/>
          </w:tcPr>
          <w:p w:rsidR="00CF0F08" w:rsidRPr="00CF0F08" w:rsidRDefault="007C0E16" w:rsidP="00FC71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46 %</w:t>
            </w:r>
          </w:p>
        </w:tc>
      </w:tr>
    </w:tbl>
    <w:p w:rsidR="00CF0F08" w:rsidRDefault="007C0E16" w:rsidP="00F618FB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* </w:t>
      </w:r>
      <w:proofErr w:type="spellStart"/>
      <w:r w:rsidR="009C7807">
        <w:rPr>
          <w:rFonts w:ascii="Arial" w:hAnsi="Arial"/>
        </w:rPr>
        <w:t>préconsolidation</w:t>
      </w:r>
      <w:proofErr w:type="spellEnd"/>
    </w:p>
    <w:p w:rsidR="00D01E6B" w:rsidRDefault="00D01E6B" w:rsidP="00D01E6B">
      <w:pPr>
        <w:pStyle w:val="Titre1"/>
        <w:rPr>
          <w:lang w:val="fr-FR"/>
        </w:rPr>
      </w:pPr>
      <w:r>
        <w:rPr>
          <w:lang w:val="fr-FR"/>
        </w:rPr>
        <w:lastRenderedPageBreak/>
        <w:t xml:space="preserve">Résultats des essais </w:t>
      </w:r>
      <w:r w:rsidR="009C7807">
        <w:rPr>
          <w:lang w:val="fr-FR"/>
        </w:rPr>
        <w:t>préliminaires</w:t>
      </w:r>
    </w:p>
    <w:p w:rsidR="00917A8F" w:rsidRDefault="00D01E6B" w:rsidP="004B66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Les mesures</w:t>
      </w:r>
      <w:r w:rsidR="004B66FB">
        <w:rPr>
          <w:rFonts w:ascii="Arial" w:hAnsi="Arial"/>
          <w:sz w:val="24"/>
        </w:rPr>
        <w:t xml:space="preserve"> de déplacement horizontal</w:t>
      </w:r>
      <w:r>
        <w:rPr>
          <w:rFonts w:ascii="Arial" w:hAnsi="Arial"/>
          <w:sz w:val="24"/>
        </w:rPr>
        <w:t xml:space="preserve"> du premier essai sont présentées sur la </w:t>
      </w:r>
      <w:r w:rsidR="00FC7161">
        <w:rPr>
          <w:rFonts w:ascii="Arial" w:hAnsi="Arial"/>
          <w:sz w:val="24"/>
        </w:rPr>
        <w:t>F</w:t>
      </w:r>
      <w:r w:rsidR="00FC7161" w:rsidRPr="004B66FB">
        <w:rPr>
          <w:rFonts w:ascii="Arial" w:hAnsi="Arial"/>
          <w:sz w:val="24"/>
        </w:rPr>
        <w:t xml:space="preserve">igure </w:t>
      </w:r>
      <w:r w:rsidR="004B66FB" w:rsidRPr="004B66FB">
        <w:rPr>
          <w:rFonts w:ascii="Arial" w:hAnsi="Arial"/>
          <w:sz w:val="24"/>
        </w:rPr>
        <w:t>4</w:t>
      </w:r>
      <w:r w:rsidRPr="004B66FB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Ce graphique présente simultanément les déplacements horizontaux </w:t>
      </w:r>
      <w:r w:rsidR="0068744F">
        <w:rPr>
          <w:rFonts w:ascii="Arial" w:hAnsi="Arial"/>
          <w:sz w:val="24"/>
        </w:rPr>
        <w:t>mesurés</w:t>
      </w:r>
      <w:r w:rsidR="007D420C">
        <w:rPr>
          <w:rFonts w:ascii="Arial" w:hAnsi="Arial"/>
          <w:sz w:val="24"/>
        </w:rPr>
        <w:t xml:space="preserve"> à l’avant et à l’arrière </w:t>
      </w:r>
      <w:r>
        <w:rPr>
          <w:rFonts w:ascii="Arial" w:hAnsi="Arial"/>
          <w:sz w:val="24"/>
        </w:rPr>
        <w:t xml:space="preserve">de la </w:t>
      </w:r>
      <w:proofErr w:type="spellStart"/>
      <w:r w:rsidR="007D420C">
        <w:rPr>
          <w:rFonts w:ascii="Arial" w:hAnsi="Arial"/>
          <w:sz w:val="24"/>
        </w:rPr>
        <w:t>demi</w:t>
      </w:r>
      <w:r w:rsidR="00D34EE2">
        <w:rPr>
          <w:rFonts w:ascii="Arial" w:hAnsi="Arial"/>
          <w:sz w:val="24"/>
        </w:rPr>
        <w:t>-boite</w:t>
      </w:r>
      <w:proofErr w:type="spellEnd"/>
      <w:r w:rsidR="007D420C">
        <w:rPr>
          <w:rFonts w:ascii="Arial" w:hAnsi="Arial"/>
          <w:sz w:val="24"/>
        </w:rPr>
        <w:t xml:space="preserve"> mobile, </w:t>
      </w:r>
      <w:r>
        <w:rPr>
          <w:rFonts w:ascii="Arial" w:hAnsi="Arial"/>
          <w:sz w:val="24"/>
        </w:rPr>
        <w:t xml:space="preserve">ainsi que la température moyenne mesurée dans le sol. Ces premiers résultats montrent que le comportement général de la </w:t>
      </w:r>
      <w:r w:rsidR="00D34EE2">
        <w:rPr>
          <w:rFonts w:ascii="Arial" w:hAnsi="Arial"/>
          <w:sz w:val="24"/>
        </w:rPr>
        <w:t>boite</w:t>
      </w:r>
      <w:r>
        <w:rPr>
          <w:rFonts w:ascii="Arial" w:hAnsi="Arial"/>
          <w:sz w:val="24"/>
        </w:rPr>
        <w:t xml:space="preserve"> </w:t>
      </w:r>
      <w:r w:rsidR="00917A8F">
        <w:rPr>
          <w:rFonts w:ascii="Arial" w:hAnsi="Arial"/>
          <w:sz w:val="24"/>
        </w:rPr>
        <w:t xml:space="preserve">est la composition d’un mouvement général de cisaillement de l’interface et de cycles de </w:t>
      </w:r>
      <w:r w:rsidR="00FF753A">
        <w:rPr>
          <w:rFonts w:ascii="Arial" w:hAnsi="Arial"/>
          <w:sz w:val="24"/>
        </w:rPr>
        <w:t>dilatation-</w:t>
      </w:r>
      <w:r w:rsidR="00917A8F">
        <w:rPr>
          <w:rFonts w:ascii="Arial" w:hAnsi="Arial"/>
          <w:sz w:val="24"/>
        </w:rPr>
        <w:t xml:space="preserve">contraction du dispositif. Afin d’étudier les résultats, le </w:t>
      </w:r>
      <w:r w:rsidR="007D420C">
        <w:rPr>
          <w:rFonts w:ascii="Arial" w:hAnsi="Arial"/>
          <w:sz w:val="24"/>
        </w:rPr>
        <w:t>déplacement</w:t>
      </w:r>
      <w:r w:rsidR="00917A8F">
        <w:rPr>
          <w:rFonts w:ascii="Arial" w:hAnsi="Arial"/>
          <w:sz w:val="24"/>
        </w:rPr>
        <w:t xml:space="preserve"> moyen de l’interface est </w:t>
      </w:r>
      <w:r w:rsidR="007D10E9">
        <w:rPr>
          <w:rFonts w:ascii="Arial" w:hAnsi="Arial"/>
          <w:sz w:val="24"/>
        </w:rPr>
        <w:t>calcul</w:t>
      </w:r>
      <w:r w:rsidR="00503A30">
        <w:rPr>
          <w:rFonts w:ascii="Arial" w:hAnsi="Arial"/>
          <w:sz w:val="24"/>
        </w:rPr>
        <w:t>é</w:t>
      </w:r>
      <w:r w:rsidR="007D10E9">
        <w:rPr>
          <w:rFonts w:ascii="Arial" w:hAnsi="Arial"/>
          <w:sz w:val="24"/>
        </w:rPr>
        <w:t xml:space="preserve"> comme la</w:t>
      </w:r>
      <w:r w:rsidR="00917A8F">
        <w:rPr>
          <w:rFonts w:ascii="Arial" w:hAnsi="Arial"/>
          <w:sz w:val="24"/>
        </w:rPr>
        <w:t xml:space="preserve"> moyenne des déplacements mesurés </w:t>
      </w:r>
      <w:r w:rsidR="00FC7161">
        <w:rPr>
          <w:rFonts w:ascii="Arial" w:hAnsi="Arial"/>
          <w:sz w:val="24"/>
        </w:rPr>
        <w:t>à l’</w:t>
      </w:r>
      <w:r w:rsidR="00917A8F">
        <w:rPr>
          <w:rFonts w:ascii="Arial" w:hAnsi="Arial"/>
          <w:sz w:val="24"/>
        </w:rPr>
        <w:t xml:space="preserve">avant et </w:t>
      </w:r>
      <w:r w:rsidR="00FC7161">
        <w:rPr>
          <w:rFonts w:ascii="Arial" w:hAnsi="Arial"/>
          <w:sz w:val="24"/>
        </w:rPr>
        <w:t>à l’</w:t>
      </w:r>
      <w:r w:rsidR="00917A8F">
        <w:rPr>
          <w:rFonts w:ascii="Arial" w:hAnsi="Arial"/>
          <w:sz w:val="24"/>
        </w:rPr>
        <w:t xml:space="preserve">arrière. C’est cette mesure qui sera </w:t>
      </w:r>
      <w:r w:rsidR="009C7807">
        <w:rPr>
          <w:rFonts w:ascii="Arial" w:hAnsi="Arial"/>
          <w:sz w:val="24"/>
        </w:rPr>
        <w:t>présentée</w:t>
      </w:r>
      <w:r w:rsidR="00917A8F">
        <w:rPr>
          <w:rFonts w:ascii="Arial" w:hAnsi="Arial"/>
          <w:sz w:val="24"/>
        </w:rPr>
        <w:t xml:space="preserve"> sur tous les autres graphiques.</w:t>
      </w:r>
    </w:p>
    <w:p w:rsidR="005C5B0D" w:rsidRDefault="005C5B0D" w:rsidP="007D10E9"/>
    <w:p w:rsidR="00917A8F" w:rsidRDefault="00A90E92" w:rsidP="009033B0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0DAF27EE" wp14:editId="139B886A">
            <wp:extent cx="5040000" cy="3023218"/>
            <wp:effectExtent l="0" t="0" r="8255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23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E92" w:rsidRDefault="00A90E92" w:rsidP="00A90E92"/>
    <w:p w:rsidR="004B66FB" w:rsidRDefault="004B66FB" w:rsidP="005C5B0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Figure 4 : </w:t>
      </w:r>
      <w:r w:rsidR="00A90E92">
        <w:rPr>
          <w:rFonts w:ascii="Arial" w:hAnsi="Arial"/>
          <w:sz w:val="24"/>
        </w:rPr>
        <w:t xml:space="preserve">Déplacement horizontal </w:t>
      </w:r>
    </w:p>
    <w:p w:rsidR="005C5B0D" w:rsidRDefault="005C5B0D" w:rsidP="004B66FB"/>
    <w:p w:rsidR="009033B0" w:rsidRDefault="00857F61" w:rsidP="004A01B1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On observe sur ce graphique un phénomène de dilatation</w:t>
      </w:r>
      <w:r w:rsidR="009C7807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contraction </w:t>
      </w:r>
      <w:r w:rsidR="009A2675">
        <w:rPr>
          <w:rFonts w:ascii="Arial" w:hAnsi="Arial"/>
          <w:sz w:val="24"/>
        </w:rPr>
        <w:t>de l</w:t>
      </w:r>
      <w:r w:rsidR="005A6BFE">
        <w:rPr>
          <w:rFonts w:ascii="Arial" w:hAnsi="Arial"/>
          <w:sz w:val="24"/>
        </w:rPr>
        <w:t>a</w:t>
      </w:r>
      <w:r w:rsidR="009A2675">
        <w:rPr>
          <w:rFonts w:ascii="Arial" w:hAnsi="Arial"/>
          <w:sz w:val="24"/>
        </w:rPr>
        <w:t xml:space="preserve"> </w:t>
      </w:r>
      <w:proofErr w:type="spellStart"/>
      <w:r w:rsidR="009A2675">
        <w:rPr>
          <w:rFonts w:ascii="Arial" w:hAnsi="Arial"/>
          <w:sz w:val="24"/>
        </w:rPr>
        <w:t>demi</w:t>
      </w:r>
      <w:r w:rsidR="00D34EE2">
        <w:rPr>
          <w:rFonts w:ascii="Arial" w:hAnsi="Arial"/>
          <w:sz w:val="24"/>
        </w:rPr>
        <w:t>-boite</w:t>
      </w:r>
      <w:proofErr w:type="spellEnd"/>
      <w:r w:rsidR="009A2675">
        <w:rPr>
          <w:rFonts w:ascii="Arial" w:hAnsi="Arial"/>
          <w:sz w:val="24"/>
        </w:rPr>
        <w:t xml:space="preserve"> inférieure</w:t>
      </w:r>
      <w:r w:rsidR="007D10E9">
        <w:rPr>
          <w:rStyle w:val="Appelnotedebasdep"/>
          <w:rFonts w:ascii="Arial" w:hAnsi="Arial"/>
          <w:sz w:val="24"/>
        </w:rPr>
        <w:footnoteReference w:id="1"/>
      </w:r>
      <w:r w:rsidR="009A2675">
        <w:rPr>
          <w:rFonts w:ascii="Arial" w:hAnsi="Arial"/>
          <w:sz w:val="24"/>
        </w:rPr>
        <w:t xml:space="preserve"> liée à la variation de </w:t>
      </w:r>
      <w:r w:rsidR="00AF5808">
        <w:rPr>
          <w:rFonts w:ascii="Arial" w:hAnsi="Arial"/>
          <w:sz w:val="24"/>
        </w:rPr>
        <w:t>température</w:t>
      </w:r>
      <w:r w:rsidR="007D10E9">
        <w:rPr>
          <w:rFonts w:ascii="Arial" w:hAnsi="Arial"/>
          <w:sz w:val="24"/>
        </w:rPr>
        <w:t xml:space="preserve">. </w:t>
      </w:r>
      <w:r w:rsidR="00D34EE2">
        <w:rPr>
          <w:rFonts w:ascii="Arial" w:hAnsi="Arial"/>
          <w:sz w:val="24"/>
        </w:rPr>
        <w:t>À</w:t>
      </w:r>
      <w:r w:rsidR="007D10E9">
        <w:rPr>
          <w:rFonts w:ascii="Arial" w:hAnsi="Arial"/>
          <w:sz w:val="24"/>
        </w:rPr>
        <w:t xml:space="preserve"> une température d’environ 20°C</w:t>
      </w:r>
      <w:r w:rsidR="007D10E9" w:rsidRPr="007D10E9">
        <w:rPr>
          <w:rFonts w:ascii="Arial" w:hAnsi="Arial"/>
          <w:sz w:val="24"/>
        </w:rPr>
        <w:t xml:space="preserve"> </w:t>
      </w:r>
      <w:r w:rsidR="007D10E9">
        <w:rPr>
          <w:rFonts w:ascii="Arial" w:hAnsi="Arial"/>
          <w:sz w:val="24"/>
        </w:rPr>
        <w:t>correspondant à la température initiale au début de l'essai, la dilatation mesurée est nulle et correspond au croisement des courbes de déplacement.</w:t>
      </w:r>
      <w:r w:rsidR="00AF5808">
        <w:rPr>
          <w:rFonts w:ascii="Arial" w:hAnsi="Arial"/>
          <w:sz w:val="24"/>
        </w:rPr>
        <w:t xml:space="preserve"> Cette succession de phase</w:t>
      </w:r>
      <w:r w:rsidR="009C7807">
        <w:rPr>
          <w:rFonts w:ascii="Arial" w:hAnsi="Arial"/>
          <w:sz w:val="24"/>
        </w:rPr>
        <w:t xml:space="preserve">s </w:t>
      </w:r>
      <w:r w:rsidR="00AF5808">
        <w:rPr>
          <w:rFonts w:ascii="Arial" w:hAnsi="Arial"/>
          <w:sz w:val="24"/>
        </w:rPr>
        <w:t xml:space="preserve">de </w:t>
      </w:r>
      <w:r w:rsidR="00CD31C4">
        <w:rPr>
          <w:rFonts w:ascii="Arial" w:hAnsi="Arial"/>
          <w:sz w:val="24"/>
        </w:rPr>
        <w:t>dilatation-</w:t>
      </w:r>
      <w:r w:rsidR="00AF5808">
        <w:rPr>
          <w:rFonts w:ascii="Arial" w:hAnsi="Arial"/>
          <w:sz w:val="24"/>
        </w:rPr>
        <w:t xml:space="preserve">contraction </w:t>
      </w:r>
      <w:r w:rsidR="009C7807">
        <w:rPr>
          <w:rFonts w:ascii="Arial" w:hAnsi="Arial"/>
          <w:sz w:val="24"/>
        </w:rPr>
        <w:t>se</w:t>
      </w:r>
      <w:r w:rsidR="00AF5808">
        <w:rPr>
          <w:rFonts w:ascii="Arial" w:hAnsi="Arial"/>
          <w:sz w:val="24"/>
        </w:rPr>
        <w:t xml:space="preserve"> traduit p</w:t>
      </w:r>
      <w:r w:rsidR="009C7807">
        <w:rPr>
          <w:rFonts w:ascii="Arial" w:hAnsi="Arial"/>
          <w:sz w:val="24"/>
        </w:rPr>
        <w:t>ar</w:t>
      </w:r>
      <w:r w:rsidR="00AF5808">
        <w:rPr>
          <w:rFonts w:ascii="Arial" w:hAnsi="Arial"/>
          <w:sz w:val="24"/>
        </w:rPr>
        <w:t xml:space="preserve"> un mouvement </w:t>
      </w:r>
      <w:r w:rsidR="00BE5C20">
        <w:rPr>
          <w:rFonts w:ascii="Arial" w:hAnsi="Arial"/>
          <w:sz w:val="24"/>
        </w:rPr>
        <w:t xml:space="preserve">global </w:t>
      </w:r>
      <w:r w:rsidR="00AF5808">
        <w:rPr>
          <w:rFonts w:ascii="Arial" w:hAnsi="Arial"/>
          <w:sz w:val="24"/>
        </w:rPr>
        <w:t xml:space="preserve">de cisaillement. </w:t>
      </w:r>
      <w:r w:rsidR="00824249">
        <w:rPr>
          <w:rFonts w:ascii="Arial" w:hAnsi="Arial"/>
          <w:sz w:val="24"/>
        </w:rPr>
        <w:t xml:space="preserve">On observe sur tous les essais que ce mouvement global se décompose selon la phase de chauffage et de refroidissement. </w:t>
      </w:r>
      <w:r w:rsidR="000D7972">
        <w:rPr>
          <w:rFonts w:ascii="Arial" w:hAnsi="Arial"/>
          <w:sz w:val="24"/>
        </w:rPr>
        <w:t>Sur l’essai 1</w:t>
      </w:r>
      <w:r w:rsidR="00836305">
        <w:rPr>
          <w:rFonts w:ascii="Arial" w:hAnsi="Arial"/>
          <w:sz w:val="24"/>
        </w:rPr>
        <w:t xml:space="preserve"> (sable </w:t>
      </w:r>
      <w:r w:rsidR="008B223A">
        <w:rPr>
          <w:rFonts w:ascii="Arial" w:hAnsi="Arial"/>
          <w:sz w:val="24"/>
        </w:rPr>
        <w:t>lâche</w:t>
      </w:r>
      <w:r w:rsidR="009C7807">
        <w:rPr>
          <w:rFonts w:ascii="Arial" w:hAnsi="Arial"/>
          <w:sz w:val="24"/>
        </w:rPr>
        <w:t>),</w:t>
      </w:r>
      <w:r w:rsidR="00887491">
        <w:rPr>
          <w:rFonts w:ascii="Arial" w:hAnsi="Arial"/>
          <w:sz w:val="24"/>
        </w:rPr>
        <w:t xml:space="preserve"> on observe </w:t>
      </w:r>
      <w:r w:rsidR="00824249">
        <w:rPr>
          <w:rFonts w:ascii="Arial" w:hAnsi="Arial"/>
          <w:sz w:val="24"/>
        </w:rPr>
        <w:t xml:space="preserve">un mouvement dans le sens du cisaillement </w:t>
      </w:r>
      <w:r w:rsidR="00887491">
        <w:rPr>
          <w:rFonts w:ascii="Arial" w:hAnsi="Arial"/>
          <w:sz w:val="24"/>
        </w:rPr>
        <w:t xml:space="preserve">mécanique </w:t>
      </w:r>
      <w:r w:rsidR="00824249">
        <w:rPr>
          <w:rFonts w:ascii="Arial" w:hAnsi="Arial"/>
          <w:sz w:val="24"/>
        </w:rPr>
        <w:t xml:space="preserve">qui se développe durant </w:t>
      </w:r>
      <w:r w:rsidR="000D7972">
        <w:rPr>
          <w:rFonts w:ascii="Arial" w:hAnsi="Arial"/>
          <w:sz w:val="24"/>
        </w:rPr>
        <w:t xml:space="preserve">les phases chaudes </w:t>
      </w:r>
      <w:r w:rsidR="00824249">
        <w:rPr>
          <w:rFonts w:ascii="Arial" w:hAnsi="Arial"/>
          <w:sz w:val="24"/>
        </w:rPr>
        <w:t xml:space="preserve">(température au-dessus de 20°C), </w:t>
      </w:r>
      <w:r w:rsidR="00836305">
        <w:rPr>
          <w:rFonts w:ascii="Arial" w:hAnsi="Arial"/>
          <w:sz w:val="24"/>
        </w:rPr>
        <w:t xml:space="preserve">tandis que les phases </w:t>
      </w:r>
      <w:r w:rsidR="009C7807">
        <w:rPr>
          <w:rFonts w:ascii="Arial" w:hAnsi="Arial"/>
          <w:sz w:val="24"/>
        </w:rPr>
        <w:t>froides</w:t>
      </w:r>
      <w:r w:rsidR="00824249">
        <w:rPr>
          <w:rFonts w:ascii="Arial" w:hAnsi="Arial"/>
          <w:sz w:val="24"/>
        </w:rPr>
        <w:t xml:space="preserve"> (en dessous de 20°C)</w:t>
      </w:r>
      <w:r w:rsidR="00836305">
        <w:rPr>
          <w:rFonts w:ascii="Arial" w:hAnsi="Arial"/>
          <w:sz w:val="24"/>
        </w:rPr>
        <w:t xml:space="preserve"> </w:t>
      </w:r>
      <w:r w:rsidR="00887491">
        <w:rPr>
          <w:rFonts w:ascii="Arial" w:hAnsi="Arial"/>
          <w:sz w:val="24"/>
        </w:rPr>
        <w:t>ne</w:t>
      </w:r>
      <w:r w:rsidR="00836305">
        <w:rPr>
          <w:rFonts w:ascii="Arial" w:hAnsi="Arial"/>
          <w:sz w:val="24"/>
        </w:rPr>
        <w:t xml:space="preserve"> </w:t>
      </w:r>
      <w:r w:rsidR="009C7807">
        <w:rPr>
          <w:rFonts w:ascii="Arial" w:hAnsi="Arial"/>
          <w:sz w:val="24"/>
        </w:rPr>
        <w:t>génèrent</w:t>
      </w:r>
      <w:r w:rsidR="000D7972">
        <w:rPr>
          <w:rFonts w:ascii="Arial" w:hAnsi="Arial"/>
          <w:sz w:val="24"/>
        </w:rPr>
        <w:t xml:space="preserve"> </w:t>
      </w:r>
      <w:r w:rsidR="00836305">
        <w:rPr>
          <w:rFonts w:ascii="Arial" w:hAnsi="Arial"/>
          <w:sz w:val="24"/>
        </w:rPr>
        <w:t>quasiment pas</w:t>
      </w:r>
      <w:r w:rsidR="00887491">
        <w:rPr>
          <w:rFonts w:ascii="Arial" w:hAnsi="Arial"/>
          <w:sz w:val="24"/>
        </w:rPr>
        <w:t xml:space="preserve"> de mouvement</w:t>
      </w:r>
      <w:r w:rsidR="00836305">
        <w:rPr>
          <w:rFonts w:ascii="Arial" w:hAnsi="Arial"/>
          <w:sz w:val="24"/>
        </w:rPr>
        <w:t xml:space="preserve">. On retrouve ce phénomène sur les deux essais sur l’argile </w:t>
      </w:r>
      <w:r w:rsidR="008B223A">
        <w:rPr>
          <w:rFonts w:ascii="Arial" w:hAnsi="Arial"/>
          <w:sz w:val="24"/>
        </w:rPr>
        <w:t xml:space="preserve">verte. Cependant, pour le sable dense </w:t>
      </w:r>
      <w:r w:rsidR="00887491">
        <w:rPr>
          <w:rFonts w:ascii="Arial" w:hAnsi="Arial"/>
          <w:sz w:val="24"/>
        </w:rPr>
        <w:t>l</w:t>
      </w:r>
      <w:r w:rsidR="008B223A">
        <w:rPr>
          <w:rFonts w:ascii="Arial" w:hAnsi="Arial"/>
          <w:sz w:val="24"/>
        </w:rPr>
        <w:t>e comport</w:t>
      </w:r>
      <w:r w:rsidR="00030197">
        <w:rPr>
          <w:rFonts w:ascii="Arial" w:hAnsi="Arial"/>
          <w:sz w:val="24"/>
        </w:rPr>
        <w:t>ement</w:t>
      </w:r>
      <w:r w:rsidR="00887491">
        <w:rPr>
          <w:rFonts w:ascii="Arial" w:hAnsi="Arial"/>
          <w:sz w:val="24"/>
        </w:rPr>
        <w:t>, identique</w:t>
      </w:r>
      <w:r w:rsidR="00030197">
        <w:rPr>
          <w:rFonts w:ascii="Arial" w:hAnsi="Arial"/>
          <w:sz w:val="24"/>
        </w:rPr>
        <w:t xml:space="preserve"> </w:t>
      </w:r>
      <w:r w:rsidR="00EB6546">
        <w:rPr>
          <w:rFonts w:ascii="Arial" w:hAnsi="Arial"/>
          <w:sz w:val="24"/>
        </w:rPr>
        <w:t>l</w:t>
      </w:r>
      <w:r w:rsidR="003760BA">
        <w:rPr>
          <w:rFonts w:ascii="Arial" w:hAnsi="Arial"/>
          <w:sz w:val="24"/>
        </w:rPr>
        <w:t>ors des premiers cycles, change</w:t>
      </w:r>
      <w:r w:rsidR="00030197">
        <w:rPr>
          <w:rFonts w:ascii="Arial" w:hAnsi="Arial"/>
          <w:sz w:val="24"/>
        </w:rPr>
        <w:t xml:space="preserve"> et un mouvement inverse</w:t>
      </w:r>
      <w:r w:rsidR="00EB6546">
        <w:rPr>
          <w:rFonts w:ascii="Arial" w:hAnsi="Arial"/>
          <w:sz w:val="24"/>
        </w:rPr>
        <w:t xml:space="preserve"> apparait lors de phase froide</w:t>
      </w:r>
      <w:r w:rsidR="00E90008">
        <w:rPr>
          <w:rFonts w:ascii="Arial" w:hAnsi="Arial"/>
          <w:sz w:val="24"/>
        </w:rPr>
        <w:t xml:space="preserve">. </w:t>
      </w:r>
      <w:r w:rsidR="004A01B1">
        <w:rPr>
          <w:rFonts w:ascii="Arial" w:hAnsi="Arial"/>
          <w:sz w:val="24"/>
        </w:rPr>
        <w:t>On peut interpréter ces mouvements comme des retours élastiques permis par la rigidité plus importante de l’interface avec le sable dense.</w:t>
      </w:r>
      <w:r w:rsidR="00EB6546">
        <w:rPr>
          <w:rFonts w:ascii="Arial" w:hAnsi="Arial"/>
          <w:sz w:val="24"/>
        </w:rPr>
        <w:t xml:space="preserve"> L’analyse de ces courbes indique qu’au moins une partie des mouvements de cisaillement sont </w:t>
      </w:r>
      <w:r w:rsidR="0068744F">
        <w:rPr>
          <w:rFonts w:ascii="Arial" w:hAnsi="Arial"/>
          <w:sz w:val="24"/>
        </w:rPr>
        <w:t>induits</w:t>
      </w:r>
      <w:r w:rsidR="00EB6546">
        <w:rPr>
          <w:rFonts w:ascii="Arial" w:hAnsi="Arial"/>
          <w:sz w:val="24"/>
        </w:rPr>
        <w:t xml:space="preserve"> par un effet de dilatation différentielle entre les deux </w:t>
      </w:r>
      <w:proofErr w:type="spellStart"/>
      <w:r w:rsidR="0068744F">
        <w:rPr>
          <w:rFonts w:ascii="Arial" w:hAnsi="Arial"/>
          <w:sz w:val="24"/>
        </w:rPr>
        <w:t>demi-boites</w:t>
      </w:r>
      <w:proofErr w:type="spellEnd"/>
      <w:r w:rsidR="00EB6546">
        <w:rPr>
          <w:rFonts w:ascii="Arial" w:hAnsi="Arial"/>
          <w:sz w:val="24"/>
        </w:rPr>
        <w:t>.</w:t>
      </w:r>
    </w:p>
    <w:p w:rsidR="004A01B1" w:rsidRDefault="004A01B1" w:rsidP="004A01B1">
      <w:pPr>
        <w:ind w:firstLine="284"/>
        <w:jc w:val="both"/>
      </w:pPr>
    </w:p>
    <w:p w:rsidR="0076078A" w:rsidRDefault="009033B0" w:rsidP="009033B0">
      <w:pPr>
        <w:ind w:firstLine="28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 wp14:anchorId="50CD11C4" wp14:editId="662F5C13">
            <wp:extent cx="5040000" cy="3025605"/>
            <wp:effectExtent l="0" t="0" r="825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2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3B0" w:rsidRDefault="009033B0" w:rsidP="009033B0"/>
    <w:p w:rsidR="009033B0" w:rsidRDefault="009033B0" w:rsidP="009033B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Figure 5 : Résultats des essais sur sable lâche (essai 1) et sable dense (essai 2)</w:t>
      </w:r>
    </w:p>
    <w:p w:rsidR="009033B0" w:rsidRDefault="009033B0" w:rsidP="009033B0">
      <w:pPr>
        <w:ind w:firstLine="28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41EC36DE" wp14:editId="1E01C70E">
            <wp:extent cx="5040000" cy="3025600"/>
            <wp:effectExtent l="0" t="0" r="8255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3B0" w:rsidRDefault="009033B0" w:rsidP="009033B0"/>
    <w:p w:rsidR="009033B0" w:rsidRDefault="009033B0" w:rsidP="009033B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Figure </w:t>
      </w:r>
      <w:r w:rsidR="00D50960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 : Résultats des essais sur </w:t>
      </w:r>
      <w:r w:rsidR="00D50960">
        <w:rPr>
          <w:rFonts w:ascii="Arial" w:hAnsi="Arial"/>
          <w:sz w:val="24"/>
        </w:rPr>
        <w:t>argile normalement consolidée</w:t>
      </w:r>
      <w:r>
        <w:rPr>
          <w:rFonts w:ascii="Arial" w:hAnsi="Arial"/>
          <w:sz w:val="24"/>
        </w:rPr>
        <w:t xml:space="preserve"> (essai </w:t>
      </w:r>
      <w:r w:rsidR="00D50960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) et </w:t>
      </w:r>
      <w:r w:rsidR="00D50960">
        <w:rPr>
          <w:rFonts w:ascii="Arial" w:hAnsi="Arial"/>
          <w:sz w:val="24"/>
        </w:rPr>
        <w:t xml:space="preserve">argile </w:t>
      </w:r>
      <w:proofErr w:type="spellStart"/>
      <w:r w:rsidR="009C7807">
        <w:rPr>
          <w:rFonts w:ascii="Arial" w:hAnsi="Arial"/>
          <w:sz w:val="24"/>
        </w:rPr>
        <w:t>sur</w:t>
      </w:r>
      <w:r w:rsidR="00D50960">
        <w:rPr>
          <w:rFonts w:ascii="Arial" w:hAnsi="Arial"/>
          <w:sz w:val="24"/>
        </w:rPr>
        <w:t>consolidée</w:t>
      </w:r>
      <w:proofErr w:type="spellEnd"/>
      <w:r>
        <w:rPr>
          <w:rFonts w:ascii="Arial" w:hAnsi="Arial"/>
          <w:sz w:val="24"/>
        </w:rPr>
        <w:t xml:space="preserve"> (essai </w:t>
      </w:r>
      <w:r w:rsidR="00D50960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)</w:t>
      </w:r>
    </w:p>
    <w:p w:rsidR="009033B0" w:rsidRDefault="009033B0" w:rsidP="009033B0"/>
    <w:p w:rsidR="0076078A" w:rsidRDefault="0076078A" w:rsidP="0076078A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</w:t>
      </w:r>
      <w:r w:rsidR="00CD31C4">
        <w:rPr>
          <w:rFonts w:ascii="Arial" w:hAnsi="Arial"/>
          <w:sz w:val="24"/>
        </w:rPr>
        <w:t xml:space="preserve">Figures </w:t>
      </w:r>
      <w:r>
        <w:rPr>
          <w:rFonts w:ascii="Arial" w:hAnsi="Arial"/>
          <w:sz w:val="24"/>
        </w:rPr>
        <w:t xml:space="preserve">5 et 6 présentent respectivement les résultats issus des essais sur le sable et </w:t>
      </w:r>
      <w:r w:rsidR="003A7CF3">
        <w:rPr>
          <w:rFonts w:ascii="Arial" w:hAnsi="Arial"/>
          <w:sz w:val="24"/>
        </w:rPr>
        <w:t xml:space="preserve">sur l’argile verte. Pour chaque </w:t>
      </w:r>
      <w:r w:rsidR="003444A4">
        <w:rPr>
          <w:rFonts w:ascii="Arial" w:hAnsi="Arial"/>
          <w:sz w:val="24"/>
        </w:rPr>
        <w:t>essai</w:t>
      </w:r>
      <w:r w:rsidR="003A7CF3">
        <w:rPr>
          <w:rFonts w:ascii="Arial" w:hAnsi="Arial"/>
          <w:sz w:val="24"/>
        </w:rPr>
        <w:t>,</w:t>
      </w:r>
      <w:r w:rsidR="003444A4">
        <w:rPr>
          <w:rFonts w:ascii="Arial" w:hAnsi="Arial"/>
          <w:sz w:val="24"/>
        </w:rPr>
        <w:t xml:space="preserve"> </w:t>
      </w:r>
      <w:r w:rsidR="00D961F5">
        <w:rPr>
          <w:rFonts w:ascii="Arial" w:hAnsi="Arial"/>
          <w:sz w:val="24"/>
        </w:rPr>
        <w:t xml:space="preserve">le graphique présente </w:t>
      </w:r>
      <w:r w:rsidR="00567D82">
        <w:rPr>
          <w:rFonts w:ascii="Arial" w:hAnsi="Arial"/>
          <w:sz w:val="24"/>
        </w:rPr>
        <w:t xml:space="preserve">le déplacement </w:t>
      </w:r>
      <w:r w:rsidR="00D7209A">
        <w:rPr>
          <w:rFonts w:ascii="Arial" w:hAnsi="Arial"/>
          <w:sz w:val="24"/>
        </w:rPr>
        <w:t xml:space="preserve">horizontal moyen de la </w:t>
      </w:r>
      <w:proofErr w:type="spellStart"/>
      <w:r w:rsidR="00D7209A">
        <w:rPr>
          <w:rFonts w:ascii="Arial" w:hAnsi="Arial"/>
          <w:sz w:val="24"/>
        </w:rPr>
        <w:t>demi</w:t>
      </w:r>
      <w:r w:rsidR="00D34EE2">
        <w:rPr>
          <w:rFonts w:ascii="Arial" w:hAnsi="Arial"/>
          <w:sz w:val="24"/>
        </w:rPr>
        <w:t>-boite</w:t>
      </w:r>
      <w:proofErr w:type="spellEnd"/>
      <w:r w:rsidR="00D7209A">
        <w:rPr>
          <w:rFonts w:ascii="Arial" w:hAnsi="Arial"/>
          <w:sz w:val="24"/>
        </w:rPr>
        <w:t xml:space="preserve"> inférieure</w:t>
      </w:r>
      <w:r w:rsidR="00F13E05">
        <w:rPr>
          <w:rFonts w:ascii="Arial" w:hAnsi="Arial"/>
          <w:sz w:val="24"/>
        </w:rPr>
        <w:t xml:space="preserve"> et le déplacement vertical mesuré. Quel que soit le sol </w:t>
      </w:r>
      <w:r w:rsidR="009C7807">
        <w:rPr>
          <w:rFonts w:ascii="Arial" w:hAnsi="Arial"/>
          <w:sz w:val="24"/>
        </w:rPr>
        <w:t>étudié,</w:t>
      </w:r>
      <w:r w:rsidR="00F13E05">
        <w:rPr>
          <w:rFonts w:ascii="Arial" w:hAnsi="Arial"/>
          <w:sz w:val="24"/>
        </w:rPr>
        <w:t xml:space="preserve"> le comportement observé par le déplacement vertical correspond à une contraction du sol</w:t>
      </w:r>
      <w:r w:rsidR="00D7209A">
        <w:rPr>
          <w:rFonts w:ascii="Arial" w:hAnsi="Arial"/>
          <w:sz w:val="24"/>
        </w:rPr>
        <w:t>. Pour chacun des essais</w:t>
      </w:r>
      <w:r w:rsidR="009C7807">
        <w:rPr>
          <w:rFonts w:ascii="Arial" w:hAnsi="Arial"/>
          <w:sz w:val="24"/>
        </w:rPr>
        <w:t>, o</w:t>
      </w:r>
      <w:r w:rsidR="00D7209A">
        <w:rPr>
          <w:rFonts w:ascii="Arial" w:hAnsi="Arial"/>
          <w:sz w:val="24"/>
        </w:rPr>
        <w:t>n constate que le comporte</w:t>
      </w:r>
      <w:r w:rsidR="009C7807">
        <w:rPr>
          <w:rFonts w:ascii="Arial" w:hAnsi="Arial"/>
          <w:sz w:val="24"/>
        </w:rPr>
        <w:t>men</w:t>
      </w:r>
      <w:r w:rsidR="00D7209A">
        <w:rPr>
          <w:rFonts w:ascii="Arial" w:hAnsi="Arial"/>
          <w:sz w:val="24"/>
        </w:rPr>
        <w:t>t mesur</w:t>
      </w:r>
      <w:r w:rsidR="009C7807">
        <w:rPr>
          <w:rFonts w:ascii="Arial" w:hAnsi="Arial"/>
          <w:sz w:val="24"/>
        </w:rPr>
        <w:t>é</w:t>
      </w:r>
      <w:r w:rsidR="00D7209A">
        <w:rPr>
          <w:rFonts w:ascii="Arial" w:hAnsi="Arial"/>
          <w:sz w:val="24"/>
        </w:rPr>
        <w:t xml:space="preserve"> peut être décomposé en deux </w:t>
      </w:r>
      <w:r w:rsidR="009C7807">
        <w:rPr>
          <w:rFonts w:ascii="Arial" w:hAnsi="Arial"/>
          <w:sz w:val="24"/>
        </w:rPr>
        <w:t>phases</w:t>
      </w:r>
      <w:r w:rsidR="00D7209A">
        <w:rPr>
          <w:rFonts w:ascii="Arial" w:hAnsi="Arial"/>
          <w:sz w:val="24"/>
        </w:rPr>
        <w:t>. Une première phase</w:t>
      </w:r>
      <w:r w:rsidR="009C7807">
        <w:rPr>
          <w:rFonts w:ascii="Arial" w:hAnsi="Arial"/>
          <w:sz w:val="24"/>
        </w:rPr>
        <w:t xml:space="preserve"> transitoire </w:t>
      </w:r>
      <w:r w:rsidR="00F13E05">
        <w:rPr>
          <w:rFonts w:ascii="Arial" w:hAnsi="Arial"/>
          <w:sz w:val="24"/>
        </w:rPr>
        <w:t xml:space="preserve">d’évolution progressive </w:t>
      </w:r>
      <w:r w:rsidR="009C7807">
        <w:rPr>
          <w:rFonts w:ascii="Arial" w:hAnsi="Arial"/>
          <w:sz w:val="24"/>
        </w:rPr>
        <w:t>du</w:t>
      </w:r>
      <w:r w:rsidR="00F13E05">
        <w:rPr>
          <w:rFonts w:ascii="Arial" w:hAnsi="Arial"/>
          <w:sz w:val="24"/>
        </w:rPr>
        <w:t xml:space="preserve"> comportement, puis une seconde phase o</w:t>
      </w:r>
      <w:r w:rsidR="009C7807">
        <w:rPr>
          <w:rFonts w:ascii="Arial" w:hAnsi="Arial"/>
          <w:sz w:val="24"/>
        </w:rPr>
        <w:t>ù</w:t>
      </w:r>
      <w:r w:rsidR="00F13E05">
        <w:rPr>
          <w:rFonts w:ascii="Arial" w:hAnsi="Arial"/>
          <w:sz w:val="24"/>
        </w:rPr>
        <w:t xml:space="preserve"> le comporte</w:t>
      </w:r>
      <w:r w:rsidR="009C7807">
        <w:rPr>
          <w:rFonts w:ascii="Arial" w:hAnsi="Arial"/>
          <w:sz w:val="24"/>
        </w:rPr>
        <w:t>men</w:t>
      </w:r>
      <w:r w:rsidR="00F13E05">
        <w:rPr>
          <w:rFonts w:ascii="Arial" w:hAnsi="Arial"/>
          <w:sz w:val="24"/>
        </w:rPr>
        <w:t xml:space="preserve">t se </w:t>
      </w:r>
      <w:r w:rsidR="009C7807">
        <w:rPr>
          <w:rFonts w:ascii="Arial" w:hAnsi="Arial"/>
          <w:sz w:val="24"/>
        </w:rPr>
        <w:t>stabilise</w:t>
      </w:r>
      <w:r w:rsidR="00F13E05">
        <w:rPr>
          <w:rFonts w:ascii="Arial" w:hAnsi="Arial"/>
          <w:sz w:val="24"/>
        </w:rPr>
        <w:t xml:space="preserve"> vers une évolution quasi linéaire des déplacements. Aussi la projection linéaire des courbes de déplacement sur leur</w:t>
      </w:r>
      <w:r w:rsidR="009C7807">
        <w:rPr>
          <w:rFonts w:ascii="Arial" w:hAnsi="Arial"/>
          <w:sz w:val="24"/>
        </w:rPr>
        <w:t>s parties</w:t>
      </w:r>
      <w:r w:rsidR="00F13E05">
        <w:rPr>
          <w:rFonts w:ascii="Arial" w:hAnsi="Arial"/>
          <w:sz w:val="24"/>
        </w:rPr>
        <w:t xml:space="preserve"> </w:t>
      </w:r>
      <w:r w:rsidR="009C7807">
        <w:rPr>
          <w:rFonts w:ascii="Arial" w:hAnsi="Arial"/>
          <w:sz w:val="24"/>
        </w:rPr>
        <w:t xml:space="preserve">stabilisées </w:t>
      </w:r>
      <w:r w:rsidR="00F13E05">
        <w:rPr>
          <w:rFonts w:ascii="Arial" w:hAnsi="Arial"/>
          <w:sz w:val="24"/>
        </w:rPr>
        <w:t xml:space="preserve">est </w:t>
      </w:r>
      <w:r w:rsidR="00DA54F6">
        <w:rPr>
          <w:rFonts w:ascii="Arial" w:hAnsi="Arial"/>
          <w:sz w:val="24"/>
        </w:rPr>
        <w:t>tracée</w:t>
      </w:r>
      <w:r w:rsidR="00F13E05">
        <w:rPr>
          <w:rFonts w:ascii="Arial" w:hAnsi="Arial"/>
          <w:sz w:val="24"/>
        </w:rPr>
        <w:t xml:space="preserve"> sur les graphiques.</w:t>
      </w:r>
      <w:r w:rsidR="009033B0">
        <w:rPr>
          <w:rFonts w:ascii="Arial" w:hAnsi="Arial"/>
          <w:sz w:val="24"/>
        </w:rPr>
        <w:t xml:space="preserve"> Les rythmes de déplacement ainsi </w:t>
      </w:r>
      <w:r w:rsidR="009C7807">
        <w:rPr>
          <w:rFonts w:ascii="Arial" w:hAnsi="Arial"/>
          <w:sz w:val="24"/>
        </w:rPr>
        <w:t>mesurés</w:t>
      </w:r>
      <w:r w:rsidR="009033B0">
        <w:rPr>
          <w:rFonts w:ascii="Arial" w:hAnsi="Arial"/>
          <w:sz w:val="24"/>
        </w:rPr>
        <w:t xml:space="preserve"> sont </w:t>
      </w:r>
      <w:r w:rsidR="009C7807">
        <w:rPr>
          <w:rFonts w:ascii="Arial" w:hAnsi="Arial"/>
          <w:sz w:val="24"/>
        </w:rPr>
        <w:t>reportés</w:t>
      </w:r>
      <w:r w:rsidR="009033B0">
        <w:rPr>
          <w:rFonts w:ascii="Arial" w:hAnsi="Arial"/>
          <w:sz w:val="24"/>
        </w:rPr>
        <w:t xml:space="preserve"> dans le tableau 2.</w:t>
      </w:r>
    </w:p>
    <w:p w:rsidR="00A41EB9" w:rsidRDefault="00A41EB9" w:rsidP="009033B0"/>
    <w:p w:rsidR="00CD27AD" w:rsidRDefault="00CD27AD" w:rsidP="009033B0"/>
    <w:p w:rsidR="009033B0" w:rsidRPr="00CF0F08" w:rsidRDefault="009033B0" w:rsidP="009033B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Tableau 2 : Paramètres des essais</w:t>
      </w:r>
    </w:p>
    <w:tbl>
      <w:tblPr>
        <w:tblStyle w:val="Grilledutableau"/>
        <w:tblW w:w="9752" w:type="dxa"/>
        <w:jc w:val="center"/>
        <w:tblLook w:val="04A0" w:firstRow="1" w:lastRow="0" w:firstColumn="1" w:lastColumn="0" w:noHBand="0" w:noVBand="1"/>
      </w:tblPr>
      <w:tblGrid>
        <w:gridCol w:w="1928"/>
        <w:gridCol w:w="1413"/>
        <w:gridCol w:w="1730"/>
        <w:gridCol w:w="1413"/>
        <w:gridCol w:w="1730"/>
        <w:gridCol w:w="1538"/>
      </w:tblGrid>
      <w:tr w:rsidR="00D50960" w:rsidTr="00CD27AD">
        <w:trPr>
          <w:trHeight w:val="340"/>
          <w:jc w:val="center"/>
        </w:trPr>
        <w:tc>
          <w:tcPr>
            <w:tcW w:w="1928" w:type="dxa"/>
            <w:vAlign w:val="center"/>
          </w:tcPr>
          <w:p w:rsidR="00D50960" w:rsidRPr="00CF0F08" w:rsidRDefault="0047452E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Sol</w:t>
            </w:r>
          </w:p>
        </w:tc>
        <w:tc>
          <w:tcPr>
            <w:tcW w:w="3143" w:type="dxa"/>
            <w:gridSpan w:val="2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Déplacement horizontal</w:t>
            </w:r>
          </w:p>
        </w:tc>
        <w:tc>
          <w:tcPr>
            <w:tcW w:w="3143" w:type="dxa"/>
            <w:gridSpan w:val="2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Déplacement vertical</w:t>
            </w:r>
          </w:p>
        </w:tc>
        <w:tc>
          <w:tcPr>
            <w:tcW w:w="1538" w:type="dxa"/>
            <w:vAlign w:val="center"/>
          </w:tcPr>
          <w:p w:rsidR="00D50960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Ratio V/H</w:t>
            </w:r>
          </w:p>
        </w:tc>
      </w:tr>
      <w:tr w:rsidR="00D50960" w:rsidRPr="00CF0F08" w:rsidTr="00CD27AD">
        <w:trPr>
          <w:trHeight w:val="340"/>
          <w:jc w:val="center"/>
        </w:trPr>
        <w:tc>
          <w:tcPr>
            <w:tcW w:w="1928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Sable lâche</w:t>
            </w:r>
          </w:p>
        </w:tc>
        <w:tc>
          <w:tcPr>
            <w:tcW w:w="1413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0.0596 mm/j</w:t>
            </w:r>
          </w:p>
        </w:tc>
        <w:tc>
          <w:tcPr>
            <w:tcW w:w="1730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0.0186 mm/cycle</w:t>
            </w:r>
          </w:p>
        </w:tc>
        <w:tc>
          <w:tcPr>
            <w:tcW w:w="1413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0.0254 mm/j</w:t>
            </w:r>
          </w:p>
        </w:tc>
        <w:tc>
          <w:tcPr>
            <w:tcW w:w="1730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0.0794 mm/cycle</w:t>
            </w:r>
          </w:p>
        </w:tc>
        <w:tc>
          <w:tcPr>
            <w:tcW w:w="1538" w:type="dxa"/>
            <w:vAlign w:val="center"/>
          </w:tcPr>
          <w:p w:rsidR="00D50960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0.426</w:t>
            </w:r>
          </w:p>
        </w:tc>
      </w:tr>
      <w:tr w:rsidR="00D50960" w:rsidTr="00CD27AD">
        <w:trPr>
          <w:trHeight w:val="340"/>
          <w:jc w:val="center"/>
        </w:trPr>
        <w:tc>
          <w:tcPr>
            <w:tcW w:w="1928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Sable dense</w:t>
            </w:r>
          </w:p>
        </w:tc>
        <w:tc>
          <w:tcPr>
            <w:tcW w:w="1413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0.0348 mm/j</w:t>
            </w:r>
          </w:p>
        </w:tc>
        <w:tc>
          <w:tcPr>
            <w:tcW w:w="1730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0.0109 mm/cycle</w:t>
            </w:r>
          </w:p>
        </w:tc>
        <w:tc>
          <w:tcPr>
            <w:tcW w:w="1413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0.0156 mm/j</w:t>
            </w:r>
          </w:p>
        </w:tc>
        <w:tc>
          <w:tcPr>
            <w:tcW w:w="1730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0.049 mm/cycle</w:t>
            </w:r>
          </w:p>
        </w:tc>
        <w:tc>
          <w:tcPr>
            <w:tcW w:w="1538" w:type="dxa"/>
            <w:vAlign w:val="center"/>
          </w:tcPr>
          <w:p w:rsidR="00D50960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0.448</w:t>
            </w:r>
          </w:p>
        </w:tc>
      </w:tr>
      <w:tr w:rsidR="00D50960" w:rsidTr="00CD27AD">
        <w:trPr>
          <w:trHeight w:val="340"/>
          <w:jc w:val="center"/>
        </w:trPr>
        <w:tc>
          <w:tcPr>
            <w:tcW w:w="1928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Argile </w:t>
            </w:r>
            <w:r w:rsidR="0047452E">
              <w:rPr>
                <w:rFonts w:ascii="Arial" w:hAnsi="Arial"/>
              </w:rPr>
              <w:t>NC</w:t>
            </w:r>
          </w:p>
        </w:tc>
        <w:tc>
          <w:tcPr>
            <w:tcW w:w="1413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0.0439 mm/j</w:t>
            </w:r>
          </w:p>
        </w:tc>
        <w:tc>
          <w:tcPr>
            <w:tcW w:w="1730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0.137 mm/cycle</w:t>
            </w:r>
          </w:p>
        </w:tc>
        <w:tc>
          <w:tcPr>
            <w:tcW w:w="1413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0.0571 mm/j</w:t>
            </w:r>
          </w:p>
        </w:tc>
        <w:tc>
          <w:tcPr>
            <w:tcW w:w="1730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0.0178 mm/cycle</w:t>
            </w:r>
          </w:p>
        </w:tc>
        <w:tc>
          <w:tcPr>
            <w:tcW w:w="1538" w:type="dxa"/>
            <w:vAlign w:val="center"/>
          </w:tcPr>
          <w:p w:rsidR="00D50960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1.300</w:t>
            </w:r>
          </w:p>
        </w:tc>
      </w:tr>
      <w:tr w:rsidR="00D50960" w:rsidTr="00CD27AD">
        <w:trPr>
          <w:trHeight w:val="340"/>
          <w:jc w:val="center"/>
        </w:trPr>
        <w:tc>
          <w:tcPr>
            <w:tcW w:w="1928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Argile </w:t>
            </w:r>
            <w:r w:rsidR="0047452E">
              <w:rPr>
                <w:rFonts w:ascii="Arial" w:hAnsi="Arial"/>
              </w:rPr>
              <w:t>OC</w:t>
            </w:r>
          </w:p>
        </w:tc>
        <w:tc>
          <w:tcPr>
            <w:tcW w:w="1413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0.0286 mm/j</w:t>
            </w:r>
          </w:p>
        </w:tc>
        <w:tc>
          <w:tcPr>
            <w:tcW w:w="1730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0.0089 mm/cycle</w:t>
            </w:r>
          </w:p>
        </w:tc>
        <w:tc>
          <w:tcPr>
            <w:tcW w:w="1413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0.0310 mm/j</w:t>
            </w:r>
          </w:p>
        </w:tc>
        <w:tc>
          <w:tcPr>
            <w:tcW w:w="1730" w:type="dxa"/>
            <w:vAlign w:val="center"/>
          </w:tcPr>
          <w:p w:rsidR="00D50960" w:rsidRPr="00CF0F08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0.0097 mm/cycle</w:t>
            </w:r>
          </w:p>
        </w:tc>
        <w:tc>
          <w:tcPr>
            <w:tcW w:w="1538" w:type="dxa"/>
            <w:vAlign w:val="center"/>
          </w:tcPr>
          <w:p w:rsidR="00D50960" w:rsidRDefault="00D50960" w:rsidP="00CD2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1.084</w:t>
            </w:r>
          </w:p>
        </w:tc>
      </w:tr>
    </w:tbl>
    <w:p w:rsidR="009033B0" w:rsidRDefault="009033B0" w:rsidP="002460AC"/>
    <w:p w:rsidR="0062503D" w:rsidRDefault="00DA54F6" w:rsidP="004A01B1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comparaison des essais sur le sable lâche et sable dense montre </w:t>
      </w:r>
      <w:r w:rsidR="00CD27AD">
        <w:rPr>
          <w:rFonts w:ascii="Arial" w:hAnsi="Arial"/>
          <w:sz w:val="24"/>
        </w:rPr>
        <w:t>des comportements quasi identiques sur les premiers cycles. L’amplitude des déplacements augmente ensuite plus rapidement dans le cas du</w:t>
      </w:r>
      <w:r>
        <w:rPr>
          <w:rFonts w:ascii="Arial" w:hAnsi="Arial"/>
          <w:sz w:val="24"/>
        </w:rPr>
        <w:t xml:space="preserve"> sable lâche. </w:t>
      </w:r>
      <w:r w:rsidR="005A1F16">
        <w:rPr>
          <w:rFonts w:ascii="Arial" w:hAnsi="Arial"/>
          <w:sz w:val="24"/>
        </w:rPr>
        <w:t xml:space="preserve">Dans la partie stabilisée de la courbe, </w:t>
      </w:r>
      <w:r>
        <w:rPr>
          <w:rFonts w:ascii="Arial" w:hAnsi="Arial"/>
          <w:sz w:val="24"/>
        </w:rPr>
        <w:t>le rythme des déplacement</w:t>
      </w:r>
      <w:r w:rsidR="009033B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horizontaux </w:t>
      </w:r>
      <w:r w:rsidR="0047452E">
        <w:rPr>
          <w:rFonts w:ascii="Arial" w:hAnsi="Arial"/>
          <w:sz w:val="24"/>
        </w:rPr>
        <w:t>est</w:t>
      </w:r>
      <w:r>
        <w:rPr>
          <w:rFonts w:ascii="Arial" w:hAnsi="Arial"/>
          <w:sz w:val="24"/>
        </w:rPr>
        <w:t xml:space="preserve"> </w:t>
      </w:r>
      <w:r w:rsidR="004A01B1">
        <w:rPr>
          <w:rFonts w:ascii="Arial" w:hAnsi="Arial"/>
          <w:sz w:val="24"/>
        </w:rPr>
        <w:t xml:space="preserve">70% plus lent pour le sable dense que pour le sable lâche. </w:t>
      </w:r>
      <w:r w:rsidR="00A41EB9">
        <w:rPr>
          <w:rFonts w:ascii="Arial" w:hAnsi="Arial"/>
          <w:sz w:val="24"/>
        </w:rPr>
        <w:t xml:space="preserve">Cependant, le ratio entre déplacement vertical et </w:t>
      </w:r>
      <w:r w:rsidR="009C7807">
        <w:rPr>
          <w:rFonts w:ascii="Arial" w:hAnsi="Arial"/>
          <w:sz w:val="24"/>
        </w:rPr>
        <w:t>horizontal</w:t>
      </w:r>
      <w:r w:rsidR="00A41EB9">
        <w:rPr>
          <w:rFonts w:ascii="Arial" w:hAnsi="Arial"/>
          <w:sz w:val="24"/>
        </w:rPr>
        <w:t xml:space="preserve"> montre</w:t>
      </w:r>
      <w:r w:rsidR="009C7807">
        <w:rPr>
          <w:rFonts w:ascii="Arial" w:hAnsi="Arial"/>
          <w:sz w:val="24"/>
        </w:rPr>
        <w:t xml:space="preserve"> qu’u</w:t>
      </w:r>
      <w:r w:rsidR="00A41EB9">
        <w:rPr>
          <w:rFonts w:ascii="Arial" w:hAnsi="Arial"/>
          <w:sz w:val="24"/>
        </w:rPr>
        <w:t>n comportement quasiment identique se manifeste</w:t>
      </w:r>
      <w:r w:rsidR="009C7807">
        <w:rPr>
          <w:rFonts w:ascii="Arial" w:hAnsi="Arial"/>
          <w:sz w:val="24"/>
        </w:rPr>
        <w:t xml:space="preserve">. </w:t>
      </w:r>
      <w:r w:rsidR="005A1F16">
        <w:rPr>
          <w:rFonts w:ascii="Arial" w:hAnsi="Arial"/>
          <w:sz w:val="24"/>
        </w:rPr>
        <w:t>Le comportement des deux interfaces</w:t>
      </w:r>
      <w:r w:rsidR="009C7807">
        <w:rPr>
          <w:rFonts w:ascii="Arial" w:hAnsi="Arial"/>
          <w:sz w:val="24"/>
        </w:rPr>
        <w:t xml:space="preserve"> </w:t>
      </w:r>
      <w:r w:rsidR="005A1F16">
        <w:rPr>
          <w:rFonts w:ascii="Arial" w:hAnsi="Arial"/>
          <w:sz w:val="24"/>
        </w:rPr>
        <w:t>diffère</w:t>
      </w:r>
      <w:r w:rsidR="009C7807">
        <w:rPr>
          <w:rFonts w:ascii="Arial" w:hAnsi="Arial"/>
          <w:sz w:val="24"/>
        </w:rPr>
        <w:t xml:space="preserve"> </w:t>
      </w:r>
      <w:r w:rsidR="00A41EB9">
        <w:rPr>
          <w:rFonts w:ascii="Arial" w:hAnsi="Arial"/>
          <w:sz w:val="24"/>
        </w:rPr>
        <w:t xml:space="preserve">simplement </w:t>
      </w:r>
      <w:r w:rsidR="009C7807">
        <w:rPr>
          <w:rFonts w:ascii="Arial" w:hAnsi="Arial"/>
          <w:sz w:val="24"/>
        </w:rPr>
        <w:t xml:space="preserve">par </w:t>
      </w:r>
      <w:r w:rsidR="005A1F16">
        <w:rPr>
          <w:rFonts w:ascii="Arial" w:hAnsi="Arial"/>
          <w:sz w:val="24"/>
        </w:rPr>
        <w:t xml:space="preserve">l’amplitude des déplacements qui peut être </w:t>
      </w:r>
      <w:r w:rsidR="0068744F">
        <w:rPr>
          <w:rFonts w:ascii="Arial" w:hAnsi="Arial"/>
          <w:sz w:val="24"/>
        </w:rPr>
        <w:t>liée</w:t>
      </w:r>
      <w:r w:rsidR="00A41EB9">
        <w:rPr>
          <w:rFonts w:ascii="Arial" w:hAnsi="Arial"/>
          <w:sz w:val="24"/>
        </w:rPr>
        <w:t xml:space="preserve"> à une plus grande rigidité de l’interface dans le cas du sable dense.</w:t>
      </w:r>
      <w:r w:rsidR="00620FE4">
        <w:rPr>
          <w:rFonts w:ascii="Arial" w:hAnsi="Arial"/>
          <w:sz w:val="24"/>
        </w:rPr>
        <w:t xml:space="preserve"> </w:t>
      </w:r>
    </w:p>
    <w:p w:rsidR="002460AC" w:rsidRDefault="00620FE4" w:rsidP="002460AC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Dans le cas des essais sur l’argile verte, on observe des comportements très différents des essais sur les sables. En particulier</w:t>
      </w:r>
      <w:r w:rsidR="009C7807">
        <w:rPr>
          <w:rFonts w:ascii="Arial" w:hAnsi="Arial"/>
          <w:sz w:val="24"/>
        </w:rPr>
        <w:t xml:space="preserve">, </w:t>
      </w:r>
      <w:r w:rsidR="001972E3">
        <w:rPr>
          <w:rFonts w:ascii="Arial" w:hAnsi="Arial"/>
          <w:sz w:val="24"/>
        </w:rPr>
        <w:t>la différence entre les phases</w:t>
      </w:r>
      <w:r>
        <w:rPr>
          <w:rFonts w:ascii="Arial" w:hAnsi="Arial"/>
          <w:sz w:val="24"/>
        </w:rPr>
        <w:t xml:space="preserve"> de comportement </w:t>
      </w:r>
      <w:r w:rsidR="009C7807">
        <w:rPr>
          <w:rFonts w:ascii="Arial" w:hAnsi="Arial"/>
          <w:sz w:val="24"/>
        </w:rPr>
        <w:t xml:space="preserve">transitoire </w:t>
      </w:r>
      <w:r>
        <w:rPr>
          <w:rFonts w:ascii="Arial" w:hAnsi="Arial"/>
          <w:sz w:val="24"/>
        </w:rPr>
        <w:t xml:space="preserve">et de comportement </w:t>
      </w:r>
      <w:r w:rsidR="009C7807">
        <w:rPr>
          <w:rFonts w:ascii="Arial" w:hAnsi="Arial"/>
          <w:sz w:val="24"/>
        </w:rPr>
        <w:t>stabilisé</w:t>
      </w:r>
      <w:r w:rsidR="001972E3">
        <w:rPr>
          <w:rFonts w:ascii="Arial" w:hAnsi="Arial"/>
          <w:sz w:val="24"/>
        </w:rPr>
        <w:t xml:space="preserve"> est plus marquée</w:t>
      </w:r>
      <w:r>
        <w:rPr>
          <w:rFonts w:ascii="Arial" w:hAnsi="Arial"/>
          <w:sz w:val="24"/>
        </w:rPr>
        <w:t>.</w:t>
      </w:r>
      <w:r w:rsidR="001972E3">
        <w:rPr>
          <w:rFonts w:ascii="Arial" w:hAnsi="Arial"/>
          <w:sz w:val="24"/>
        </w:rPr>
        <w:t xml:space="preserve"> De même, à la différence des essais </w:t>
      </w:r>
      <w:r w:rsidR="005A1F16">
        <w:rPr>
          <w:rFonts w:ascii="Arial" w:hAnsi="Arial"/>
          <w:sz w:val="24"/>
        </w:rPr>
        <w:t>avec</w:t>
      </w:r>
      <w:r w:rsidR="001972E3">
        <w:rPr>
          <w:rFonts w:ascii="Arial" w:hAnsi="Arial"/>
          <w:sz w:val="24"/>
        </w:rPr>
        <w:t xml:space="preserve"> le sable</w:t>
      </w:r>
      <w:r w:rsidR="005A1F16">
        <w:rPr>
          <w:rFonts w:ascii="Arial" w:hAnsi="Arial"/>
          <w:sz w:val="24"/>
        </w:rPr>
        <w:t>,</w:t>
      </w:r>
      <w:r w:rsidR="001972E3">
        <w:rPr>
          <w:rFonts w:ascii="Arial" w:hAnsi="Arial"/>
          <w:sz w:val="24"/>
        </w:rPr>
        <w:t xml:space="preserve"> </w:t>
      </w:r>
      <w:r w:rsidR="005A1F16">
        <w:rPr>
          <w:rFonts w:ascii="Arial" w:hAnsi="Arial"/>
          <w:sz w:val="24"/>
        </w:rPr>
        <w:t xml:space="preserve">pour chaque essai </w:t>
      </w:r>
      <w:r w:rsidR="001972E3">
        <w:rPr>
          <w:rFonts w:ascii="Arial" w:hAnsi="Arial"/>
          <w:sz w:val="24"/>
        </w:rPr>
        <w:t xml:space="preserve">les </w:t>
      </w:r>
      <w:r w:rsidR="009C7807">
        <w:rPr>
          <w:rFonts w:ascii="Arial" w:hAnsi="Arial"/>
          <w:sz w:val="24"/>
        </w:rPr>
        <w:t>amplitudes</w:t>
      </w:r>
      <w:r w:rsidR="001972E3">
        <w:rPr>
          <w:rFonts w:ascii="Arial" w:hAnsi="Arial"/>
          <w:sz w:val="24"/>
        </w:rPr>
        <w:t xml:space="preserve"> de déplacement </w:t>
      </w:r>
      <w:r w:rsidR="009C7807">
        <w:rPr>
          <w:rFonts w:ascii="Arial" w:hAnsi="Arial"/>
          <w:sz w:val="24"/>
        </w:rPr>
        <w:t>horizontal</w:t>
      </w:r>
      <w:r w:rsidR="001972E3">
        <w:rPr>
          <w:rFonts w:ascii="Arial" w:hAnsi="Arial"/>
          <w:sz w:val="24"/>
        </w:rPr>
        <w:t xml:space="preserve"> et </w:t>
      </w:r>
      <w:r w:rsidR="009C7807">
        <w:rPr>
          <w:rFonts w:ascii="Arial" w:hAnsi="Arial"/>
          <w:sz w:val="24"/>
        </w:rPr>
        <w:t>vertical</w:t>
      </w:r>
      <w:r w:rsidR="001972E3">
        <w:rPr>
          <w:rFonts w:ascii="Arial" w:hAnsi="Arial"/>
          <w:sz w:val="24"/>
        </w:rPr>
        <w:t xml:space="preserve"> sont très </w:t>
      </w:r>
      <w:r w:rsidR="009C7807">
        <w:rPr>
          <w:rFonts w:ascii="Arial" w:hAnsi="Arial"/>
          <w:sz w:val="24"/>
        </w:rPr>
        <w:t>proches</w:t>
      </w:r>
      <w:r w:rsidR="001972E3">
        <w:rPr>
          <w:rFonts w:ascii="Arial" w:hAnsi="Arial"/>
          <w:sz w:val="24"/>
        </w:rPr>
        <w:t>. La comparaison des essais 3 et 4</w:t>
      </w:r>
      <w:r w:rsidR="0068744F">
        <w:rPr>
          <w:rFonts w:ascii="Arial" w:hAnsi="Arial"/>
          <w:sz w:val="24"/>
        </w:rPr>
        <w:t xml:space="preserve">, </w:t>
      </w:r>
      <w:r w:rsidR="001972E3">
        <w:rPr>
          <w:rFonts w:ascii="Arial" w:hAnsi="Arial"/>
          <w:sz w:val="24"/>
        </w:rPr>
        <w:t xml:space="preserve">avec l’argile normalement consolidée et </w:t>
      </w:r>
      <w:proofErr w:type="spellStart"/>
      <w:r w:rsidR="009C7807">
        <w:rPr>
          <w:rFonts w:ascii="Arial" w:hAnsi="Arial"/>
          <w:sz w:val="24"/>
        </w:rPr>
        <w:t>surconsolidée</w:t>
      </w:r>
      <w:proofErr w:type="spellEnd"/>
      <w:r w:rsidR="0068744F">
        <w:rPr>
          <w:rFonts w:ascii="Arial" w:hAnsi="Arial"/>
          <w:sz w:val="24"/>
        </w:rPr>
        <w:t xml:space="preserve">, </w:t>
      </w:r>
      <w:r w:rsidR="001972E3">
        <w:rPr>
          <w:rFonts w:ascii="Arial" w:hAnsi="Arial"/>
          <w:sz w:val="24"/>
        </w:rPr>
        <w:t xml:space="preserve">montre à nouveau logiquement que les déplacements subis dans le cas de l’essai 3 sont </w:t>
      </w:r>
      <w:r w:rsidR="005A1F16">
        <w:rPr>
          <w:rFonts w:ascii="Arial" w:hAnsi="Arial"/>
          <w:sz w:val="24"/>
        </w:rPr>
        <w:t xml:space="preserve">plus </w:t>
      </w:r>
      <w:r w:rsidR="0068744F">
        <w:rPr>
          <w:rFonts w:ascii="Arial" w:hAnsi="Arial"/>
          <w:sz w:val="24"/>
        </w:rPr>
        <w:t>importants</w:t>
      </w:r>
      <w:r w:rsidR="005A1F16">
        <w:rPr>
          <w:rFonts w:ascii="Arial" w:hAnsi="Arial"/>
          <w:sz w:val="24"/>
        </w:rPr>
        <w:t xml:space="preserve"> et plus </w:t>
      </w:r>
      <w:r w:rsidR="001972E3">
        <w:rPr>
          <w:rFonts w:ascii="Arial" w:hAnsi="Arial"/>
          <w:sz w:val="24"/>
        </w:rPr>
        <w:t>rapides</w:t>
      </w:r>
      <w:r w:rsidR="005A1F16">
        <w:rPr>
          <w:rFonts w:ascii="Arial" w:hAnsi="Arial"/>
          <w:sz w:val="24"/>
        </w:rPr>
        <w:t xml:space="preserve"> dans la partie du comportement stabilisée et </w:t>
      </w:r>
      <w:r w:rsidR="001972E3">
        <w:rPr>
          <w:rFonts w:ascii="Arial" w:hAnsi="Arial"/>
          <w:sz w:val="24"/>
        </w:rPr>
        <w:t xml:space="preserve">que pour l’essai 4 (entre 53% et 84% selon la mesure comparée). </w:t>
      </w:r>
      <w:r w:rsidR="00C75E76">
        <w:rPr>
          <w:rFonts w:ascii="Arial" w:hAnsi="Arial"/>
          <w:sz w:val="24"/>
        </w:rPr>
        <w:t xml:space="preserve">Bien que les courbes semblent montrer deux comportements </w:t>
      </w:r>
      <w:r w:rsidR="0068744F">
        <w:rPr>
          <w:rFonts w:ascii="Arial" w:hAnsi="Arial"/>
          <w:sz w:val="24"/>
        </w:rPr>
        <w:t>similaires,</w:t>
      </w:r>
      <w:r w:rsidR="005A1F16">
        <w:rPr>
          <w:rFonts w:ascii="Arial" w:hAnsi="Arial"/>
          <w:sz w:val="24"/>
        </w:rPr>
        <w:t xml:space="preserve"> mais d’amplitudes différentes,</w:t>
      </w:r>
      <w:r w:rsidR="00C75E76">
        <w:rPr>
          <w:rFonts w:ascii="Arial" w:hAnsi="Arial"/>
          <w:sz w:val="24"/>
        </w:rPr>
        <w:t xml:space="preserve"> l</w:t>
      </w:r>
      <w:r w:rsidR="001972E3">
        <w:rPr>
          <w:rFonts w:ascii="Arial" w:hAnsi="Arial"/>
          <w:sz w:val="24"/>
        </w:rPr>
        <w:t>es ratios de déplacements verticaux et horizontaux sont différents</w:t>
      </w:r>
      <w:r w:rsidR="00C75E76">
        <w:rPr>
          <w:rFonts w:ascii="Arial" w:hAnsi="Arial"/>
          <w:sz w:val="24"/>
        </w:rPr>
        <w:t xml:space="preserve"> entre les deux essais. De même</w:t>
      </w:r>
      <w:r w:rsidR="009C7807">
        <w:rPr>
          <w:rFonts w:ascii="Arial" w:hAnsi="Arial"/>
          <w:sz w:val="24"/>
        </w:rPr>
        <w:t xml:space="preserve">, </w:t>
      </w:r>
      <w:r w:rsidR="00C75E76">
        <w:rPr>
          <w:rFonts w:ascii="Arial" w:hAnsi="Arial"/>
          <w:sz w:val="24"/>
        </w:rPr>
        <w:t xml:space="preserve">les courbes de déplacements verticaux montrent des </w:t>
      </w:r>
      <w:r w:rsidR="009C7807">
        <w:rPr>
          <w:rFonts w:ascii="Arial" w:hAnsi="Arial"/>
          <w:sz w:val="24"/>
        </w:rPr>
        <w:t xml:space="preserve">comportements </w:t>
      </w:r>
      <w:r w:rsidR="00C75E76">
        <w:rPr>
          <w:rFonts w:ascii="Arial" w:hAnsi="Arial"/>
          <w:sz w:val="24"/>
        </w:rPr>
        <w:t xml:space="preserve">différents. Lors de chaque cycle de température, la courbe issue de l’essai avec l’argile normalement </w:t>
      </w:r>
      <w:r w:rsidR="009C7807">
        <w:rPr>
          <w:rFonts w:ascii="Arial" w:hAnsi="Arial"/>
          <w:sz w:val="24"/>
        </w:rPr>
        <w:t>consolidée</w:t>
      </w:r>
      <w:r w:rsidR="00C75E76">
        <w:rPr>
          <w:rFonts w:ascii="Arial" w:hAnsi="Arial"/>
          <w:sz w:val="24"/>
        </w:rPr>
        <w:t xml:space="preserve"> montre une courbure nette </w:t>
      </w:r>
      <w:r w:rsidR="005A1F16">
        <w:rPr>
          <w:rFonts w:ascii="Arial" w:hAnsi="Arial"/>
          <w:sz w:val="24"/>
        </w:rPr>
        <w:t>similaire à de la consolidation, a</w:t>
      </w:r>
      <w:r w:rsidR="00C75E76">
        <w:rPr>
          <w:rFonts w:ascii="Arial" w:hAnsi="Arial"/>
          <w:sz w:val="24"/>
        </w:rPr>
        <w:t xml:space="preserve">u contraire </w:t>
      </w:r>
      <w:r w:rsidR="009C7807">
        <w:rPr>
          <w:rFonts w:ascii="Arial" w:hAnsi="Arial"/>
          <w:sz w:val="24"/>
        </w:rPr>
        <w:t>de la</w:t>
      </w:r>
      <w:r w:rsidR="00C75E76">
        <w:rPr>
          <w:rFonts w:ascii="Arial" w:hAnsi="Arial"/>
          <w:sz w:val="24"/>
        </w:rPr>
        <w:t xml:space="preserve"> courbe pour l’essai avec l’argile </w:t>
      </w:r>
      <w:proofErr w:type="spellStart"/>
      <w:r w:rsidR="009C7807">
        <w:rPr>
          <w:rFonts w:ascii="Arial" w:hAnsi="Arial"/>
          <w:sz w:val="24"/>
        </w:rPr>
        <w:t>surconsolidée</w:t>
      </w:r>
      <w:proofErr w:type="spellEnd"/>
      <w:r w:rsidR="009C7807">
        <w:rPr>
          <w:rFonts w:ascii="Arial" w:hAnsi="Arial"/>
          <w:sz w:val="24"/>
        </w:rPr>
        <w:t>, qui montre</w:t>
      </w:r>
      <w:r w:rsidR="00C75E76">
        <w:rPr>
          <w:rFonts w:ascii="Arial" w:hAnsi="Arial"/>
          <w:sz w:val="24"/>
        </w:rPr>
        <w:t xml:space="preserve"> à chaque cycle </w:t>
      </w:r>
      <w:r w:rsidR="002460AC">
        <w:rPr>
          <w:rFonts w:ascii="Arial" w:hAnsi="Arial"/>
          <w:sz w:val="24"/>
        </w:rPr>
        <w:t>un comportement plus linéaire</w:t>
      </w:r>
      <w:r w:rsidR="005A1F16">
        <w:rPr>
          <w:rFonts w:ascii="Arial" w:hAnsi="Arial"/>
          <w:sz w:val="24"/>
        </w:rPr>
        <w:t>.</w:t>
      </w:r>
    </w:p>
    <w:p w:rsidR="00E464AF" w:rsidRDefault="002460AC" w:rsidP="002460AC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Cette différence de comportement en particulier</w:t>
      </w:r>
      <w:r w:rsidR="00E35990">
        <w:rPr>
          <w:rFonts w:ascii="Arial" w:hAnsi="Arial"/>
          <w:sz w:val="24"/>
        </w:rPr>
        <w:t xml:space="preserve"> pourrait être expliquée par une diminution de la résistance du sol avec l’augmentation de la température. Ce qui s’appliquerait également sur la résistance au cisaillement de l’interface. </w:t>
      </w:r>
      <w:r w:rsidR="00234EF8">
        <w:rPr>
          <w:rFonts w:ascii="Arial" w:hAnsi="Arial"/>
          <w:sz w:val="24"/>
        </w:rPr>
        <w:t>Ce</w:t>
      </w:r>
      <w:r w:rsidR="00E464AF">
        <w:rPr>
          <w:rFonts w:ascii="Arial" w:hAnsi="Arial"/>
          <w:sz w:val="24"/>
        </w:rPr>
        <w:t xml:space="preserve"> phénomène a été identifié par les travaux de </w:t>
      </w:r>
      <w:proofErr w:type="spellStart"/>
      <w:r w:rsidR="00E464AF">
        <w:rPr>
          <w:rFonts w:ascii="Arial" w:hAnsi="Arial"/>
          <w:sz w:val="24"/>
        </w:rPr>
        <w:t>Laloui</w:t>
      </w:r>
      <w:proofErr w:type="spellEnd"/>
      <w:r w:rsidR="00E464AF">
        <w:rPr>
          <w:rFonts w:ascii="Arial" w:hAnsi="Arial"/>
          <w:sz w:val="24"/>
        </w:rPr>
        <w:t xml:space="preserve"> et </w:t>
      </w:r>
      <w:proofErr w:type="spellStart"/>
      <w:r w:rsidR="00AA12FC">
        <w:rPr>
          <w:rFonts w:ascii="Arial" w:hAnsi="Arial"/>
          <w:sz w:val="24"/>
        </w:rPr>
        <w:t>Cekerevac</w:t>
      </w:r>
      <w:proofErr w:type="spellEnd"/>
      <w:r w:rsidR="00AA12FC">
        <w:rPr>
          <w:rFonts w:ascii="Arial" w:hAnsi="Arial"/>
          <w:sz w:val="24"/>
        </w:rPr>
        <w:t xml:space="preserve"> </w:t>
      </w:r>
      <w:r w:rsidR="00E464AF">
        <w:rPr>
          <w:rFonts w:ascii="Arial" w:hAnsi="Arial"/>
          <w:sz w:val="24"/>
        </w:rPr>
        <w:t>(2003)</w:t>
      </w:r>
      <w:r w:rsidR="00234EF8">
        <w:rPr>
          <w:rFonts w:ascii="Arial" w:hAnsi="Arial"/>
          <w:sz w:val="24"/>
        </w:rPr>
        <w:t xml:space="preserve">. Il correspond à une diminution de la pression de </w:t>
      </w:r>
      <w:proofErr w:type="spellStart"/>
      <w:r w:rsidR="00234EF8">
        <w:rPr>
          <w:rFonts w:ascii="Arial" w:hAnsi="Arial"/>
          <w:sz w:val="24"/>
        </w:rPr>
        <w:t>préconsolidation</w:t>
      </w:r>
      <w:proofErr w:type="spellEnd"/>
      <w:r w:rsidR="00234EF8">
        <w:rPr>
          <w:rFonts w:ascii="Arial" w:hAnsi="Arial"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c</m:t>
            </m:r>
          </m:sub>
        </m:sSub>
      </m:oMath>
      <w:r w:rsidR="00E35990">
        <w:rPr>
          <w:rFonts w:ascii="Arial" w:hAnsi="Arial"/>
          <w:sz w:val="24"/>
        </w:rPr>
        <w:t xml:space="preserve"> co</w:t>
      </w:r>
      <w:proofErr w:type="spellStart"/>
      <w:r w:rsidR="00E35990">
        <w:rPr>
          <w:rFonts w:ascii="Arial" w:hAnsi="Arial"/>
          <w:sz w:val="24"/>
        </w:rPr>
        <w:t>mme</w:t>
      </w:r>
      <w:proofErr w:type="spellEnd"/>
      <w:r w:rsidR="00E35990">
        <w:rPr>
          <w:rFonts w:ascii="Arial" w:hAnsi="Arial"/>
          <w:sz w:val="24"/>
        </w:rPr>
        <w:t xml:space="preserve"> paramètre du modèle de Cam-Clay. Selon un formalisme </w:t>
      </w:r>
      <w:proofErr w:type="spellStart"/>
      <w:r w:rsidR="0068744F">
        <w:rPr>
          <w:rFonts w:ascii="Arial" w:hAnsi="Arial"/>
          <w:sz w:val="24"/>
        </w:rPr>
        <w:t>élastoplastique</w:t>
      </w:r>
      <w:proofErr w:type="spellEnd"/>
      <w:r w:rsidR="00E35990">
        <w:rPr>
          <w:rFonts w:ascii="Arial" w:hAnsi="Arial"/>
          <w:sz w:val="24"/>
        </w:rPr>
        <w:t>, l’augmentation de la température revient à mobiliser le critère par un mouvement de la surface de charge et non par une variation de contrainte. Dans le cas de l’</w:t>
      </w:r>
      <w:r w:rsidR="00BD4CFD">
        <w:rPr>
          <w:rFonts w:ascii="Arial" w:hAnsi="Arial"/>
          <w:sz w:val="24"/>
        </w:rPr>
        <w:t xml:space="preserve">argile </w:t>
      </w:r>
      <w:proofErr w:type="spellStart"/>
      <w:r w:rsidR="0068744F">
        <w:rPr>
          <w:rFonts w:ascii="Arial" w:hAnsi="Arial"/>
          <w:sz w:val="24"/>
        </w:rPr>
        <w:t>surconsolidée</w:t>
      </w:r>
      <w:proofErr w:type="spellEnd"/>
      <w:r w:rsidR="00BD4CFD">
        <w:rPr>
          <w:rFonts w:ascii="Arial" w:hAnsi="Arial"/>
          <w:sz w:val="24"/>
        </w:rPr>
        <w:t xml:space="preserve">, la </w:t>
      </w:r>
      <w:proofErr w:type="spellStart"/>
      <w:r w:rsidR="00BD4CFD">
        <w:rPr>
          <w:rFonts w:ascii="Arial" w:hAnsi="Arial"/>
          <w:sz w:val="24"/>
        </w:rPr>
        <w:t>surconsolidation</w:t>
      </w:r>
      <w:proofErr w:type="spellEnd"/>
      <w:r w:rsidR="00BD4CFD">
        <w:rPr>
          <w:rFonts w:ascii="Arial" w:hAnsi="Arial"/>
          <w:sz w:val="24"/>
        </w:rPr>
        <w:t xml:space="preserve"> permet de ne pas subir cet effet. </w:t>
      </w:r>
    </w:p>
    <w:p w:rsidR="00B84B6D" w:rsidRDefault="00B84B6D" w:rsidP="00B84B6D">
      <w:pPr>
        <w:pStyle w:val="Titre1"/>
        <w:rPr>
          <w:lang w:val="fr-FR"/>
        </w:rPr>
      </w:pPr>
      <w:r w:rsidRPr="006B44A2">
        <w:t>Conclusions</w:t>
      </w:r>
    </w:p>
    <w:p w:rsidR="002460AC" w:rsidRDefault="00E464AF" w:rsidP="002460AC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conclusion, ce travail propose </w:t>
      </w:r>
      <w:r w:rsidR="0047452E">
        <w:rPr>
          <w:rFonts w:ascii="Arial" w:hAnsi="Arial"/>
          <w:sz w:val="24"/>
        </w:rPr>
        <w:t xml:space="preserve">l’utilisation </w:t>
      </w:r>
      <w:r>
        <w:rPr>
          <w:rFonts w:ascii="Arial" w:hAnsi="Arial"/>
          <w:sz w:val="24"/>
        </w:rPr>
        <w:t xml:space="preserve">d’une </w:t>
      </w:r>
      <w:r w:rsidR="00D34EE2">
        <w:rPr>
          <w:rFonts w:ascii="Arial" w:hAnsi="Arial"/>
          <w:sz w:val="24"/>
        </w:rPr>
        <w:t>boite</w:t>
      </w:r>
      <w:r>
        <w:rPr>
          <w:rFonts w:ascii="Arial" w:hAnsi="Arial"/>
          <w:sz w:val="24"/>
        </w:rPr>
        <w:t xml:space="preserve"> de cisa</w:t>
      </w:r>
      <w:r w:rsidR="003760BA">
        <w:rPr>
          <w:rFonts w:ascii="Arial" w:hAnsi="Arial"/>
          <w:sz w:val="24"/>
        </w:rPr>
        <w:t>illement direct</w:t>
      </w:r>
      <w:r w:rsidR="007B67E2">
        <w:rPr>
          <w:rFonts w:ascii="Arial" w:hAnsi="Arial"/>
          <w:sz w:val="24"/>
        </w:rPr>
        <w:t xml:space="preserve"> spécifiquement </w:t>
      </w:r>
      <w:r w:rsidR="009C7807">
        <w:rPr>
          <w:rFonts w:ascii="Arial" w:hAnsi="Arial"/>
          <w:sz w:val="24"/>
        </w:rPr>
        <w:t>équipée</w:t>
      </w:r>
      <w:r w:rsidR="007B67E2">
        <w:rPr>
          <w:rFonts w:ascii="Arial" w:hAnsi="Arial"/>
          <w:sz w:val="24"/>
        </w:rPr>
        <w:t xml:space="preserve"> pour étudier le comportement des interfaces entre sol et fondations </w:t>
      </w:r>
      <w:r w:rsidR="009C7807">
        <w:rPr>
          <w:rFonts w:ascii="Arial" w:hAnsi="Arial"/>
          <w:sz w:val="24"/>
        </w:rPr>
        <w:t>géothermiques</w:t>
      </w:r>
      <w:r w:rsidR="007B67E2">
        <w:rPr>
          <w:rFonts w:ascii="Arial" w:hAnsi="Arial"/>
          <w:sz w:val="24"/>
        </w:rPr>
        <w:t xml:space="preserve">, </w:t>
      </w:r>
      <w:r w:rsidR="00CF35FC">
        <w:rPr>
          <w:rFonts w:ascii="Arial" w:hAnsi="Arial"/>
          <w:sz w:val="24"/>
        </w:rPr>
        <w:t xml:space="preserve">soumis à un </w:t>
      </w:r>
      <w:r w:rsidR="007B67E2">
        <w:rPr>
          <w:rFonts w:ascii="Arial" w:hAnsi="Arial"/>
          <w:sz w:val="24"/>
        </w:rPr>
        <w:t xml:space="preserve">cisaillement </w:t>
      </w:r>
      <w:r w:rsidR="009C7807">
        <w:rPr>
          <w:rFonts w:ascii="Arial" w:hAnsi="Arial"/>
          <w:sz w:val="24"/>
        </w:rPr>
        <w:t>constant</w:t>
      </w:r>
      <w:r w:rsidR="007B67E2">
        <w:rPr>
          <w:rFonts w:ascii="Arial" w:hAnsi="Arial"/>
          <w:sz w:val="24"/>
        </w:rPr>
        <w:t xml:space="preserve"> et </w:t>
      </w:r>
      <w:r w:rsidR="00CF35FC">
        <w:rPr>
          <w:rFonts w:ascii="Arial" w:hAnsi="Arial"/>
          <w:sz w:val="24"/>
        </w:rPr>
        <w:t>subissant</w:t>
      </w:r>
      <w:r w:rsidR="007B67E2">
        <w:rPr>
          <w:rFonts w:ascii="Arial" w:hAnsi="Arial"/>
          <w:sz w:val="24"/>
        </w:rPr>
        <w:t xml:space="preserve"> des cycles de température. Quatre essais préliminaires ont été réalisés sur des interfaces entre fondation et sable lâche, sable dense, argile normalement consolidée et argile </w:t>
      </w:r>
      <w:proofErr w:type="spellStart"/>
      <w:r w:rsidR="009C7807">
        <w:rPr>
          <w:rFonts w:ascii="Arial" w:hAnsi="Arial"/>
          <w:sz w:val="24"/>
        </w:rPr>
        <w:t>surconsolidée</w:t>
      </w:r>
      <w:proofErr w:type="spellEnd"/>
      <w:r w:rsidR="007B67E2">
        <w:rPr>
          <w:rFonts w:ascii="Arial" w:hAnsi="Arial"/>
          <w:sz w:val="24"/>
        </w:rPr>
        <w:t xml:space="preserve">. Chacun de ces essais a montré l’apparition de mouvement de cisaillement de l’interface qui se développe à un rythme </w:t>
      </w:r>
      <w:r w:rsidR="009C7807">
        <w:rPr>
          <w:rFonts w:ascii="Arial" w:hAnsi="Arial"/>
          <w:sz w:val="24"/>
        </w:rPr>
        <w:t>continu</w:t>
      </w:r>
      <w:r w:rsidR="007B67E2">
        <w:rPr>
          <w:rFonts w:ascii="Arial" w:hAnsi="Arial"/>
          <w:sz w:val="24"/>
        </w:rPr>
        <w:t xml:space="preserve"> une fois le comportement stabilisé.</w:t>
      </w:r>
    </w:p>
    <w:p w:rsidR="008E3746" w:rsidRDefault="007B67E2" w:rsidP="002460AC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8E3746">
        <w:rPr>
          <w:rFonts w:ascii="Arial" w:hAnsi="Arial"/>
          <w:sz w:val="24"/>
        </w:rPr>
        <w:t>es</w:t>
      </w:r>
      <w:r>
        <w:rPr>
          <w:rFonts w:ascii="Arial" w:hAnsi="Arial"/>
          <w:sz w:val="24"/>
        </w:rPr>
        <w:t xml:space="preserve"> essais </w:t>
      </w:r>
      <w:r w:rsidR="008E3746">
        <w:rPr>
          <w:rFonts w:ascii="Arial" w:hAnsi="Arial"/>
          <w:sz w:val="24"/>
        </w:rPr>
        <w:t>ont</w:t>
      </w:r>
      <w:r>
        <w:rPr>
          <w:rFonts w:ascii="Arial" w:hAnsi="Arial"/>
          <w:sz w:val="24"/>
        </w:rPr>
        <w:t xml:space="preserve"> montré </w:t>
      </w:r>
      <w:r w:rsidR="008E3746">
        <w:rPr>
          <w:rFonts w:ascii="Arial" w:hAnsi="Arial"/>
          <w:sz w:val="24"/>
        </w:rPr>
        <w:t>des</w:t>
      </w:r>
      <w:r>
        <w:rPr>
          <w:rFonts w:ascii="Arial" w:hAnsi="Arial"/>
          <w:sz w:val="24"/>
        </w:rPr>
        <w:t xml:space="preserve"> comportement</w:t>
      </w:r>
      <w:r w:rsidR="008E374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de l’interface très dépendant du type de sols. Dans le cas d’une interface béton-sable, le comportement du sable est similaire</w:t>
      </w:r>
      <w:r w:rsidR="00FF28AE">
        <w:rPr>
          <w:rFonts w:ascii="Arial" w:hAnsi="Arial"/>
          <w:sz w:val="24"/>
        </w:rPr>
        <w:t xml:space="preserve"> que le sable soit lâche ou dense, et dépend seulement de la rigidité de l’interface. Dans le cas d’une interface béton</w:t>
      </w:r>
      <w:r w:rsidR="009C7807">
        <w:rPr>
          <w:rFonts w:ascii="Arial" w:hAnsi="Arial"/>
          <w:sz w:val="24"/>
        </w:rPr>
        <w:t>-argile</w:t>
      </w:r>
      <w:r w:rsidR="00FF28AE">
        <w:rPr>
          <w:rFonts w:ascii="Arial" w:hAnsi="Arial"/>
          <w:sz w:val="24"/>
        </w:rPr>
        <w:t xml:space="preserve">, le comportement dépend largement de l’état de consolidation </w:t>
      </w:r>
      <w:r w:rsidR="00FF28AE">
        <w:rPr>
          <w:rFonts w:ascii="Arial" w:hAnsi="Arial"/>
          <w:sz w:val="24"/>
        </w:rPr>
        <w:lastRenderedPageBreak/>
        <w:t xml:space="preserve">du sol. </w:t>
      </w:r>
      <w:r w:rsidR="009C7807">
        <w:rPr>
          <w:rFonts w:ascii="Arial" w:hAnsi="Arial"/>
          <w:sz w:val="24"/>
        </w:rPr>
        <w:t xml:space="preserve">On </w:t>
      </w:r>
      <w:r w:rsidR="008E3746">
        <w:rPr>
          <w:rFonts w:ascii="Arial" w:hAnsi="Arial"/>
          <w:sz w:val="24"/>
        </w:rPr>
        <w:t>constate</w:t>
      </w:r>
      <w:r w:rsidR="009C7807">
        <w:rPr>
          <w:rFonts w:ascii="Arial" w:hAnsi="Arial"/>
          <w:sz w:val="24"/>
        </w:rPr>
        <w:t xml:space="preserve"> dans ce cas </w:t>
      </w:r>
      <w:r w:rsidR="00FF28AE">
        <w:rPr>
          <w:rFonts w:ascii="Arial" w:hAnsi="Arial"/>
          <w:sz w:val="24"/>
        </w:rPr>
        <w:t xml:space="preserve">que l’augmentation de la température diminue la résistance au cisaillement de l’interface. </w:t>
      </w:r>
      <w:r w:rsidR="008E3746">
        <w:rPr>
          <w:rFonts w:ascii="Arial" w:hAnsi="Arial"/>
          <w:sz w:val="24"/>
        </w:rPr>
        <w:t xml:space="preserve">On observe expérimentalement que </w:t>
      </w:r>
      <w:r w:rsidR="00D34EE2">
        <w:rPr>
          <w:rFonts w:ascii="Arial" w:hAnsi="Arial"/>
          <w:sz w:val="24"/>
        </w:rPr>
        <w:t xml:space="preserve">l’interface entre le béton et l’argile </w:t>
      </w:r>
      <w:proofErr w:type="spellStart"/>
      <w:r w:rsidR="009C7807">
        <w:rPr>
          <w:rFonts w:ascii="Arial" w:hAnsi="Arial"/>
          <w:sz w:val="24"/>
        </w:rPr>
        <w:t>surconsolidée</w:t>
      </w:r>
      <w:proofErr w:type="spellEnd"/>
      <w:r w:rsidR="00FF28AE">
        <w:rPr>
          <w:rFonts w:ascii="Arial" w:hAnsi="Arial"/>
          <w:sz w:val="24"/>
        </w:rPr>
        <w:t xml:space="preserve"> </w:t>
      </w:r>
      <w:r w:rsidR="008E3746">
        <w:rPr>
          <w:rFonts w:ascii="Arial" w:hAnsi="Arial"/>
          <w:sz w:val="24"/>
        </w:rPr>
        <w:t>est</w:t>
      </w:r>
      <w:r w:rsidR="00FF28AE">
        <w:rPr>
          <w:rFonts w:ascii="Arial" w:hAnsi="Arial"/>
          <w:sz w:val="24"/>
        </w:rPr>
        <w:t xml:space="preserve"> moins </w:t>
      </w:r>
      <w:bookmarkStart w:id="0" w:name="_GoBack"/>
      <w:r w:rsidR="0068744F">
        <w:rPr>
          <w:rFonts w:ascii="Arial" w:hAnsi="Arial"/>
          <w:sz w:val="24"/>
        </w:rPr>
        <w:t>impactée</w:t>
      </w:r>
      <w:bookmarkEnd w:id="0"/>
      <w:r w:rsidR="008E3746">
        <w:rPr>
          <w:rFonts w:ascii="Arial" w:hAnsi="Arial"/>
          <w:sz w:val="24"/>
        </w:rPr>
        <w:t xml:space="preserve"> par les cycles de température.</w:t>
      </w:r>
    </w:p>
    <w:p w:rsidR="00FF28AE" w:rsidRPr="002460AC" w:rsidRDefault="00FF28AE" w:rsidP="002460AC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Cependant</w:t>
      </w:r>
      <w:r w:rsidR="009C7807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les effets des cycles de température sur l’interface ne </w:t>
      </w:r>
      <w:r w:rsidR="000943EC">
        <w:rPr>
          <w:rFonts w:ascii="Arial" w:hAnsi="Arial"/>
          <w:sz w:val="24"/>
        </w:rPr>
        <w:t xml:space="preserve">sont pas totalement identifiés. Notamment, il reste difficile de découpler les effets </w:t>
      </w:r>
      <w:r w:rsidR="009C7807">
        <w:rPr>
          <w:rFonts w:ascii="Arial" w:hAnsi="Arial"/>
          <w:sz w:val="24"/>
        </w:rPr>
        <w:t>liés</w:t>
      </w:r>
      <w:r w:rsidR="000943EC">
        <w:rPr>
          <w:rFonts w:ascii="Arial" w:hAnsi="Arial"/>
          <w:sz w:val="24"/>
        </w:rPr>
        <w:t xml:space="preserve"> à une variation de résistance</w:t>
      </w:r>
      <w:r w:rsidR="009C7807">
        <w:rPr>
          <w:rFonts w:ascii="Arial" w:hAnsi="Arial"/>
          <w:sz w:val="24"/>
        </w:rPr>
        <w:t xml:space="preserve"> de l'interface </w:t>
      </w:r>
      <w:r w:rsidR="000943EC">
        <w:rPr>
          <w:rFonts w:ascii="Arial" w:hAnsi="Arial"/>
          <w:sz w:val="24"/>
        </w:rPr>
        <w:t xml:space="preserve">et ceux </w:t>
      </w:r>
      <w:r w:rsidR="009C7807">
        <w:rPr>
          <w:rFonts w:ascii="Arial" w:hAnsi="Arial"/>
          <w:sz w:val="24"/>
        </w:rPr>
        <w:t>liés</w:t>
      </w:r>
      <w:r w:rsidR="000943EC">
        <w:rPr>
          <w:rFonts w:ascii="Arial" w:hAnsi="Arial"/>
          <w:sz w:val="24"/>
        </w:rPr>
        <w:t xml:space="preserve"> au</w:t>
      </w:r>
      <w:r w:rsidR="00FD60C9">
        <w:rPr>
          <w:rFonts w:ascii="Arial" w:hAnsi="Arial"/>
          <w:sz w:val="24"/>
        </w:rPr>
        <w:t>x</w:t>
      </w:r>
      <w:r w:rsidR="000943EC">
        <w:rPr>
          <w:rFonts w:ascii="Arial" w:hAnsi="Arial"/>
          <w:sz w:val="24"/>
        </w:rPr>
        <w:t xml:space="preserve"> mouvement</w:t>
      </w:r>
      <w:r w:rsidR="00FD60C9">
        <w:rPr>
          <w:rFonts w:ascii="Arial" w:hAnsi="Arial"/>
          <w:sz w:val="24"/>
        </w:rPr>
        <w:t>s</w:t>
      </w:r>
      <w:r w:rsidR="000943EC">
        <w:rPr>
          <w:rFonts w:ascii="Arial" w:hAnsi="Arial"/>
          <w:sz w:val="24"/>
        </w:rPr>
        <w:t xml:space="preserve"> de dilatation-contraction</w:t>
      </w:r>
      <w:r w:rsidR="008E3746">
        <w:rPr>
          <w:rFonts w:ascii="Arial" w:hAnsi="Arial"/>
          <w:sz w:val="24"/>
        </w:rPr>
        <w:t xml:space="preserve"> différentiel</w:t>
      </w:r>
      <w:r w:rsidR="00FD60C9">
        <w:rPr>
          <w:rFonts w:ascii="Arial" w:hAnsi="Arial"/>
          <w:sz w:val="24"/>
        </w:rPr>
        <w:t>le</w:t>
      </w:r>
      <w:r w:rsidR="008E3746">
        <w:rPr>
          <w:rFonts w:ascii="Arial" w:hAnsi="Arial"/>
          <w:sz w:val="24"/>
        </w:rPr>
        <w:t xml:space="preserve"> entre les deux </w:t>
      </w:r>
      <w:proofErr w:type="spellStart"/>
      <w:r w:rsidR="008E3746">
        <w:rPr>
          <w:rFonts w:ascii="Arial" w:hAnsi="Arial"/>
          <w:sz w:val="24"/>
        </w:rPr>
        <w:t>demi</w:t>
      </w:r>
      <w:r w:rsidR="00D34EE2">
        <w:rPr>
          <w:rFonts w:ascii="Arial" w:hAnsi="Arial"/>
          <w:sz w:val="24"/>
        </w:rPr>
        <w:t>-boites</w:t>
      </w:r>
      <w:proofErr w:type="spellEnd"/>
      <w:r w:rsidR="000943EC">
        <w:rPr>
          <w:rFonts w:ascii="Arial" w:hAnsi="Arial"/>
          <w:sz w:val="24"/>
        </w:rPr>
        <w:t xml:space="preserve">. </w:t>
      </w:r>
      <w:r w:rsidR="008E3746">
        <w:rPr>
          <w:rFonts w:ascii="Arial" w:hAnsi="Arial"/>
          <w:sz w:val="24"/>
        </w:rPr>
        <w:t>Le mouvement continu observé sur ces essais pourra</w:t>
      </w:r>
      <w:r w:rsidR="00FD60C9">
        <w:rPr>
          <w:rFonts w:ascii="Arial" w:hAnsi="Arial"/>
          <w:sz w:val="24"/>
        </w:rPr>
        <w:t>it ne pas être représentatif du</w:t>
      </w:r>
      <w:r w:rsidR="008E3746">
        <w:rPr>
          <w:rFonts w:ascii="Arial" w:hAnsi="Arial"/>
          <w:sz w:val="24"/>
        </w:rPr>
        <w:t xml:space="preserve"> comportement réel</w:t>
      </w:r>
      <w:r w:rsidR="00FD60C9">
        <w:rPr>
          <w:rFonts w:ascii="Arial" w:hAnsi="Arial"/>
          <w:sz w:val="24"/>
        </w:rPr>
        <w:t xml:space="preserve"> d’un ouvrage</w:t>
      </w:r>
      <w:r w:rsidR="008E3746">
        <w:rPr>
          <w:rFonts w:ascii="Arial" w:hAnsi="Arial"/>
          <w:sz w:val="24"/>
        </w:rPr>
        <w:t xml:space="preserve">. L’instrumentation </w:t>
      </w:r>
      <w:r w:rsidR="00FD60C9">
        <w:rPr>
          <w:rFonts w:ascii="Arial" w:hAnsi="Arial"/>
          <w:sz w:val="24"/>
        </w:rPr>
        <w:t xml:space="preserve">de la boite de cisaillement </w:t>
      </w:r>
      <w:r w:rsidR="008E3746">
        <w:rPr>
          <w:rFonts w:ascii="Arial" w:hAnsi="Arial"/>
          <w:sz w:val="24"/>
        </w:rPr>
        <w:t>sera complét</w:t>
      </w:r>
      <w:r w:rsidR="00D34EE2">
        <w:rPr>
          <w:rFonts w:ascii="Arial" w:hAnsi="Arial"/>
          <w:sz w:val="24"/>
        </w:rPr>
        <w:t>ée</w:t>
      </w:r>
      <w:r w:rsidR="008E3746">
        <w:rPr>
          <w:rFonts w:ascii="Arial" w:hAnsi="Arial"/>
          <w:sz w:val="24"/>
        </w:rPr>
        <w:t xml:space="preserve"> et d</w:t>
      </w:r>
      <w:r w:rsidR="000943EC">
        <w:rPr>
          <w:rFonts w:ascii="Arial" w:hAnsi="Arial"/>
          <w:sz w:val="24"/>
        </w:rPr>
        <w:t xml:space="preserve">e nouveaux essais seront </w:t>
      </w:r>
      <w:r w:rsidR="009C7807">
        <w:rPr>
          <w:rFonts w:ascii="Arial" w:hAnsi="Arial"/>
          <w:sz w:val="24"/>
        </w:rPr>
        <w:t>conduits</w:t>
      </w:r>
      <w:r w:rsidR="000943EC">
        <w:rPr>
          <w:rFonts w:ascii="Arial" w:hAnsi="Arial"/>
          <w:sz w:val="24"/>
        </w:rPr>
        <w:t xml:space="preserve"> pour poursuivre ce travail, afin d’étudier le comportement des interfaces sol-structure dans des conditions de </w:t>
      </w:r>
      <w:r w:rsidR="00FD60C9">
        <w:rPr>
          <w:rFonts w:ascii="Arial" w:hAnsi="Arial"/>
          <w:sz w:val="24"/>
        </w:rPr>
        <w:t>chargement</w:t>
      </w:r>
      <w:r w:rsidR="000943EC">
        <w:rPr>
          <w:rFonts w:ascii="Arial" w:hAnsi="Arial"/>
          <w:sz w:val="24"/>
        </w:rPr>
        <w:t xml:space="preserve"> plus varié</w:t>
      </w:r>
      <w:r w:rsidR="00A34856">
        <w:rPr>
          <w:rFonts w:ascii="Arial" w:hAnsi="Arial"/>
          <w:sz w:val="24"/>
        </w:rPr>
        <w:t>es</w:t>
      </w:r>
      <w:r w:rsidR="000943EC">
        <w:rPr>
          <w:rFonts w:ascii="Arial" w:hAnsi="Arial"/>
          <w:sz w:val="24"/>
        </w:rPr>
        <w:t xml:space="preserve"> et pour différente</w:t>
      </w:r>
      <w:r w:rsidR="009C7807">
        <w:rPr>
          <w:rFonts w:ascii="Arial" w:hAnsi="Arial"/>
          <w:sz w:val="24"/>
        </w:rPr>
        <w:t xml:space="preserve">s </w:t>
      </w:r>
      <w:r w:rsidR="000943EC">
        <w:rPr>
          <w:rFonts w:ascii="Arial" w:hAnsi="Arial"/>
          <w:sz w:val="24"/>
        </w:rPr>
        <w:t>condition</w:t>
      </w:r>
      <w:r w:rsidR="009C7807">
        <w:rPr>
          <w:rFonts w:ascii="Arial" w:hAnsi="Arial"/>
          <w:sz w:val="24"/>
        </w:rPr>
        <w:t xml:space="preserve">s </w:t>
      </w:r>
      <w:r w:rsidR="000943EC">
        <w:rPr>
          <w:rFonts w:ascii="Arial" w:hAnsi="Arial"/>
          <w:sz w:val="24"/>
        </w:rPr>
        <w:t>de sols.</w:t>
      </w:r>
    </w:p>
    <w:p w:rsidR="00B84B6D" w:rsidRPr="006B44A2" w:rsidRDefault="00B84B6D" w:rsidP="00B84B6D">
      <w:pPr>
        <w:pStyle w:val="Titre1"/>
      </w:pPr>
      <w:r w:rsidRPr="006B44A2">
        <w:t>Références bibliographiques</w:t>
      </w:r>
    </w:p>
    <w:p w:rsidR="000943EC" w:rsidRPr="008E3746" w:rsidRDefault="000943EC" w:rsidP="000943EC">
      <w:pPr>
        <w:pStyle w:val="Corpsdetexte12retrait5mm"/>
        <w:ind w:left="284" w:hanging="284"/>
        <w:rPr>
          <w:lang w:val="en-GB"/>
        </w:rPr>
      </w:pPr>
      <w:proofErr w:type="spellStart"/>
      <w:r>
        <w:t>Elzeiny</w:t>
      </w:r>
      <w:proofErr w:type="spellEnd"/>
      <w:r>
        <w:t xml:space="preserve">, R., &amp; </w:t>
      </w:r>
      <w:proofErr w:type="spellStart"/>
      <w:r>
        <w:t>Suleiman</w:t>
      </w:r>
      <w:proofErr w:type="spellEnd"/>
      <w:r>
        <w:t xml:space="preserve">, M. T. (2021). Pull-Out </w:t>
      </w:r>
      <w:proofErr w:type="spellStart"/>
      <w:r>
        <w:t>Response</w:t>
      </w:r>
      <w:proofErr w:type="spellEnd"/>
      <w:r>
        <w:t xml:space="preserve"> of a </w:t>
      </w:r>
      <w:proofErr w:type="spellStart"/>
      <w:r>
        <w:t>Laboratory-Scale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Pile </w:t>
      </w:r>
      <w:proofErr w:type="spellStart"/>
      <w:r>
        <w:t>Subjected</w:t>
      </w:r>
      <w:proofErr w:type="spellEnd"/>
      <w:r>
        <w:t xml:space="preserve"> to </w:t>
      </w:r>
      <w:proofErr w:type="spellStart"/>
      <w:r>
        <w:t>Cooling</w:t>
      </w:r>
      <w:proofErr w:type="spellEnd"/>
      <w:r>
        <w:t xml:space="preserve"> Cycles. </w:t>
      </w:r>
      <w:r>
        <w:rPr>
          <w:i/>
          <w:iCs w:val="0"/>
        </w:rPr>
        <w:t xml:space="preserve">Journal of </w:t>
      </w:r>
      <w:proofErr w:type="spellStart"/>
      <w:r>
        <w:rPr>
          <w:i/>
          <w:iCs w:val="0"/>
        </w:rPr>
        <w:t>Geotechnical</w:t>
      </w:r>
      <w:proofErr w:type="spellEnd"/>
      <w:r>
        <w:rPr>
          <w:i/>
          <w:iCs w:val="0"/>
        </w:rPr>
        <w:t xml:space="preserve"> and </w:t>
      </w:r>
      <w:proofErr w:type="spellStart"/>
      <w:r>
        <w:rPr>
          <w:i/>
          <w:iCs w:val="0"/>
        </w:rPr>
        <w:t>Geoenvironmental</w:t>
      </w:r>
      <w:proofErr w:type="spellEnd"/>
      <w:r>
        <w:rPr>
          <w:i/>
          <w:iCs w:val="0"/>
        </w:rPr>
        <w:t xml:space="preserve"> Engineering</w:t>
      </w:r>
      <w:r>
        <w:t xml:space="preserve">, </w:t>
      </w:r>
      <w:r>
        <w:rPr>
          <w:i/>
          <w:iCs w:val="0"/>
        </w:rPr>
        <w:t>147</w:t>
      </w:r>
      <w:r>
        <w:t>(7), 04021044.</w:t>
      </w:r>
    </w:p>
    <w:p w:rsidR="000943EC" w:rsidRPr="008E3746" w:rsidRDefault="000943EC" w:rsidP="000943EC">
      <w:pPr>
        <w:pStyle w:val="Corpsdetexte12retrait5mm"/>
        <w:ind w:left="284" w:hanging="284"/>
        <w:rPr>
          <w:lang w:val="en-GB"/>
        </w:rPr>
      </w:pPr>
      <w:proofErr w:type="spellStart"/>
      <w:r>
        <w:t>Faizal</w:t>
      </w:r>
      <w:proofErr w:type="spellEnd"/>
      <w:r>
        <w:t xml:space="preserve">, M., </w:t>
      </w:r>
      <w:proofErr w:type="spellStart"/>
      <w:r>
        <w:t>Bouazza</w:t>
      </w:r>
      <w:proofErr w:type="spellEnd"/>
      <w:r>
        <w:t xml:space="preserve">, A., </w:t>
      </w:r>
      <w:proofErr w:type="spellStart"/>
      <w:r>
        <w:t>Haberfield</w:t>
      </w:r>
      <w:proofErr w:type="spellEnd"/>
      <w:r>
        <w:t xml:space="preserve">, C., &amp; McCartney, J. S. (2018). Axial and radial thermal </w:t>
      </w:r>
      <w:proofErr w:type="spellStart"/>
      <w:r>
        <w:t>responses</w:t>
      </w:r>
      <w:proofErr w:type="spellEnd"/>
      <w:r>
        <w:t xml:space="preserve"> of a </w:t>
      </w:r>
      <w:proofErr w:type="spellStart"/>
      <w:r>
        <w:t>field-scale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pile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monotonic</w:t>
      </w:r>
      <w:proofErr w:type="spellEnd"/>
      <w:r>
        <w:t xml:space="preserve"> and </w:t>
      </w:r>
      <w:proofErr w:type="spellStart"/>
      <w:r>
        <w:t>cyclic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changes. </w:t>
      </w:r>
      <w:r>
        <w:rPr>
          <w:i/>
          <w:iCs w:val="0"/>
        </w:rPr>
        <w:t xml:space="preserve">Journal of </w:t>
      </w:r>
      <w:proofErr w:type="spellStart"/>
      <w:r>
        <w:rPr>
          <w:i/>
          <w:iCs w:val="0"/>
        </w:rPr>
        <w:t>Geotechnical</w:t>
      </w:r>
      <w:proofErr w:type="spellEnd"/>
      <w:r>
        <w:rPr>
          <w:i/>
          <w:iCs w:val="0"/>
        </w:rPr>
        <w:t xml:space="preserve"> and </w:t>
      </w:r>
      <w:proofErr w:type="spellStart"/>
      <w:r>
        <w:rPr>
          <w:i/>
          <w:iCs w:val="0"/>
        </w:rPr>
        <w:t>Geoenvironmental</w:t>
      </w:r>
      <w:proofErr w:type="spellEnd"/>
      <w:r>
        <w:rPr>
          <w:i/>
          <w:iCs w:val="0"/>
        </w:rPr>
        <w:t xml:space="preserve"> Engineering</w:t>
      </w:r>
      <w:r>
        <w:t xml:space="preserve">, </w:t>
      </w:r>
      <w:r>
        <w:rPr>
          <w:i/>
          <w:iCs w:val="0"/>
        </w:rPr>
        <w:t>144</w:t>
      </w:r>
      <w:r>
        <w:t>(10), 04018072</w:t>
      </w:r>
    </w:p>
    <w:p w:rsidR="000943EC" w:rsidRPr="008E3746" w:rsidRDefault="000943EC" w:rsidP="000943EC">
      <w:pPr>
        <w:pStyle w:val="Corpsdetexte12retrait5mm"/>
        <w:ind w:left="284" w:hanging="284"/>
        <w:rPr>
          <w:lang w:val="en-GB"/>
        </w:rPr>
      </w:pPr>
      <w:proofErr w:type="spellStart"/>
      <w:r>
        <w:t>Kalantidou</w:t>
      </w:r>
      <w:proofErr w:type="spellEnd"/>
      <w:r>
        <w:t xml:space="preserve">, A., Tang, A. M., Pereira, J. M., &amp; Hassen, G. (2012).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on the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of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exchanger</w:t>
      </w:r>
      <w:proofErr w:type="spellEnd"/>
      <w:r>
        <w:t xml:space="preserve"> pile in </w:t>
      </w:r>
      <w:proofErr w:type="spellStart"/>
      <w:r>
        <w:t>physical</w:t>
      </w:r>
      <w:proofErr w:type="spellEnd"/>
      <w:r>
        <w:t xml:space="preserve"> model. </w:t>
      </w:r>
      <w:r>
        <w:rPr>
          <w:i/>
          <w:iCs w:val="0"/>
        </w:rPr>
        <w:t>Géotechnique</w:t>
      </w:r>
      <w:r>
        <w:t xml:space="preserve">, </w:t>
      </w:r>
      <w:r>
        <w:rPr>
          <w:i/>
          <w:iCs w:val="0"/>
        </w:rPr>
        <w:t>62</w:t>
      </w:r>
      <w:r>
        <w:t>(11), 1047-1051.</w:t>
      </w:r>
    </w:p>
    <w:p w:rsidR="000943EC" w:rsidRPr="00FD60C9" w:rsidRDefault="000943EC" w:rsidP="000943EC">
      <w:pPr>
        <w:pStyle w:val="Corpsdetexte12retrait5mm"/>
        <w:ind w:left="284" w:hanging="284"/>
        <w:rPr>
          <w:lang w:val="en-GB"/>
        </w:rPr>
      </w:pPr>
      <w:proofErr w:type="spellStart"/>
      <w:r>
        <w:t>Laloui</w:t>
      </w:r>
      <w:proofErr w:type="spellEnd"/>
      <w:r>
        <w:t xml:space="preserve">, L., &amp; </w:t>
      </w:r>
      <w:proofErr w:type="spellStart"/>
      <w:r>
        <w:t>Cekerevac</w:t>
      </w:r>
      <w:proofErr w:type="spellEnd"/>
      <w:r>
        <w:t>, C. (2003). Thermo-</w:t>
      </w:r>
      <w:proofErr w:type="spellStart"/>
      <w:r>
        <w:t>plasticity</w:t>
      </w:r>
      <w:proofErr w:type="spellEnd"/>
      <w:r>
        <w:t xml:space="preserve"> of </w:t>
      </w:r>
      <w:proofErr w:type="spellStart"/>
      <w:r>
        <w:t>clays</w:t>
      </w:r>
      <w:proofErr w:type="spellEnd"/>
      <w:r>
        <w:t xml:space="preserve">: an </w:t>
      </w:r>
      <w:proofErr w:type="spellStart"/>
      <w:r>
        <w:t>isotropic</w:t>
      </w:r>
      <w:proofErr w:type="spellEnd"/>
      <w:r>
        <w:t xml:space="preserve"> </w:t>
      </w:r>
      <w:proofErr w:type="spellStart"/>
      <w:r>
        <w:t>yield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. </w:t>
      </w:r>
      <w:r>
        <w:rPr>
          <w:i/>
          <w:iCs w:val="0"/>
        </w:rPr>
        <w:t xml:space="preserve">Computers and </w:t>
      </w:r>
      <w:proofErr w:type="spellStart"/>
      <w:r>
        <w:rPr>
          <w:i/>
          <w:iCs w:val="0"/>
        </w:rPr>
        <w:t>Geotechnics</w:t>
      </w:r>
      <w:proofErr w:type="spellEnd"/>
      <w:r>
        <w:t xml:space="preserve">, </w:t>
      </w:r>
      <w:r>
        <w:rPr>
          <w:i/>
          <w:iCs w:val="0"/>
        </w:rPr>
        <w:t>30</w:t>
      </w:r>
      <w:r>
        <w:t>(8), 649-660.</w:t>
      </w:r>
    </w:p>
    <w:p w:rsidR="004D764D" w:rsidRPr="004D764D" w:rsidRDefault="004D764D" w:rsidP="000943EC">
      <w:pPr>
        <w:pStyle w:val="Corpsdetexte12retrait5mm"/>
        <w:ind w:left="284" w:hanging="284"/>
        <w:rPr>
          <w:lang w:val="en-GB"/>
        </w:rPr>
      </w:pPr>
      <w:proofErr w:type="spellStart"/>
      <w:r>
        <w:t>Maghsoodi</w:t>
      </w:r>
      <w:proofErr w:type="spellEnd"/>
      <w:r>
        <w:t xml:space="preserve">, S. (2020). </w:t>
      </w:r>
      <w:r>
        <w:rPr>
          <w:i/>
          <w:iCs w:val="0"/>
        </w:rPr>
        <w:t>Thermo-</w:t>
      </w:r>
      <w:proofErr w:type="spellStart"/>
      <w:r>
        <w:rPr>
          <w:i/>
          <w:iCs w:val="0"/>
        </w:rPr>
        <w:t>mechanical</w:t>
      </w:r>
      <w:proofErr w:type="spellEnd"/>
      <w:r>
        <w:rPr>
          <w:i/>
          <w:iCs w:val="0"/>
        </w:rPr>
        <w:t xml:space="preserve"> </w:t>
      </w:r>
      <w:proofErr w:type="spellStart"/>
      <w:r>
        <w:rPr>
          <w:i/>
          <w:iCs w:val="0"/>
        </w:rPr>
        <w:t>behavior</w:t>
      </w:r>
      <w:proofErr w:type="spellEnd"/>
      <w:r>
        <w:rPr>
          <w:i/>
          <w:iCs w:val="0"/>
        </w:rPr>
        <w:t xml:space="preserve"> of </w:t>
      </w:r>
      <w:proofErr w:type="spellStart"/>
      <w:r>
        <w:rPr>
          <w:i/>
          <w:iCs w:val="0"/>
        </w:rPr>
        <w:t>soil</w:t>
      </w:r>
      <w:proofErr w:type="spellEnd"/>
      <w:r>
        <w:rPr>
          <w:i/>
          <w:iCs w:val="0"/>
        </w:rPr>
        <w:t xml:space="preserve">-structure interface </w:t>
      </w:r>
      <w:proofErr w:type="spellStart"/>
      <w:r>
        <w:rPr>
          <w:i/>
          <w:iCs w:val="0"/>
        </w:rPr>
        <w:t>under</w:t>
      </w:r>
      <w:proofErr w:type="spellEnd"/>
      <w:r>
        <w:rPr>
          <w:i/>
          <w:iCs w:val="0"/>
        </w:rPr>
        <w:t xml:space="preserve"> </w:t>
      </w:r>
      <w:proofErr w:type="spellStart"/>
      <w:r>
        <w:rPr>
          <w:i/>
          <w:iCs w:val="0"/>
        </w:rPr>
        <w:t>monotonic</w:t>
      </w:r>
      <w:proofErr w:type="spellEnd"/>
      <w:r>
        <w:rPr>
          <w:i/>
          <w:iCs w:val="0"/>
        </w:rPr>
        <w:t xml:space="preserve"> and </w:t>
      </w:r>
      <w:proofErr w:type="spellStart"/>
      <w:r>
        <w:rPr>
          <w:i/>
          <w:iCs w:val="0"/>
        </w:rPr>
        <w:t>cyclic</w:t>
      </w:r>
      <w:proofErr w:type="spellEnd"/>
      <w:r>
        <w:rPr>
          <w:i/>
          <w:iCs w:val="0"/>
        </w:rPr>
        <w:t xml:space="preserve"> </w:t>
      </w:r>
      <w:proofErr w:type="spellStart"/>
      <w:r>
        <w:rPr>
          <w:i/>
          <w:iCs w:val="0"/>
        </w:rPr>
        <w:t>loads</w:t>
      </w:r>
      <w:proofErr w:type="spellEnd"/>
      <w:r>
        <w:rPr>
          <w:i/>
          <w:iCs w:val="0"/>
        </w:rPr>
        <w:t xml:space="preserve"> in the </w:t>
      </w:r>
      <w:proofErr w:type="spellStart"/>
      <w:r>
        <w:rPr>
          <w:i/>
          <w:iCs w:val="0"/>
        </w:rPr>
        <w:t>context</w:t>
      </w:r>
      <w:proofErr w:type="spellEnd"/>
      <w:r>
        <w:rPr>
          <w:i/>
          <w:iCs w:val="0"/>
        </w:rPr>
        <w:t xml:space="preserve"> of </w:t>
      </w:r>
      <w:proofErr w:type="spellStart"/>
      <w:r>
        <w:rPr>
          <w:i/>
          <w:iCs w:val="0"/>
        </w:rPr>
        <w:t>energy</w:t>
      </w:r>
      <w:proofErr w:type="spellEnd"/>
      <w:r>
        <w:rPr>
          <w:i/>
          <w:iCs w:val="0"/>
        </w:rPr>
        <w:t xml:space="preserve"> </w:t>
      </w:r>
      <w:proofErr w:type="spellStart"/>
      <w:r>
        <w:rPr>
          <w:i/>
          <w:iCs w:val="0"/>
        </w:rPr>
        <w:t>geostructures</w:t>
      </w:r>
      <w:proofErr w:type="spellEnd"/>
      <w:r>
        <w:t xml:space="preserve"> (Doctoral dissertation, Université de Lorraine).</w:t>
      </w:r>
    </w:p>
    <w:p w:rsidR="000943EC" w:rsidRPr="000943EC" w:rsidRDefault="000943EC" w:rsidP="000943EC">
      <w:pPr>
        <w:pStyle w:val="Corpsdetexte12retrait5mm"/>
        <w:ind w:left="284" w:hanging="284"/>
        <w:rPr>
          <w:lang w:val="en-GB"/>
        </w:rPr>
      </w:pPr>
      <w:proofErr w:type="spellStart"/>
      <w:r>
        <w:t>Ng</w:t>
      </w:r>
      <w:proofErr w:type="spellEnd"/>
      <w:r>
        <w:t xml:space="preserve">, C. W. W., </w:t>
      </w:r>
      <w:proofErr w:type="spellStart"/>
      <w:r>
        <w:t>Shi</w:t>
      </w:r>
      <w:proofErr w:type="spellEnd"/>
      <w:r>
        <w:t xml:space="preserve">, C., </w:t>
      </w:r>
      <w:proofErr w:type="spellStart"/>
      <w:r>
        <w:t>Gunawan</w:t>
      </w:r>
      <w:proofErr w:type="spellEnd"/>
      <w:r>
        <w:t xml:space="preserve">, A., </w:t>
      </w:r>
      <w:proofErr w:type="spellStart"/>
      <w:r>
        <w:t>Laloui</w:t>
      </w:r>
      <w:proofErr w:type="spellEnd"/>
      <w:r>
        <w:t xml:space="preserve">, L., &amp; Liu, H. L. (2015). Centrifuge </w:t>
      </w:r>
      <w:proofErr w:type="spellStart"/>
      <w:r>
        <w:t>modelling</w:t>
      </w:r>
      <w:proofErr w:type="spellEnd"/>
      <w:r>
        <w:t xml:space="preserve"> of </w:t>
      </w:r>
      <w:proofErr w:type="spellStart"/>
      <w:r>
        <w:t>heating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energy</w:t>
      </w:r>
      <w:proofErr w:type="spellEnd"/>
      <w:r>
        <w:t xml:space="preserve"> pile performance in </w:t>
      </w:r>
      <w:proofErr w:type="spellStart"/>
      <w:r>
        <w:t>saturated</w:t>
      </w:r>
      <w:proofErr w:type="spellEnd"/>
      <w:r>
        <w:t xml:space="preserve"> </w:t>
      </w:r>
      <w:proofErr w:type="spellStart"/>
      <w:r>
        <w:t>sand</w:t>
      </w:r>
      <w:proofErr w:type="spellEnd"/>
      <w:r>
        <w:t xml:space="preserve">. </w:t>
      </w:r>
      <w:r>
        <w:rPr>
          <w:i/>
          <w:iCs w:val="0"/>
        </w:rPr>
        <w:t xml:space="preserve">Canadian </w:t>
      </w:r>
      <w:proofErr w:type="spellStart"/>
      <w:r>
        <w:rPr>
          <w:i/>
          <w:iCs w:val="0"/>
        </w:rPr>
        <w:t>Geotechnical</w:t>
      </w:r>
      <w:proofErr w:type="spellEnd"/>
      <w:r>
        <w:rPr>
          <w:i/>
          <w:iCs w:val="0"/>
        </w:rPr>
        <w:t xml:space="preserve"> Journal</w:t>
      </w:r>
      <w:r>
        <w:t xml:space="preserve">, </w:t>
      </w:r>
      <w:r>
        <w:rPr>
          <w:i/>
          <w:iCs w:val="0"/>
        </w:rPr>
        <w:t>52</w:t>
      </w:r>
      <w:r>
        <w:t>(8), 1045-1057.</w:t>
      </w:r>
    </w:p>
    <w:p w:rsidR="000943EC" w:rsidRPr="002E264A" w:rsidRDefault="000943EC" w:rsidP="000943EC">
      <w:pPr>
        <w:pStyle w:val="Corpsdetexte12retrait5mm"/>
        <w:ind w:left="284" w:hanging="284"/>
        <w:rPr>
          <w:lang w:val="en-GB"/>
        </w:rPr>
      </w:pPr>
      <w:r>
        <w:t>Nguyen, V. T., Tang, A. M., &amp; Pereira, J. M. (2017). Long-</w:t>
      </w:r>
      <w:proofErr w:type="spellStart"/>
      <w:r>
        <w:t>term</w:t>
      </w:r>
      <w:proofErr w:type="spellEnd"/>
      <w:r>
        <w:t xml:space="preserve"> thermo-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pile in dry </w:t>
      </w:r>
      <w:proofErr w:type="spellStart"/>
      <w:r>
        <w:t>sand</w:t>
      </w:r>
      <w:proofErr w:type="spellEnd"/>
      <w:r>
        <w:t xml:space="preserve">. </w:t>
      </w:r>
      <w:r>
        <w:rPr>
          <w:i/>
          <w:iCs w:val="0"/>
        </w:rPr>
        <w:t xml:space="preserve">Acta </w:t>
      </w:r>
      <w:proofErr w:type="spellStart"/>
      <w:r>
        <w:rPr>
          <w:i/>
          <w:iCs w:val="0"/>
        </w:rPr>
        <w:t>Geotechnica</w:t>
      </w:r>
      <w:proofErr w:type="spellEnd"/>
      <w:r>
        <w:t xml:space="preserve">, </w:t>
      </w:r>
      <w:r>
        <w:rPr>
          <w:i/>
          <w:iCs w:val="0"/>
        </w:rPr>
        <w:t>12</w:t>
      </w:r>
      <w:r>
        <w:t>(4), 729-737.</w:t>
      </w:r>
    </w:p>
    <w:p w:rsidR="002E264A" w:rsidRPr="002E264A" w:rsidRDefault="002E264A" w:rsidP="002E264A">
      <w:pPr>
        <w:pStyle w:val="Corpsdetexte12retrait5mm"/>
        <w:ind w:left="284" w:hanging="284"/>
        <w:rPr>
          <w:lang w:val="en-GB"/>
        </w:rPr>
      </w:pPr>
      <w:r>
        <w:t xml:space="preserve">Shakir, R. R., &amp; Zhu, J. (2009). </w:t>
      </w:r>
      <w:proofErr w:type="spellStart"/>
      <w:r>
        <w:t>Behavior</w:t>
      </w:r>
      <w:proofErr w:type="spellEnd"/>
      <w:r>
        <w:t xml:space="preserve"> of </w:t>
      </w:r>
      <w:proofErr w:type="spellStart"/>
      <w:r>
        <w:t>compacted</w:t>
      </w:r>
      <w:proofErr w:type="spellEnd"/>
      <w:r>
        <w:t xml:space="preserve"> </w:t>
      </w:r>
      <w:proofErr w:type="spellStart"/>
      <w:r>
        <w:t>clay-concrete</w:t>
      </w:r>
      <w:proofErr w:type="spellEnd"/>
      <w:r>
        <w:t xml:space="preserve"> interface. </w:t>
      </w:r>
      <w:proofErr w:type="spellStart"/>
      <w:r>
        <w:rPr>
          <w:i/>
          <w:iCs w:val="0"/>
        </w:rPr>
        <w:t>Frontiers</w:t>
      </w:r>
      <w:proofErr w:type="spellEnd"/>
      <w:r>
        <w:rPr>
          <w:i/>
          <w:iCs w:val="0"/>
        </w:rPr>
        <w:t xml:space="preserve"> of Architecture and Civil Engineering in China</w:t>
      </w:r>
      <w:r>
        <w:t xml:space="preserve">, </w:t>
      </w:r>
      <w:r>
        <w:rPr>
          <w:i/>
          <w:iCs w:val="0"/>
        </w:rPr>
        <w:t>3</w:t>
      </w:r>
      <w:r>
        <w:t>(1), 85-92.</w:t>
      </w:r>
    </w:p>
    <w:p w:rsidR="002E264A" w:rsidRPr="002B4C66" w:rsidRDefault="002E264A" w:rsidP="002E264A">
      <w:pPr>
        <w:pStyle w:val="Corpsdetexte12retrait5mm"/>
        <w:ind w:left="284" w:hanging="284"/>
        <w:rPr>
          <w:lang w:val="en-GB"/>
        </w:rPr>
      </w:pPr>
      <w:proofErr w:type="spellStart"/>
      <w:r>
        <w:t>Szymkiewicz</w:t>
      </w:r>
      <w:proofErr w:type="spellEnd"/>
      <w:r>
        <w:t xml:space="preserve">, F., </w:t>
      </w:r>
      <w:proofErr w:type="spellStart"/>
      <w:r>
        <w:t>Burlon</w:t>
      </w:r>
      <w:proofErr w:type="spellEnd"/>
      <w:r>
        <w:t xml:space="preserve">, S., </w:t>
      </w:r>
      <w:proofErr w:type="spellStart"/>
      <w:r>
        <w:t>Guirado</w:t>
      </w:r>
      <w:proofErr w:type="spellEnd"/>
      <w:r>
        <w:t xml:space="preserve">, F., Minatchy, C., &amp; </w:t>
      </w:r>
      <w:proofErr w:type="spellStart"/>
      <w:r>
        <w:t>Vinceslas</w:t>
      </w:r>
      <w:proofErr w:type="spellEnd"/>
      <w:r>
        <w:t xml:space="preserve">, G. (2015).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heating-cooling</w:t>
      </w:r>
      <w:proofErr w:type="spellEnd"/>
      <w:r>
        <w:t xml:space="preserve"> cycles on the </w:t>
      </w:r>
      <w:proofErr w:type="spellStart"/>
      <w:r>
        <w:t>bearing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CFA piles in </w:t>
      </w:r>
      <w:proofErr w:type="spellStart"/>
      <w:r>
        <w:t>sandy</w:t>
      </w:r>
      <w:proofErr w:type="spellEnd"/>
      <w:r>
        <w:t xml:space="preserve"> </w:t>
      </w:r>
      <w:proofErr w:type="spellStart"/>
      <w:r>
        <w:t>soils</w:t>
      </w:r>
      <w:proofErr w:type="spellEnd"/>
      <w:r w:rsidR="002B4C66" w:rsidRPr="004D764D">
        <w:rPr>
          <w:lang w:val="en-GB"/>
        </w:rPr>
        <w:t xml:space="preserve">, </w:t>
      </w:r>
      <w:r w:rsidR="002B4C66">
        <w:t>XVI ECSMGE, Edinburgh.</w:t>
      </w:r>
    </w:p>
    <w:p w:rsidR="002E264A" w:rsidRPr="002E264A" w:rsidRDefault="002E264A" w:rsidP="002E264A">
      <w:pPr>
        <w:pStyle w:val="Corpsdetexte12retrait5mm"/>
        <w:ind w:left="284" w:hanging="284"/>
        <w:rPr>
          <w:lang w:val="en-GB"/>
        </w:rPr>
      </w:pPr>
      <w:proofErr w:type="spellStart"/>
      <w:r w:rsidRPr="007755BE">
        <w:rPr>
          <w:lang w:val="fr-FR"/>
        </w:rPr>
        <w:t>Vasilescu</w:t>
      </w:r>
      <w:proofErr w:type="spellEnd"/>
      <w:r w:rsidRPr="007755BE">
        <w:rPr>
          <w:lang w:val="fr-FR"/>
        </w:rPr>
        <w:t xml:space="preserve">, R., Yin, K., </w:t>
      </w:r>
      <w:proofErr w:type="spellStart"/>
      <w:r w:rsidRPr="007755BE">
        <w:rPr>
          <w:lang w:val="fr-FR"/>
        </w:rPr>
        <w:t>Fauchille</w:t>
      </w:r>
      <w:proofErr w:type="spellEnd"/>
      <w:r w:rsidRPr="007755BE">
        <w:rPr>
          <w:lang w:val="fr-FR"/>
        </w:rPr>
        <w:t xml:space="preserve">, A. L., </w:t>
      </w:r>
      <w:proofErr w:type="spellStart"/>
      <w:r w:rsidRPr="007755BE">
        <w:rPr>
          <w:lang w:val="fr-FR"/>
        </w:rPr>
        <w:t>Kotronis</w:t>
      </w:r>
      <w:proofErr w:type="spellEnd"/>
      <w:r w:rsidRPr="007755BE">
        <w:rPr>
          <w:lang w:val="fr-FR"/>
        </w:rPr>
        <w:t xml:space="preserve">, P., Dano, C., </w:t>
      </w:r>
      <w:proofErr w:type="spellStart"/>
      <w:r w:rsidRPr="007755BE">
        <w:rPr>
          <w:lang w:val="fr-FR"/>
        </w:rPr>
        <w:t>Manirakiza</w:t>
      </w:r>
      <w:proofErr w:type="spellEnd"/>
      <w:r w:rsidRPr="007755BE">
        <w:rPr>
          <w:lang w:val="fr-FR"/>
        </w:rPr>
        <w:t xml:space="preserve">, R., &amp; </w:t>
      </w:r>
      <w:proofErr w:type="spellStart"/>
      <w:r w:rsidRPr="007755BE">
        <w:rPr>
          <w:lang w:val="fr-FR"/>
        </w:rPr>
        <w:t>Gotteland</w:t>
      </w:r>
      <w:proofErr w:type="spellEnd"/>
      <w:r w:rsidRPr="007755BE">
        <w:rPr>
          <w:lang w:val="fr-FR"/>
        </w:rPr>
        <w:t xml:space="preserve">, P. (2019). </w:t>
      </w:r>
      <w:r w:rsidRPr="007755BE">
        <w:rPr>
          <w:lang w:val="en-GB"/>
        </w:rPr>
        <w:t xml:space="preserve">Influence of thermal cycles on the deformation of soil-pile interface in energy piles. </w:t>
      </w:r>
      <w:proofErr w:type="gramStart"/>
      <w:r w:rsidRPr="002E264A">
        <w:rPr>
          <w:lang w:val="en-GB"/>
        </w:rPr>
        <w:t>In E3S Web of Conferences (Vol. 92, p. 13004).</w:t>
      </w:r>
      <w:proofErr w:type="gramEnd"/>
      <w:r w:rsidRPr="002E264A">
        <w:rPr>
          <w:lang w:val="en-GB"/>
        </w:rPr>
        <w:t xml:space="preserve"> </w:t>
      </w:r>
      <w:proofErr w:type="gramStart"/>
      <w:r w:rsidRPr="002E264A">
        <w:rPr>
          <w:lang w:val="en-GB"/>
        </w:rPr>
        <w:t>EDP Sciences.</w:t>
      </w:r>
      <w:proofErr w:type="gramEnd"/>
    </w:p>
    <w:p w:rsidR="002E264A" w:rsidRPr="002E264A" w:rsidRDefault="002E264A" w:rsidP="002E264A">
      <w:pPr>
        <w:pStyle w:val="Corpsdetexte12retrait5mm"/>
        <w:ind w:left="284" w:hanging="284"/>
        <w:rPr>
          <w:lang w:val="en-GB"/>
        </w:rPr>
      </w:pPr>
      <w:r>
        <w:t xml:space="preserve">Xiao, S., </w:t>
      </w:r>
      <w:proofErr w:type="spellStart"/>
      <w:r>
        <w:t>Suleiman</w:t>
      </w:r>
      <w:proofErr w:type="spellEnd"/>
      <w:r>
        <w:t>, M. T., &amp; Al-</w:t>
      </w:r>
      <w:proofErr w:type="spellStart"/>
      <w:r>
        <w:t>Khawaja</w:t>
      </w:r>
      <w:proofErr w:type="spellEnd"/>
      <w:r>
        <w:t xml:space="preserve">, M. (2019). Investigation of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temperature</w:t>
      </w:r>
      <w:proofErr w:type="spellEnd"/>
      <w:r>
        <w:t xml:space="preserve"> cycles on </w:t>
      </w:r>
      <w:proofErr w:type="spellStart"/>
      <w:r>
        <w:t>soil-concrete</w:t>
      </w:r>
      <w:proofErr w:type="spellEnd"/>
      <w:r>
        <w:t xml:space="preserve"> interface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direct </w:t>
      </w:r>
      <w:proofErr w:type="spellStart"/>
      <w:r>
        <w:t>shear</w:t>
      </w:r>
      <w:proofErr w:type="spellEnd"/>
      <w:r>
        <w:t xml:space="preserve"> tests. </w:t>
      </w:r>
      <w:proofErr w:type="spellStart"/>
      <w:r>
        <w:rPr>
          <w:i/>
          <w:iCs w:val="0"/>
        </w:rPr>
        <w:t>Soils</w:t>
      </w:r>
      <w:proofErr w:type="spellEnd"/>
      <w:r>
        <w:rPr>
          <w:i/>
          <w:iCs w:val="0"/>
        </w:rPr>
        <w:t xml:space="preserve"> and </w:t>
      </w:r>
      <w:proofErr w:type="spellStart"/>
      <w:r>
        <w:rPr>
          <w:i/>
          <w:iCs w:val="0"/>
        </w:rPr>
        <w:t>Foundations</w:t>
      </w:r>
      <w:proofErr w:type="spellEnd"/>
      <w:r>
        <w:t xml:space="preserve">, </w:t>
      </w:r>
      <w:r>
        <w:rPr>
          <w:i/>
          <w:iCs w:val="0"/>
        </w:rPr>
        <w:t>59</w:t>
      </w:r>
      <w:r>
        <w:t>(5), 1213-1227.</w:t>
      </w:r>
    </w:p>
    <w:p w:rsidR="002E264A" w:rsidRPr="004D764D" w:rsidRDefault="007755BE" w:rsidP="002E264A">
      <w:pPr>
        <w:pStyle w:val="Corpsdetexte12retrait5mm"/>
        <w:ind w:left="284" w:hanging="284"/>
        <w:rPr>
          <w:lang w:val="en-GB"/>
        </w:rPr>
      </w:pPr>
      <w:proofErr w:type="spellStart"/>
      <w:r>
        <w:t>Yavari</w:t>
      </w:r>
      <w:proofErr w:type="spellEnd"/>
      <w:r>
        <w:t xml:space="preserve">, N., Tang, A. M., Pereira, J. M., &amp; Hassen, G. (2016).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temperature</w:t>
      </w:r>
      <w:proofErr w:type="spellEnd"/>
      <w:r>
        <w:t xml:space="preserve"> on the </w:t>
      </w:r>
      <w:proofErr w:type="spellStart"/>
      <w:r>
        <w:t>shear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soils</w:t>
      </w:r>
      <w:proofErr w:type="spellEnd"/>
      <w:r>
        <w:t xml:space="preserve"> and the </w:t>
      </w:r>
      <w:proofErr w:type="spellStart"/>
      <w:r>
        <w:t>soil</w:t>
      </w:r>
      <w:proofErr w:type="spellEnd"/>
      <w:r>
        <w:t xml:space="preserve">–structure interface. </w:t>
      </w:r>
      <w:r>
        <w:rPr>
          <w:i/>
          <w:iCs w:val="0"/>
        </w:rPr>
        <w:t xml:space="preserve">Canadian </w:t>
      </w:r>
      <w:proofErr w:type="spellStart"/>
      <w:r>
        <w:rPr>
          <w:i/>
          <w:iCs w:val="0"/>
        </w:rPr>
        <w:t>Geotechnical</w:t>
      </w:r>
      <w:proofErr w:type="spellEnd"/>
      <w:r>
        <w:rPr>
          <w:i/>
          <w:iCs w:val="0"/>
        </w:rPr>
        <w:t xml:space="preserve"> Journal</w:t>
      </w:r>
      <w:r>
        <w:t xml:space="preserve">, </w:t>
      </w:r>
      <w:r>
        <w:rPr>
          <w:i/>
          <w:iCs w:val="0"/>
        </w:rPr>
        <w:t>53</w:t>
      </w:r>
      <w:r>
        <w:t>(7), 1186-1194.</w:t>
      </w:r>
      <w:r w:rsidR="002E264A" w:rsidRPr="002E264A">
        <w:t xml:space="preserve"> </w:t>
      </w:r>
    </w:p>
    <w:p w:rsidR="002E264A" w:rsidRPr="002E264A" w:rsidRDefault="002E264A" w:rsidP="002E264A">
      <w:pPr>
        <w:pStyle w:val="Corpsdetexte12retrait5mm"/>
        <w:ind w:left="284" w:hanging="284"/>
        <w:rPr>
          <w:lang w:val="fr-FR"/>
        </w:rPr>
      </w:pPr>
      <w:proofErr w:type="spellStart"/>
      <w:r>
        <w:t>Yavari</w:t>
      </w:r>
      <w:proofErr w:type="spellEnd"/>
      <w:r>
        <w:t xml:space="preserve">, N., Tang, A. M., Pereira, J. M., &amp; Hassen, G. (2016).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of a </w:t>
      </w:r>
      <w:proofErr w:type="spellStart"/>
      <w:r>
        <w:t>small-scale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pile in </w:t>
      </w:r>
      <w:proofErr w:type="spellStart"/>
      <w:r>
        <w:t>saturated</w:t>
      </w:r>
      <w:proofErr w:type="spellEnd"/>
      <w:r>
        <w:t xml:space="preserve"> </w:t>
      </w:r>
      <w:proofErr w:type="spellStart"/>
      <w:r>
        <w:t>clay</w:t>
      </w:r>
      <w:proofErr w:type="spellEnd"/>
      <w:r>
        <w:t xml:space="preserve">. </w:t>
      </w:r>
      <w:r>
        <w:rPr>
          <w:i/>
          <w:iCs w:val="0"/>
        </w:rPr>
        <w:t>Géotechnique</w:t>
      </w:r>
      <w:r>
        <w:t xml:space="preserve">, </w:t>
      </w:r>
      <w:r>
        <w:rPr>
          <w:i/>
          <w:iCs w:val="0"/>
        </w:rPr>
        <w:t>66</w:t>
      </w:r>
      <w:r>
        <w:t>(11), 878-887</w:t>
      </w:r>
      <w:r>
        <w:rPr>
          <w:lang w:val="fr-FR"/>
        </w:rPr>
        <w:t>.</w:t>
      </w:r>
    </w:p>
    <w:p w:rsidR="007755BE" w:rsidRPr="002E264A" w:rsidRDefault="002E264A" w:rsidP="002E264A">
      <w:pPr>
        <w:pStyle w:val="Corpsdetexte12retrait5mm"/>
        <w:ind w:left="284" w:hanging="284"/>
        <w:rPr>
          <w:lang w:val="fr-FR"/>
        </w:rPr>
      </w:pPr>
      <w:r>
        <w:t xml:space="preserve">Yin, K., </w:t>
      </w:r>
      <w:proofErr w:type="spellStart"/>
      <w:r>
        <w:t>Vasilescu</w:t>
      </w:r>
      <w:proofErr w:type="spellEnd"/>
      <w:r>
        <w:t xml:space="preserve">, R., </w:t>
      </w:r>
      <w:proofErr w:type="spellStart"/>
      <w:r>
        <w:t>Fauchille</w:t>
      </w:r>
      <w:proofErr w:type="spellEnd"/>
      <w:r>
        <w:t xml:space="preserve">, A. L., &amp; </w:t>
      </w:r>
      <w:proofErr w:type="spellStart"/>
      <w:r>
        <w:t>Kotronis</w:t>
      </w:r>
      <w:proofErr w:type="spellEnd"/>
      <w:r>
        <w:t xml:space="preserve">, P. (2020). Thermal </w:t>
      </w:r>
      <w:proofErr w:type="spellStart"/>
      <w:r>
        <w:t>effects</w:t>
      </w:r>
      <w:proofErr w:type="spellEnd"/>
      <w:r>
        <w:t xml:space="preserve"> on the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of Paris green </w:t>
      </w:r>
      <w:proofErr w:type="spellStart"/>
      <w:r>
        <w:t>clay</w:t>
      </w:r>
      <w:proofErr w:type="spellEnd"/>
      <w:r>
        <w:t>–</w:t>
      </w:r>
      <w:proofErr w:type="spellStart"/>
      <w:r>
        <w:t>concrete</w:t>
      </w:r>
      <w:proofErr w:type="spellEnd"/>
      <w:r>
        <w:t xml:space="preserve"> interface. In </w:t>
      </w:r>
      <w:r>
        <w:rPr>
          <w:i/>
          <w:iCs w:val="0"/>
        </w:rPr>
        <w:t xml:space="preserve">E3S Web of </w:t>
      </w:r>
      <w:proofErr w:type="spellStart"/>
      <w:r>
        <w:rPr>
          <w:i/>
          <w:iCs w:val="0"/>
        </w:rPr>
        <w:t>Conferences</w:t>
      </w:r>
      <w:proofErr w:type="spellEnd"/>
      <w:r>
        <w:t xml:space="preserve"> (Vol. 205, p. 13006). EDP Sciences.</w:t>
      </w:r>
    </w:p>
    <w:sectPr w:rsidR="007755BE" w:rsidRPr="002E264A" w:rsidSect="00B84B6D">
      <w:headerReference w:type="default" r:id="rId16"/>
      <w:footerReference w:type="even" r:id="rId17"/>
      <w:footerReference w:type="default" r:id="rId18"/>
      <w:pgSz w:w="11879" w:h="16817"/>
      <w:pgMar w:top="1134" w:right="1134" w:bottom="1134" w:left="1134" w:header="454" w:footer="454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7C" w:rsidRDefault="00A36C7C">
      <w:r>
        <w:separator/>
      </w:r>
    </w:p>
  </w:endnote>
  <w:endnote w:type="continuationSeparator" w:id="0">
    <w:p w:rsidR="00A36C7C" w:rsidRDefault="00A3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AE" w:rsidRDefault="00FF28AE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F28AE" w:rsidRDefault="00FF28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AE" w:rsidRPr="00B16A79" w:rsidRDefault="00FF28AE">
    <w:pPr>
      <w:framePr w:wrap="around" w:vAnchor="text" w:hAnchor="margin" w:xAlign="center" w:y="1"/>
      <w:rPr>
        <w:rStyle w:val="Numrodepage"/>
        <w:rFonts w:ascii="Arial" w:hAnsi="Arial" w:cs="Arial"/>
        <w:sz w:val="22"/>
        <w:szCs w:val="22"/>
      </w:rPr>
    </w:pPr>
    <w:r w:rsidRPr="00B16A79">
      <w:rPr>
        <w:rStyle w:val="Numrodepage"/>
        <w:rFonts w:ascii="Arial" w:hAnsi="Arial" w:cs="Arial"/>
        <w:sz w:val="22"/>
        <w:szCs w:val="22"/>
      </w:rPr>
      <w:fldChar w:fldCharType="begin"/>
    </w:r>
    <w:r w:rsidRPr="00B16A79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B16A79">
      <w:rPr>
        <w:rStyle w:val="Numrodepage"/>
        <w:rFonts w:ascii="Arial" w:hAnsi="Arial" w:cs="Arial"/>
        <w:sz w:val="22"/>
        <w:szCs w:val="22"/>
      </w:rPr>
      <w:fldChar w:fldCharType="separate"/>
    </w:r>
    <w:r w:rsidR="0068744F">
      <w:rPr>
        <w:rStyle w:val="Numrodepage"/>
        <w:rFonts w:ascii="Arial" w:hAnsi="Arial" w:cs="Arial"/>
        <w:noProof/>
        <w:sz w:val="22"/>
        <w:szCs w:val="22"/>
      </w:rPr>
      <w:t>6</w:t>
    </w:r>
    <w:r w:rsidRPr="00B16A79">
      <w:rPr>
        <w:rStyle w:val="Numrodepage"/>
        <w:rFonts w:ascii="Arial" w:hAnsi="Arial" w:cs="Arial"/>
        <w:sz w:val="22"/>
        <w:szCs w:val="22"/>
      </w:rPr>
      <w:fldChar w:fldCharType="end"/>
    </w:r>
  </w:p>
  <w:p w:rsidR="00FF28AE" w:rsidRDefault="00FF28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7C" w:rsidRDefault="00A36C7C">
      <w:r>
        <w:separator/>
      </w:r>
    </w:p>
  </w:footnote>
  <w:footnote w:type="continuationSeparator" w:id="0">
    <w:p w:rsidR="00A36C7C" w:rsidRDefault="00A36C7C">
      <w:r>
        <w:continuationSeparator/>
      </w:r>
    </w:p>
  </w:footnote>
  <w:footnote w:id="1">
    <w:p w:rsidR="007D10E9" w:rsidRDefault="007D10E9">
      <w:pPr>
        <w:pStyle w:val="Notedebasdepage"/>
      </w:pPr>
      <w:r>
        <w:rPr>
          <w:rStyle w:val="Appelnotedebasdep"/>
        </w:rPr>
        <w:footnoteRef/>
      </w:r>
      <w:r>
        <w:t xml:space="preserve"> La dilatation de la </w:t>
      </w:r>
      <w:proofErr w:type="spellStart"/>
      <w:r>
        <w:t>demi-boîte</w:t>
      </w:r>
      <w:proofErr w:type="spellEnd"/>
      <w:r>
        <w:t xml:space="preserve"> supérieure existe mais n'est pas mesurée.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AE" w:rsidRPr="0093246D" w:rsidRDefault="00FF28AE" w:rsidP="00F618FB">
    <w:pPr>
      <w:pStyle w:val="En-tte"/>
    </w:pPr>
    <w:r>
      <w:t>11</w:t>
    </w:r>
    <w:r w:rsidRPr="0013118E">
      <w:rPr>
        <w:vertAlign w:val="superscript"/>
      </w:rPr>
      <w:t>emes</w:t>
    </w:r>
    <w:r>
      <w:t xml:space="preserve"> Journées Nationales de Géotechnique et de Géologie de l’Ingénieur – Lyon 2022</w:t>
    </w:r>
  </w:p>
  <w:p w:rsidR="00FF28AE" w:rsidRDefault="00FF28AE"/>
  <w:p w:rsidR="00FF28AE" w:rsidRDefault="00FF28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B14"/>
    <w:multiLevelType w:val="multilevel"/>
    <w:tmpl w:val="1054C22E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6D"/>
    <w:rsid w:val="00025ACA"/>
    <w:rsid w:val="00030197"/>
    <w:rsid w:val="000943EC"/>
    <w:rsid w:val="000C718B"/>
    <w:rsid w:val="000D7972"/>
    <w:rsid w:val="0013118E"/>
    <w:rsid w:val="00162CFA"/>
    <w:rsid w:val="001972E3"/>
    <w:rsid w:val="001B459F"/>
    <w:rsid w:val="001B5A50"/>
    <w:rsid w:val="001D490E"/>
    <w:rsid w:val="001E215D"/>
    <w:rsid w:val="00200C85"/>
    <w:rsid w:val="002078AC"/>
    <w:rsid w:val="00234EF8"/>
    <w:rsid w:val="00242F61"/>
    <w:rsid w:val="002460AC"/>
    <w:rsid w:val="002611D0"/>
    <w:rsid w:val="002641C7"/>
    <w:rsid w:val="00275262"/>
    <w:rsid w:val="00281D99"/>
    <w:rsid w:val="002B3E09"/>
    <w:rsid w:val="002B4C66"/>
    <w:rsid w:val="002E264A"/>
    <w:rsid w:val="002F67E6"/>
    <w:rsid w:val="0030030B"/>
    <w:rsid w:val="003444A4"/>
    <w:rsid w:val="003465D0"/>
    <w:rsid w:val="00350CAB"/>
    <w:rsid w:val="0035319A"/>
    <w:rsid w:val="003760BA"/>
    <w:rsid w:val="003A7CF3"/>
    <w:rsid w:val="003E647B"/>
    <w:rsid w:val="003F4E03"/>
    <w:rsid w:val="0040401F"/>
    <w:rsid w:val="004228DB"/>
    <w:rsid w:val="0044334F"/>
    <w:rsid w:val="0047452E"/>
    <w:rsid w:val="004A01B1"/>
    <w:rsid w:val="004A3FF0"/>
    <w:rsid w:val="004A5278"/>
    <w:rsid w:val="004B320F"/>
    <w:rsid w:val="004B5AD4"/>
    <w:rsid w:val="004B66FB"/>
    <w:rsid w:val="004D764D"/>
    <w:rsid w:val="004D7721"/>
    <w:rsid w:val="004E0487"/>
    <w:rsid w:val="004F47E1"/>
    <w:rsid w:val="00503A30"/>
    <w:rsid w:val="00504356"/>
    <w:rsid w:val="005125E5"/>
    <w:rsid w:val="00535CA4"/>
    <w:rsid w:val="0054408D"/>
    <w:rsid w:val="00567D82"/>
    <w:rsid w:val="00590CC7"/>
    <w:rsid w:val="005A1F16"/>
    <w:rsid w:val="005A4BA4"/>
    <w:rsid w:val="005A6BFE"/>
    <w:rsid w:val="005C499C"/>
    <w:rsid w:val="005C5B0D"/>
    <w:rsid w:val="00620FE4"/>
    <w:rsid w:val="00624BB6"/>
    <w:rsid w:val="0062503D"/>
    <w:rsid w:val="00644C1F"/>
    <w:rsid w:val="0068744F"/>
    <w:rsid w:val="006D5401"/>
    <w:rsid w:val="0072175B"/>
    <w:rsid w:val="0072516F"/>
    <w:rsid w:val="0073018C"/>
    <w:rsid w:val="007328D8"/>
    <w:rsid w:val="0076078A"/>
    <w:rsid w:val="007755BE"/>
    <w:rsid w:val="0077630A"/>
    <w:rsid w:val="00791746"/>
    <w:rsid w:val="007A13C9"/>
    <w:rsid w:val="007B67E2"/>
    <w:rsid w:val="007C0E16"/>
    <w:rsid w:val="007C4DCE"/>
    <w:rsid w:val="007D10E9"/>
    <w:rsid w:val="007D420C"/>
    <w:rsid w:val="007D4AAB"/>
    <w:rsid w:val="007E604C"/>
    <w:rsid w:val="008159BF"/>
    <w:rsid w:val="00823164"/>
    <w:rsid w:val="00824249"/>
    <w:rsid w:val="00836305"/>
    <w:rsid w:val="00857F61"/>
    <w:rsid w:val="00862B61"/>
    <w:rsid w:val="00886481"/>
    <w:rsid w:val="00887491"/>
    <w:rsid w:val="008B223A"/>
    <w:rsid w:val="008D101B"/>
    <w:rsid w:val="008E3746"/>
    <w:rsid w:val="00900215"/>
    <w:rsid w:val="009033B0"/>
    <w:rsid w:val="00917A8F"/>
    <w:rsid w:val="00984346"/>
    <w:rsid w:val="009A1EBD"/>
    <w:rsid w:val="009A2675"/>
    <w:rsid w:val="009A28D3"/>
    <w:rsid w:val="009C21C8"/>
    <w:rsid w:val="009C4800"/>
    <w:rsid w:val="009C7807"/>
    <w:rsid w:val="009F2E5D"/>
    <w:rsid w:val="00A34856"/>
    <w:rsid w:val="00A36C7C"/>
    <w:rsid w:val="00A41EB9"/>
    <w:rsid w:val="00A82417"/>
    <w:rsid w:val="00A90E92"/>
    <w:rsid w:val="00A918D4"/>
    <w:rsid w:val="00A96626"/>
    <w:rsid w:val="00A96C30"/>
    <w:rsid w:val="00AA12FC"/>
    <w:rsid w:val="00AD5193"/>
    <w:rsid w:val="00AF5808"/>
    <w:rsid w:val="00B40799"/>
    <w:rsid w:val="00B456AE"/>
    <w:rsid w:val="00B62FC5"/>
    <w:rsid w:val="00B84B6D"/>
    <w:rsid w:val="00BA0BBC"/>
    <w:rsid w:val="00BD4CFD"/>
    <w:rsid w:val="00BE5C20"/>
    <w:rsid w:val="00BE6E7E"/>
    <w:rsid w:val="00C408CD"/>
    <w:rsid w:val="00C75E76"/>
    <w:rsid w:val="00C87A8F"/>
    <w:rsid w:val="00CA4A5B"/>
    <w:rsid w:val="00CC7B36"/>
    <w:rsid w:val="00CD27AD"/>
    <w:rsid w:val="00CD31C4"/>
    <w:rsid w:val="00CD7D88"/>
    <w:rsid w:val="00CF0F08"/>
    <w:rsid w:val="00CF35FC"/>
    <w:rsid w:val="00CF5117"/>
    <w:rsid w:val="00D01E6B"/>
    <w:rsid w:val="00D02240"/>
    <w:rsid w:val="00D15AA1"/>
    <w:rsid w:val="00D34EE2"/>
    <w:rsid w:val="00D417CC"/>
    <w:rsid w:val="00D44188"/>
    <w:rsid w:val="00D50960"/>
    <w:rsid w:val="00D52B44"/>
    <w:rsid w:val="00D61E2A"/>
    <w:rsid w:val="00D7209A"/>
    <w:rsid w:val="00D73304"/>
    <w:rsid w:val="00D87A27"/>
    <w:rsid w:val="00D961F5"/>
    <w:rsid w:val="00DA318F"/>
    <w:rsid w:val="00DA54F6"/>
    <w:rsid w:val="00DC7B43"/>
    <w:rsid w:val="00DF46F6"/>
    <w:rsid w:val="00E222E7"/>
    <w:rsid w:val="00E33BDA"/>
    <w:rsid w:val="00E35990"/>
    <w:rsid w:val="00E464AF"/>
    <w:rsid w:val="00E6102D"/>
    <w:rsid w:val="00E70BF8"/>
    <w:rsid w:val="00E90008"/>
    <w:rsid w:val="00EB6546"/>
    <w:rsid w:val="00ED1976"/>
    <w:rsid w:val="00EE5FD3"/>
    <w:rsid w:val="00EF5A85"/>
    <w:rsid w:val="00F05DE6"/>
    <w:rsid w:val="00F13E05"/>
    <w:rsid w:val="00F615E8"/>
    <w:rsid w:val="00F618FB"/>
    <w:rsid w:val="00F8197C"/>
    <w:rsid w:val="00F8715D"/>
    <w:rsid w:val="00FC7161"/>
    <w:rsid w:val="00FD60C9"/>
    <w:rsid w:val="00FF28AE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6D"/>
    <w:pPr>
      <w:spacing w:after="0" w:line="240" w:lineRule="auto"/>
    </w:pPr>
    <w:rPr>
      <w:rFonts w:ascii="Avant Garde" w:eastAsia="Times New Roman" w:hAnsi="Avant Garde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84B6D"/>
    <w:pPr>
      <w:keepNext/>
      <w:numPr>
        <w:numId w:val="1"/>
      </w:numPr>
      <w:spacing w:before="240" w:after="120"/>
      <w:ind w:left="357" w:hanging="357"/>
      <w:outlineLvl w:val="0"/>
    </w:pPr>
    <w:rPr>
      <w:rFonts w:ascii="Arial" w:hAnsi="Arial"/>
      <w:b/>
      <w:bCs/>
      <w:kern w:val="32"/>
      <w:sz w:val="24"/>
      <w:szCs w:val="24"/>
      <w:lang w:val="x-none" w:eastAsia="x-none"/>
    </w:rPr>
  </w:style>
  <w:style w:type="paragraph" w:styleId="Titre2">
    <w:name w:val="heading 2"/>
    <w:basedOn w:val="Normal"/>
    <w:next w:val="Listenumros2"/>
    <w:link w:val="Titre2Car"/>
    <w:qFormat/>
    <w:rsid w:val="00B84B6D"/>
    <w:pPr>
      <w:keepNext/>
      <w:spacing w:before="240" w:after="120"/>
      <w:ind w:left="360" w:hanging="360"/>
      <w:outlineLvl w:val="1"/>
    </w:pPr>
    <w:rPr>
      <w:rFonts w:ascii="Arial" w:hAnsi="Arial"/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4B6D"/>
    <w:rPr>
      <w:rFonts w:ascii="Arial" w:eastAsia="Times New Roman" w:hAnsi="Arial" w:cs="Times New Roman"/>
      <w:b/>
      <w:bCs/>
      <w:kern w:val="32"/>
      <w:sz w:val="24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rsid w:val="00B84B6D"/>
    <w:rPr>
      <w:rFonts w:ascii="Arial" w:eastAsia="Times New Roman" w:hAnsi="Arial" w:cs="Times New Roman"/>
      <w:b/>
      <w:i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B84B6D"/>
    <w:pPr>
      <w:tabs>
        <w:tab w:val="center" w:pos="4536"/>
        <w:tab w:val="right" w:pos="9072"/>
      </w:tabs>
      <w:jc w:val="center"/>
    </w:pPr>
    <w:rPr>
      <w:rFonts w:ascii="Arial" w:hAnsi="Arial" w:cs="Arial"/>
      <w:i/>
    </w:rPr>
  </w:style>
  <w:style w:type="character" w:customStyle="1" w:styleId="En-tteCar">
    <w:name w:val="En-tête Car"/>
    <w:basedOn w:val="Policepardfaut"/>
    <w:link w:val="En-tte"/>
    <w:rsid w:val="00B84B6D"/>
    <w:rPr>
      <w:rFonts w:ascii="Arial" w:eastAsia="Times New Roman" w:hAnsi="Arial" w:cs="Arial"/>
      <w:i/>
      <w:sz w:val="20"/>
      <w:szCs w:val="20"/>
      <w:lang w:eastAsia="fr-FR"/>
    </w:rPr>
  </w:style>
  <w:style w:type="paragraph" w:customStyle="1" w:styleId="auteurs">
    <w:name w:val="auteurs"/>
    <w:basedOn w:val="Normal"/>
    <w:autoRedefine/>
    <w:rsid w:val="00B84B6D"/>
    <w:rPr>
      <w:rFonts w:ascii="Arial" w:hAnsi="Arial"/>
      <w:iCs/>
      <w:sz w:val="24"/>
    </w:rPr>
  </w:style>
  <w:style w:type="paragraph" w:customStyle="1" w:styleId="titredeniveau3">
    <w:name w:val="titre de niveau 3"/>
    <w:basedOn w:val="Normal"/>
    <w:rsid w:val="00B84B6D"/>
    <w:pPr>
      <w:spacing w:before="240" w:after="120"/>
      <w:outlineLvl w:val="2"/>
    </w:pPr>
    <w:rPr>
      <w:rFonts w:ascii="Arial" w:hAnsi="Arial"/>
      <w:sz w:val="24"/>
    </w:rPr>
  </w:style>
  <w:style w:type="paragraph" w:customStyle="1" w:styleId="titredefigure">
    <w:name w:val="titre de figure"/>
    <w:basedOn w:val="auteurs"/>
    <w:rsid w:val="00B84B6D"/>
    <w:pPr>
      <w:spacing w:before="240" w:after="240"/>
      <w:jc w:val="center"/>
    </w:pPr>
    <w:rPr>
      <w:sz w:val="22"/>
    </w:rPr>
  </w:style>
  <w:style w:type="paragraph" w:customStyle="1" w:styleId="textedursum">
    <w:name w:val="texte du résumé"/>
    <w:basedOn w:val="Normal"/>
    <w:rsid w:val="00B84B6D"/>
    <w:pPr>
      <w:jc w:val="both"/>
    </w:pPr>
    <w:rPr>
      <w:rFonts w:ascii="Arial" w:hAnsi="Arial"/>
      <w:sz w:val="24"/>
    </w:rPr>
  </w:style>
  <w:style w:type="paragraph" w:customStyle="1" w:styleId="Formule">
    <w:name w:val="Formule"/>
    <w:basedOn w:val="Normal"/>
    <w:rsid w:val="00B84B6D"/>
    <w:pPr>
      <w:tabs>
        <w:tab w:val="left" w:pos="284"/>
      </w:tabs>
      <w:jc w:val="center"/>
    </w:pPr>
    <w:rPr>
      <w:rFonts w:ascii="Arial" w:hAnsi="Arial"/>
      <w:sz w:val="22"/>
    </w:rPr>
  </w:style>
  <w:style w:type="paragraph" w:customStyle="1" w:styleId="Corpsdetexte12">
    <w:name w:val="Corps de texte 12"/>
    <w:basedOn w:val="Normal"/>
    <w:next w:val="Corpsdetexte12retrait5mm"/>
    <w:link w:val="Corpsdetexte12Car"/>
    <w:rsid w:val="00B84B6D"/>
    <w:pPr>
      <w:ind w:left="284" w:hanging="284"/>
      <w:jc w:val="both"/>
    </w:pPr>
    <w:rPr>
      <w:rFonts w:ascii="Arial" w:hAnsi="Arial"/>
      <w:sz w:val="24"/>
      <w:lang w:val="x-none" w:eastAsia="x-none"/>
    </w:rPr>
  </w:style>
  <w:style w:type="paragraph" w:customStyle="1" w:styleId="textofenglishabstract">
    <w:name w:val="text of english abstract"/>
    <w:basedOn w:val="Normal"/>
    <w:rsid w:val="00B84B6D"/>
    <w:pPr>
      <w:jc w:val="both"/>
    </w:pPr>
    <w:rPr>
      <w:rFonts w:ascii="Arial" w:hAnsi="Arial"/>
      <w:sz w:val="22"/>
      <w:lang w:val="en-GB"/>
    </w:rPr>
  </w:style>
  <w:style w:type="paragraph" w:styleId="Titre">
    <w:name w:val="Title"/>
    <w:basedOn w:val="Normal"/>
    <w:link w:val="TitreCar"/>
    <w:qFormat/>
    <w:rsid w:val="00B84B6D"/>
    <w:pPr>
      <w:spacing w:before="240" w:after="60"/>
      <w:outlineLvl w:val="0"/>
    </w:pPr>
    <w:rPr>
      <w:rFonts w:ascii="Arial" w:hAnsi="Arial" w:cs="Arial"/>
      <w:b/>
      <w:bCs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rsid w:val="00B84B6D"/>
    <w:rPr>
      <w:rFonts w:ascii="Arial" w:eastAsia="Times New Roman" w:hAnsi="Arial" w:cs="Arial"/>
      <w:b/>
      <w:bCs/>
      <w:kern w:val="28"/>
      <w:sz w:val="30"/>
      <w:szCs w:val="30"/>
      <w:lang w:eastAsia="fr-FR"/>
    </w:rPr>
  </w:style>
  <w:style w:type="paragraph" w:customStyle="1" w:styleId="affiliationdesauteurs">
    <w:name w:val="affiliation des auteurs"/>
    <w:basedOn w:val="auteurs"/>
    <w:next w:val="textedursum"/>
    <w:rsid w:val="00B84B6D"/>
    <w:rPr>
      <w:i/>
    </w:rPr>
  </w:style>
  <w:style w:type="character" w:styleId="Numrodepage">
    <w:name w:val="page number"/>
    <w:basedOn w:val="Policepardfaut"/>
    <w:rsid w:val="00B84B6D"/>
  </w:style>
  <w:style w:type="paragraph" w:customStyle="1" w:styleId="Rfrencesbibliographiques12">
    <w:name w:val="Références bibliographiques 12"/>
    <w:basedOn w:val="Normal"/>
    <w:link w:val="Rfrencesbibliographiques12Car"/>
    <w:rsid w:val="00B84B6D"/>
    <w:pPr>
      <w:jc w:val="both"/>
    </w:pPr>
    <w:rPr>
      <w:rFonts w:ascii="Arial" w:hAnsi="Arial"/>
      <w:sz w:val="24"/>
    </w:rPr>
  </w:style>
  <w:style w:type="character" w:customStyle="1" w:styleId="Rfrencesbibliographiques12Car">
    <w:name w:val="Références bibliographiques 12 Car"/>
    <w:link w:val="Rfrencesbibliographiques12"/>
    <w:rsid w:val="00B84B6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orpsdetexte12retrait5mm">
    <w:name w:val="Corps de texte 12 + retrait 5mm"/>
    <w:basedOn w:val="Corpsdetexte12"/>
    <w:link w:val="Corpsdetexte12retrait5mmCar"/>
    <w:rsid w:val="00B84B6D"/>
    <w:pPr>
      <w:ind w:left="0" w:firstLine="0"/>
    </w:pPr>
    <w:rPr>
      <w:iCs/>
    </w:rPr>
  </w:style>
  <w:style w:type="character" w:customStyle="1" w:styleId="Corpsdetexte12Car">
    <w:name w:val="Corps de texte 12 Car"/>
    <w:link w:val="Corpsdetexte12"/>
    <w:rsid w:val="00B84B6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sdetexte12retrait5mmCar">
    <w:name w:val="Corps de texte 12 + retrait 5mm Car"/>
    <w:link w:val="Corpsdetexte12retrait5mm"/>
    <w:rsid w:val="00B84B6D"/>
    <w:rPr>
      <w:rFonts w:ascii="Arial" w:eastAsia="Times New Roman" w:hAnsi="Arial" w:cs="Times New Roman"/>
      <w:iCs/>
      <w:sz w:val="24"/>
      <w:szCs w:val="20"/>
      <w:lang w:val="x-none" w:eastAsia="x-none"/>
    </w:rPr>
  </w:style>
  <w:style w:type="paragraph" w:customStyle="1" w:styleId="Style12ptPremireligne05cm">
    <w:name w:val="Style 12 pt Première ligne : 05 cm"/>
    <w:basedOn w:val="Normal"/>
    <w:rsid w:val="00B84B6D"/>
    <w:pPr>
      <w:ind w:firstLine="284"/>
    </w:pPr>
    <w:rPr>
      <w:rFonts w:ascii="Arial" w:hAnsi="Arial"/>
      <w:sz w:val="24"/>
    </w:rPr>
  </w:style>
  <w:style w:type="paragraph" w:styleId="Sous-titre">
    <w:name w:val="Subtitle"/>
    <w:basedOn w:val="Normal"/>
    <w:next w:val="Normal"/>
    <w:link w:val="Sous-titreCar"/>
    <w:qFormat/>
    <w:rsid w:val="00B84B6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us-titreCar">
    <w:name w:val="Sous-titre Car"/>
    <w:basedOn w:val="Policepardfaut"/>
    <w:link w:val="Sous-titre"/>
    <w:rsid w:val="00B84B6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Listenumros2">
    <w:name w:val="List Number 2"/>
    <w:basedOn w:val="Normal"/>
    <w:uiPriority w:val="99"/>
    <w:semiHidden/>
    <w:unhideWhenUsed/>
    <w:rsid w:val="00B84B6D"/>
    <w:pPr>
      <w:ind w:left="720" w:hanging="36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31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118E"/>
    <w:rPr>
      <w:rFonts w:ascii="Avant Garde" w:eastAsia="Times New Roman" w:hAnsi="Avant Garde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C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49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90E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A41EB9"/>
    <w:pPr>
      <w:spacing w:after="200"/>
    </w:pPr>
    <w:rPr>
      <w:b/>
      <w:bCs/>
      <w:color w:val="5B9BD5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31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319A"/>
  </w:style>
  <w:style w:type="character" w:customStyle="1" w:styleId="CommentaireCar">
    <w:name w:val="Commentaire Car"/>
    <w:basedOn w:val="Policepardfaut"/>
    <w:link w:val="Commentaire"/>
    <w:uiPriority w:val="99"/>
    <w:semiHidden/>
    <w:rsid w:val="0035319A"/>
    <w:rPr>
      <w:rFonts w:ascii="Avant Garde" w:eastAsia="Times New Roman" w:hAnsi="Avant Garde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1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19A"/>
    <w:rPr>
      <w:rFonts w:ascii="Avant Garde" w:eastAsia="Times New Roman" w:hAnsi="Avant Garde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10E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10E9"/>
    <w:rPr>
      <w:rFonts w:ascii="Avant Garde" w:eastAsia="Times New Roman" w:hAnsi="Avant Garde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10E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34E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6D"/>
    <w:pPr>
      <w:spacing w:after="0" w:line="240" w:lineRule="auto"/>
    </w:pPr>
    <w:rPr>
      <w:rFonts w:ascii="Avant Garde" w:eastAsia="Times New Roman" w:hAnsi="Avant Garde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84B6D"/>
    <w:pPr>
      <w:keepNext/>
      <w:numPr>
        <w:numId w:val="1"/>
      </w:numPr>
      <w:spacing w:before="240" w:after="120"/>
      <w:ind w:left="357" w:hanging="357"/>
      <w:outlineLvl w:val="0"/>
    </w:pPr>
    <w:rPr>
      <w:rFonts w:ascii="Arial" w:hAnsi="Arial"/>
      <w:b/>
      <w:bCs/>
      <w:kern w:val="32"/>
      <w:sz w:val="24"/>
      <w:szCs w:val="24"/>
      <w:lang w:val="x-none" w:eastAsia="x-none"/>
    </w:rPr>
  </w:style>
  <w:style w:type="paragraph" w:styleId="Titre2">
    <w:name w:val="heading 2"/>
    <w:basedOn w:val="Normal"/>
    <w:next w:val="Listenumros2"/>
    <w:link w:val="Titre2Car"/>
    <w:qFormat/>
    <w:rsid w:val="00B84B6D"/>
    <w:pPr>
      <w:keepNext/>
      <w:spacing w:before="240" w:after="120"/>
      <w:ind w:left="360" w:hanging="360"/>
      <w:outlineLvl w:val="1"/>
    </w:pPr>
    <w:rPr>
      <w:rFonts w:ascii="Arial" w:hAnsi="Arial"/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4B6D"/>
    <w:rPr>
      <w:rFonts w:ascii="Arial" w:eastAsia="Times New Roman" w:hAnsi="Arial" w:cs="Times New Roman"/>
      <w:b/>
      <w:bCs/>
      <w:kern w:val="32"/>
      <w:sz w:val="24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rsid w:val="00B84B6D"/>
    <w:rPr>
      <w:rFonts w:ascii="Arial" w:eastAsia="Times New Roman" w:hAnsi="Arial" w:cs="Times New Roman"/>
      <w:b/>
      <w:i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B84B6D"/>
    <w:pPr>
      <w:tabs>
        <w:tab w:val="center" w:pos="4536"/>
        <w:tab w:val="right" w:pos="9072"/>
      </w:tabs>
      <w:jc w:val="center"/>
    </w:pPr>
    <w:rPr>
      <w:rFonts w:ascii="Arial" w:hAnsi="Arial" w:cs="Arial"/>
      <w:i/>
    </w:rPr>
  </w:style>
  <w:style w:type="character" w:customStyle="1" w:styleId="En-tteCar">
    <w:name w:val="En-tête Car"/>
    <w:basedOn w:val="Policepardfaut"/>
    <w:link w:val="En-tte"/>
    <w:rsid w:val="00B84B6D"/>
    <w:rPr>
      <w:rFonts w:ascii="Arial" w:eastAsia="Times New Roman" w:hAnsi="Arial" w:cs="Arial"/>
      <w:i/>
      <w:sz w:val="20"/>
      <w:szCs w:val="20"/>
      <w:lang w:eastAsia="fr-FR"/>
    </w:rPr>
  </w:style>
  <w:style w:type="paragraph" w:customStyle="1" w:styleId="auteurs">
    <w:name w:val="auteurs"/>
    <w:basedOn w:val="Normal"/>
    <w:autoRedefine/>
    <w:rsid w:val="00B84B6D"/>
    <w:rPr>
      <w:rFonts w:ascii="Arial" w:hAnsi="Arial"/>
      <w:iCs/>
      <w:sz w:val="24"/>
    </w:rPr>
  </w:style>
  <w:style w:type="paragraph" w:customStyle="1" w:styleId="titredeniveau3">
    <w:name w:val="titre de niveau 3"/>
    <w:basedOn w:val="Normal"/>
    <w:rsid w:val="00B84B6D"/>
    <w:pPr>
      <w:spacing w:before="240" w:after="120"/>
      <w:outlineLvl w:val="2"/>
    </w:pPr>
    <w:rPr>
      <w:rFonts w:ascii="Arial" w:hAnsi="Arial"/>
      <w:sz w:val="24"/>
    </w:rPr>
  </w:style>
  <w:style w:type="paragraph" w:customStyle="1" w:styleId="titredefigure">
    <w:name w:val="titre de figure"/>
    <w:basedOn w:val="auteurs"/>
    <w:rsid w:val="00B84B6D"/>
    <w:pPr>
      <w:spacing w:before="240" w:after="240"/>
      <w:jc w:val="center"/>
    </w:pPr>
    <w:rPr>
      <w:sz w:val="22"/>
    </w:rPr>
  </w:style>
  <w:style w:type="paragraph" w:customStyle="1" w:styleId="textedursum">
    <w:name w:val="texte du résumé"/>
    <w:basedOn w:val="Normal"/>
    <w:rsid w:val="00B84B6D"/>
    <w:pPr>
      <w:jc w:val="both"/>
    </w:pPr>
    <w:rPr>
      <w:rFonts w:ascii="Arial" w:hAnsi="Arial"/>
      <w:sz w:val="24"/>
    </w:rPr>
  </w:style>
  <w:style w:type="paragraph" w:customStyle="1" w:styleId="Formule">
    <w:name w:val="Formule"/>
    <w:basedOn w:val="Normal"/>
    <w:rsid w:val="00B84B6D"/>
    <w:pPr>
      <w:tabs>
        <w:tab w:val="left" w:pos="284"/>
      </w:tabs>
      <w:jc w:val="center"/>
    </w:pPr>
    <w:rPr>
      <w:rFonts w:ascii="Arial" w:hAnsi="Arial"/>
      <w:sz w:val="22"/>
    </w:rPr>
  </w:style>
  <w:style w:type="paragraph" w:customStyle="1" w:styleId="Corpsdetexte12">
    <w:name w:val="Corps de texte 12"/>
    <w:basedOn w:val="Normal"/>
    <w:next w:val="Corpsdetexte12retrait5mm"/>
    <w:link w:val="Corpsdetexte12Car"/>
    <w:rsid w:val="00B84B6D"/>
    <w:pPr>
      <w:ind w:left="284" w:hanging="284"/>
      <w:jc w:val="both"/>
    </w:pPr>
    <w:rPr>
      <w:rFonts w:ascii="Arial" w:hAnsi="Arial"/>
      <w:sz w:val="24"/>
      <w:lang w:val="x-none" w:eastAsia="x-none"/>
    </w:rPr>
  </w:style>
  <w:style w:type="paragraph" w:customStyle="1" w:styleId="textofenglishabstract">
    <w:name w:val="text of english abstract"/>
    <w:basedOn w:val="Normal"/>
    <w:rsid w:val="00B84B6D"/>
    <w:pPr>
      <w:jc w:val="both"/>
    </w:pPr>
    <w:rPr>
      <w:rFonts w:ascii="Arial" w:hAnsi="Arial"/>
      <w:sz w:val="22"/>
      <w:lang w:val="en-GB"/>
    </w:rPr>
  </w:style>
  <w:style w:type="paragraph" w:styleId="Titre">
    <w:name w:val="Title"/>
    <w:basedOn w:val="Normal"/>
    <w:link w:val="TitreCar"/>
    <w:qFormat/>
    <w:rsid w:val="00B84B6D"/>
    <w:pPr>
      <w:spacing w:before="240" w:after="60"/>
      <w:outlineLvl w:val="0"/>
    </w:pPr>
    <w:rPr>
      <w:rFonts w:ascii="Arial" w:hAnsi="Arial" w:cs="Arial"/>
      <w:b/>
      <w:bCs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rsid w:val="00B84B6D"/>
    <w:rPr>
      <w:rFonts w:ascii="Arial" w:eastAsia="Times New Roman" w:hAnsi="Arial" w:cs="Arial"/>
      <w:b/>
      <w:bCs/>
      <w:kern w:val="28"/>
      <w:sz w:val="30"/>
      <w:szCs w:val="30"/>
      <w:lang w:eastAsia="fr-FR"/>
    </w:rPr>
  </w:style>
  <w:style w:type="paragraph" w:customStyle="1" w:styleId="affiliationdesauteurs">
    <w:name w:val="affiliation des auteurs"/>
    <w:basedOn w:val="auteurs"/>
    <w:next w:val="textedursum"/>
    <w:rsid w:val="00B84B6D"/>
    <w:rPr>
      <w:i/>
    </w:rPr>
  </w:style>
  <w:style w:type="character" w:styleId="Numrodepage">
    <w:name w:val="page number"/>
    <w:basedOn w:val="Policepardfaut"/>
    <w:rsid w:val="00B84B6D"/>
  </w:style>
  <w:style w:type="paragraph" w:customStyle="1" w:styleId="Rfrencesbibliographiques12">
    <w:name w:val="Références bibliographiques 12"/>
    <w:basedOn w:val="Normal"/>
    <w:link w:val="Rfrencesbibliographiques12Car"/>
    <w:rsid w:val="00B84B6D"/>
    <w:pPr>
      <w:jc w:val="both"/>
    </w:pPr>
    <w:rPr>
      <w:rFonts w:ascii="Arial" w:hAnsi="Arial"/>
      <w:sz w:val="24"/>
    </w:rPr>
  </w:style>
  <w:style w:type="character" w:customStyle="1" w:styleId="Rfrencesbibliographiques12Car">
    <w:name w:val="Références bibliographiques 12 Car"/>
    <w:link w:val="Rfrencesbibliographiques12"/>
    <w:rsid w:val="00B84B6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orpsdetexte12retrait5mm">
    <w:name w:val="Corps de texte 12 + retrait 5mm"/>
    <w:basedOn w:val="Corpsdetexte12"/>
    <w:link w:val="Corpsdetexte12retrait5mmCar"/>
    <w:rsid w:val="00B84B6D"/>
    <w:pPr>
      <w:ind w:left="0" w:firstLine="0"/>
    </w:pPr>
    <w:rPr>
      <w:iCs/>
    </w:rPr>
  </w:style>
  <w:style w:type="character" w:customStyle="1" w:styleId="Corpsdetexte12Car">
    <w:name w:val="Corps de texte 12 Car"/>
    <w:link w:val="Corpsdetexte12"/>
    <w:rsid w:val="00B84B6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sdetexte12retrait5mmCar">
    <w:name w:val="Corps de texte 12 + retrait 5mm Car"/>
    <w:link w:val="Corpsdetexte12retrait5mm"/>
    <w:rsid w:val="00B84B6D"/>
    <w:rPr>
      <w:rFonts w:ascii="Arial" w:eastAsia="Times New Roman" w:hAnsi="Arial" w:cs="Times New Roman"/>
      <w:iCs/>
      <w:sz w:val="24"/>
      <w:szCs w:val="20"/>
      <w:lang w:val="x-none" w:eastAsia="x-none"/>
    </w:rPr>
  </w:style>
  <w:style w:type="paragraph" w:customStyle="1" w:styleId="Style12ptPremireligne05cm">
    <w:name w:val="Style 12 pt Première ligne : 05 cm"/>
    <w:basedOn w:val="Normal"/>
    <w:rsid w:val="00B84B6D"/>
    <w:pPr>
      <w:ind w:firstLine="284"/>
    </w:pPr>
    <w:rPr>
      <w:rFonts w:ascii="Arial" w:hAnsi="Arial"/>
      <w:sz w:val="24"/>
    </w:rPr>
  </w:style>
  <w:style w:type="paragraph" w:styleId="Sous-titre">
    <w:name w:val="Subtitle"/>
    <w:basedOn w:val="Normal"/>
    <w:next w:val="Normal"/>
    <w:link w:val="Sous-titreCar"/>
    <w:qFormat/>
    <w:rsid w:val="00B84B6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us-titreCar">
    <w:name w:val="Sous-titre Car"/>
    <w:basedOn w:val="Policepardfaut"/>
    <w:link w:val="Sous-titre"/>
    <w:rsid w:val="00B84B6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Listenumros2">
    <w:name w:val="List Number 2"/>
    <w:basedOn w:val="Normal"/>
    <w:uiPriority w:val="99"/>
    <w:semiHidden/>
    <w:unhideWhenUsed/>
    <w:rsid w:val="00B84B6D"/>
    <w:pPr>
      <w:ind w:left="720" w:hanging="36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31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118E"/>
    <w:rPr>
      <w:rFonts w:ascii="Avant Garde" w:eastAsia="Times New Roman" w:hAnsi="Avant Garde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C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49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90E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A41EB9"/>
    <w:pPr>
      <w:spacing w:after="200"/>
    </w:pPr>
    <w:rPr>
      <w:b/>
      <w:bCs/>
      <w:color w:val="5B9BD5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31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319A"/>
  </w:style>
  <w:style w:type="character" w:customStyle="1" w:styleId="CommentaireCar">
    <w:name w:val="Commentaire Car"/>
    <w:basedOn w:val="Policepardfaut"/>
    <w:link w:val="Commentaire"/>
    <w:uiPriority w:val="99"/>
    <w:semiHidden/>
    <w:rsid w:val="0035319A"/>
    <w:rPr>
      <w:rFonts w:ascii="Avant Garde" w:eastAsia="Times New Roman" w:hAnsi="Avant Garde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1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19A"/>
    <w:rPr>
      <w:rFonts w:ascii="Avant Garde" w:eastAsia="Times New Roman" w:hAnsi="Avant Garde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10E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10E9"/>
    <w:rPr>
      <w:rFonts w:ascii="Avant Garde" w:eastAsia="Times New Roman" w:hAnsi="Avant Garde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10E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34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F1EE-86E7-46DE-9A97-91CD0D82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8</Pages>
  <Words>3350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Briancon</dc:creator>
  <cp:lastModifiedBy>BADINIER Thibault</cp:lastModifiedBy>
  <cp:revision>4</cp:revision>
  <dcterms:created xsi:type="dcterms:W3CDTF">2022-01-27T17:47:00Z</dcterms:created>
  <dcterms:modified xsi:type="dcterms:W3CDTF">2022-04-13T15:11:00Z</dcterms:modified>
</cp:coreProperties>
</file>