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E7A" w:rsidRDefault="005C0E7A" w:rsidP="005C0E7A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fr-FR"/>
        </w:rPr>
        <w:drawing>
          <wp:inline distT="0" distB="0" distL="0" distR="0" wp14:anchorId="45E2934D" wp14:editId="2039BFA6">
            <wp:extent cx="3200400" cy="609600"/>
            <wp:effectExtent l="0" t="0" r="0" b="0"/>
            <wp:docPr id="5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7A" w:rsidRPr="005C0E7A" w:rsidRDefault="005C0E7A" w:rsidP="005C0E7A">
      <w:pPr>
        <w:spacing w:before="100" w:beforeAutospacing="1" w:after="100" w:afterAutospacing="1"/>
        <w:jc w:val="center"/>
        <w:rPr>
          <w:rFonts w:ascii="Myriad Pro" w:hAnsi="Myriad Pro"/>
          <w:i/>
          <w:lang w:val="en-US"/>
        </w:rPr>
      </w:pPr>
      <w:r>
        <w:rPr>
          <w:rFonts w:ascii="Myriad Pro" w:hAnsi="Myriad Pro"/>
          <w:i/>
          <w:lang w:val="en-US"/>
        </w:rPr>
        <w:t>Journal of Geophysical Research - Biogeosciences</w:t>
      </w:r>
    </w:p>
    <w:p w:rsidR="005C0E7A" w:rsidRPr="005C0E7A" w:rsidRDefault="005C0E7A" w:rsidP="005C0E7A">
      <w:pPr>
        <w:spacing w:before="100" w:beforeAutospacing="1" w:after="100" w:afterAutospacing="1"/>
        <w:jc w:val="center"/>
        <w:rPr>
          <w:rFonts w:ascii="Myriad Pro" w:hAnsi="Myriad Pro"/>
          <w:lang w:val="en-US"/>
        </w:rPr>
      </w:pPr>
      <w:r w:rsidRPr="005C0E7A">
        <w:rPr>
          <w:rFonts w:ascii="Myriad Pro" w:hAnsi="Myriad Pro"/>
          <w:lang w:val="en-US"/>
        </w:rPr>
        <w:t>Supporting Information for</w:t>
      </w:r>
    </w:p>
    <w:p w:rsidR="00556D99" w:rsidRPr="00333831" w:rsidRDefault="00556D99" w:rsidP="00556D99">
      <w:pPr>
        <w:spacing w:after="0" w:line="240" w:lineRule="auto"/>
        <w:contextualSpacing/>
        <w:jc w:val="center"/>
        <w:rPr>
          <w:rFonts w:ascii="Times New Roman" w:eastAsia="MS Gothic" w:hAnsi="Times New Roman" w:cs="Times New Roman"/>
          <w:b/>
          <w:spacing w:val="-10"/>
          <w:kern w:val="28"/>
          <w:sz w:val="28"/>
          <w:szCs w:val="56"/>
          <w:lang w:val="en-US"/>
        </w:rPr>
      </w:pPr>
      <w:r w:rsidRPr="00333831">
        <w:rPr>
          <w:rFonts w:ascii="Times New Roman" w:eastAsia="MS Gothic" w:hAnsi="Times New Roman" w:cs="Times New Roman"/>
          <w:b/>
          <w:spacing w:val="-10"/>
          <w:kern w:val="28"/>
          <w:sz w:val="28"/>
          <w:szCs w:val="56"/>
          <w:lang w:val="en-US"/>
        </w:rPr>
        <w:t>The chemistry of hyperalkaline springs in serpentinizing environments: 1. the composition of free gases in New Caledonia compared to other springs worldwide.</w:t>
      </w:r>
    </w:p>
    <w:p w:rsidR="00556D99" w:rsidRPr="00333831" w:rsidRDefault="00556D99" w:rsidP="00556D9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556D99" w:rsidRPr="00333831" w:rsidRDefault="00556D99" w:rsidP="00556D9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556D99" w:rsidRPr="00333831" w:rsidRDefault="00556D99" w:rsidP="00556D9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33831">
        <w:rPr>
          <w:rFonts w:ascii="Times New Roman" w:eastAsia="Calibri" w:hAnsi="Times New Roman" w:cs="Times New Roman"/>
          <w:sz w:val="20"/>
          <w:szCs w:val="20"/>
        </w:rPr>
        <w:t>Christophe Monnin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1*</w:t>
      </w:r>
      <w:r w:rsidRPr="00333831">
        <w:rPr>
          <w:rFonts w:ascii="Times New Roman" w:eastAsia="Calibri" w:hAnsi="Times New Roman" w:cs="Times New Roman"/>
          <w:sz w:val="20"/>
          <w:szCs w:val="20"/>
        </w:rPr>
        <w:t>, Marianne Quéméneur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333831">
        <w:rPr>
          <w:rFonts w:ascii="Times New Roman" w:eastAsia="Calibri" w:hAnsi="Times New Roman" w:cs="Times New Roman"/>
          <w:sz w:val="20"/>
          <w:szCs w:val="20"/>
        </w:rPr>
        <w:t>, Roy Price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333831">
        <w:rPr>
          <w:rFonts w:ascii="Times New Roman" w:eastAsia="Calibri" w:hAnsi="Times New Roman" w:cs="Times New Roman"/>
          <w:sz w:val="20"/>
          <w:szCs w:val="20"/>
        </w:rPr>
        <w:t>, Julie Jeanpert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4</w:t>
      </w:r>
      <w:r w:rsidRPr="00333831">
        <w:rPr>
          <w:rFonts w:ascii="Times New Roman" w:eastAsia="Calibri" w:hAnsi="Times New Roman" w:cs="Times New Roman"/>
          <w:sz w:val="20"/>
          <w:szCs w:val="20"/>
        </w:rPr>
        <w:t>, Pierre Maurizot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4</w:t>
      </w:r>
      <w:r w:rsidRPr="00333831">
        <w:rPr>
          <w:rFonts w:ascii="Times New Roman" w:eastAsia="Calibri" w:hAnsi="Times New Roman" w:cs="Times New Roman"/>
          <w:sz w:val="20"/>
          <w:szCs w:val="20"/>
        </w:rPr>
        <w:t>, Cédric Boulart</w:t>
      </w: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5</w:t>
      </w:r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>
        <w:rPr>
          <w:rFonts w:ascii="Times New Roman" w:eastAsia="Calibri" w:hAnsi="Times New Roman" w:cs="Times New Roman"/>
          <w:sz w:val="20"/>
          <w:szCs w:val="20"/>
        </w:rPr>
        <w:t>Jean-Pierre Donval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eastAsia="Calibri" w:hAnsi="Times New Roman" w:cs="Times New Roman"/>
          <w:sz w:val="20"/>
          <w:szCs w:val="20"/>
        </w:rPr>
        <w:t xml:space="preserve">,  </w:t>
      </w:r>
      <w:r w:rsidRPr="00333831">
        <w:rPr>
          <w:rFonts w:ascii="Times New Roman" w:eastAsia="Calibri" w:hAnsi="Times New Roman" w:cs="Times New Roman"/>
          <w:sz w:val="20"/>
          <w:szCs w:val="20"/>
        </w:rPr>
        <w:t>Bernard Pelletier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7</w:t>
      </w:r>
    </w:p>
    <w:p w:rsidR="00556D99" w:rsidRPr="00333831" w:rsidRDefault="00556D99" w:rsidP="00556D9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56D99" w:rsidRPr="00333831" w:rsidRDefault="00556D99" w:rsidP="00556D99">
      <w:pPr>
        <w:rPr>
          <w:rFonts w:ascii="Times New Roman" w:hAnsi="Times New Roman" w:cs="Times New Roman"/>
        </w:rPr>
      </w:pPr>
      <w:r w:rsidRPr="00333831">
        <w:rPr>
          <w:rFonts w:ascii="Times New Roman" w:hAnsi="Times New Roman" w:cs="Times New Roman"/>
          <w:vertAlign w:val="superscript"/>
        </w:rPr>
        <w:t>1</w:t>
      </w:r>
      <w:r w:rsidRPr="00333831">
        <w:rPr>
          <w:rFonts w:ascii="Times New Roman" w:hAnsi="Times New Roman" w:cs="Times New Roman"/>
        </w:rPr>
        <w:t xml:space="preserve"> </w:t>
      </w:r>
      <w:r w:rsidRPr="00333831">
        <w:rPr>
          <w:rFonts w:ascii="Times New Roman" w:hAnsi="Times New Roman" w:cs="Times New Roman"/>
          <w:sz w:val="20"/>
          <w:szCs w:val="20"/>
        </w:rPr>
        <w:t>Géosciences Environnement Toulouse, (CNRS/UPS/IRD/CNES), 14 Avenue E Belin, 31400 Toulouse, France.</w:t>
      </w:r>
    </w:p>
    <w:p w:rsidR="00556D99" w:rsidRPr="00333831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 Aix Marseille </w:t>
      </w:r>
      <w:proofErr w:type="spellStart"/>
      <w:r w:rsidRPr="00333831">
        <w:rPr>
          <w:rFonts w:ascii="Times New Roman" w:eastAsia="Calibri" w:hAnsi="Times New Roman" w:cs="Times New Roman"/>
          <w:sz w:val="20"/>
          <w:szCs w:val="20"/>
        </w:rPr>
        <w:t>Univ</w:t>
      </w:r>
      <w:proofErr w:type="spellEnd"/>
      <w:r w:rsidRPr="00333831">
        <w:rPr>
          <w:rFonts w:ascii="Times New Roman" w:eastAsia="Calibri" w:hAnsi="Times New Roman" w:cs="Times New Roman"/>
          <w:sz w:val="20"/>
          <w:szCs w:val="20"/>
        </w:rPr>
        <w:t>., Université de Toulon, CNRS, IRD, MIO, Marseille, France.</w:t>
      </w:r>
    </w:p>
    <w:p w:rsidR="00556D99" w:rsidRPr="00333831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 xml:space="preserve">3 </w:t>
      </w:r>
      <w:r w:rsidRPr="00333831">
        <w:rPr>
          <w:rFonts w:ascii="Times New Roman" w:eastAsia="Calibri" w:hAnsi="Times New Roman" w:cs="Times New Roman"/>
          <w:sz w:val="20"/>
          <w:szCs w:val="20"/>
          <w:lang w:val="en-US"/>
        </w:rPr>
        <w:t>School of Marine and Atmospheric Sciences, Stony Brook, NY, USA.</w:t>
      </w:r>
    </w:p>
    <w:p w:rsidR="00556D99" w:rsidRPr="00333831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>4</w:t>
      </w:r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 DIMENC (Direction de l’Industrie, des Mines et de l’Energie), Nouméa, Nouvelle-Calédonie</w:t>
      </w:r>
    </w:p>
    <w:p w:rsidR="00556D99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33831">
        <w:rPr>
          <w:rFonts w:ascii="Times New Roman" w:eastAsia="Calibri" w:hAnsi="Times New Roman" w:cs="Times New Roman"/>
          <w:sz w:val="20"/>
          <w:szCs w:val="20"/>
          <w:vertAlign w:val="superscript"/>
        </w:rPr>
        <w:t xml:space="preserve">5 </w:t>
      </w:r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AD2M UMR 7144 (CNRS, Sorbonne Université), Station Biologique de Roscoff, Place Georges Tessier, 29680 Roscoff, </w:t>
      </w:r>
      <w:r>
        <w:rPr>
          <w:rFonts w:ascii="Times New Roman" w:eastAsia="Calibri" w:hAnsi="Times New Roman" w:cs="Times New Roman"/>
          <w:sz w:val="20"/>
          <w:szCs w:val="20"/>
        </w:rPr>
        <w:t>France</w:t>
      </w:r>
    </w:p>
    <w:p w:rsidR="00556D99" w:rsidRPr="00C22254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22254"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 w:rsidRPr="00C22254">
        <w:t xml:space="preserve"> </w:t>
      </w:r>
      <w:r w:rsidRPr="00C22254">
        <w:rPr>
          <w:rFonts w:ascii="Times New Roman" w:eastAsia="Calibri" w:hAnsi="Times New Roman" w:cs="Times New Roman"/>
          <w:sz w:val="20"/>
          <w:szCs w:val="20"/>
        </w:rPr>
        <w:t>IFREMER</w:t>
      </w:r>
      <w:r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C22254">
        <w:rPr>
          <w:rFonts w:ascii="Times New Roman" w:eastAsia="Calibri" w:hAnsi="Times New Roman" w:cs="Times New Roman"/>
          <w:sz w:val="20"/>
          <w:szCs w:val="20"/>
        </w:rPr>
        <w:t>Unité Géosciences Marines/Laboratoire Cycles Géochimiques</w:t>
      </w:r>
      <w:r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C22254">
        <w:rPr>
          <w:rFonts w:ascii="Times New Roman" w:eastAsia="Calibri" w:hAnsi="Times New Roman" w:cs="Times New Roman"/>
          <w:sz w:val="20"/>
          <w:szCs w:val="20"/>
        </w:rPr>
        <w:t xml:space="preserve">ZI Pointe du Diable. CS 10070. 29280 </w:t>
      </w:r>
      <w:r>
        <w:rPr>
          <w:rFonts w:ascii="Times New Roman" w:eastAsia="Calibri" w:hAnsi="Times New Roman" w:cs="Times New Roman"/>
          <w:sz w:val="20"/>
          <w:szCs w:val="20"/>
        </w:rPr>
        <w:t>Plouzané, France</w:t>
      </w:r>
    </w:p>
    <w:p w:rsidR="00556D99" w:rsidRPr="00333831" w:rsidRDefault="00556D99" w:rsidP="00556D99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vertAlign w:val="superscript"/>
        </w:rPr>
      </w:pP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7</w:t>
      </w:r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333831">
        <w:rPr>
          <w:rFonts w:ascii="Times New Roman" w:eastAsia="Calibri" w:hAnsi="Times New Roman" w:cs="Times New Roman"/>
          <w:sz w:val="20"/>
          <w:szCs w:val="20"/>
        </w:rPr>
        <w:t>Géoazur</w:t>
      </w:r>
      <w:proofErr w:type="spellEnd"/>
      <w:r w:rsidRPr="00333831">
        <w:rPr>
          <w:rFonts w:ascii="Times New Roman" w:eastAsia="Calibri" w:hAnsi="Times New Roman" w:cs="Times New Roman"/>
          <w:sz w:val="20"/>
          <w:szCs w:val="20"/>
        </w:rPr>
        <w:t xml:space="preserve"> (UCA, IRD, CNRS, OCA), Centre IRD de Nouméa, BP A5, Nouméa, Nouvelle-Calédonie.</w:t>
      </w:r>
    </w:p>
    <w:p w:rsidR="005C0E7A" w:rsidRPr="00556D99" w:rsidRDefault="005C0E7A" w:rsidP="005C0E7A">
      <w:pPr>
        <w:spacing w:before="100" w:beforeAutospacing="1" w:after="100" w:afterAutospacing="1"/>
        <w:jc w:val="center"/>
        <w:rPr>
          <w:rFonts w:ascii="Myriad Pro" w:hAnsi="Myriad Pro"/>
        </w:rPr>
      </w:pPr>
      <w:r w:rsidRPr="00556D99" w:rsidDel="00A50033">
        <w:rPr>
          <w:rFonts w:ascii="Myriad Pro" w:hAnsi="Myriad Pro"/>
        </w:rPr>
        <w:t xml:space="preserve"> </w:t>
      </w:r>
    </w:p>
    <w:p w:rsidR="005C0E7A" w:rsidRPr="00556D99" w:rsidRDefault="005C0E7A" w:rsidP="005C0E7A">
      <w:pPr>
        <w:spacing w:before="100" w:beforeAutospacing="1" w:after="100" w:afterAutospacing="1"/>
        <w:jc w:val="center"/>
        <w:rPr>
          <w:rFonts w:ascii="Myriad Pro" w:hAnsi="Myriad Pro"/>
        </w:rPr>
      </w:pPr>
    </w:p>
    <w:p w:rsidR="005C0E7A" w:rsidRPr="005C0E7A" w:rsidRDefault="005C0E7A" w:rsidP="005C0E7A">
      <w:pPr>
        <w:rPr>
          <w:rFonts w:ascii="Myriad Pro" w:hAnsi="Myriad Pro"/>
          <w:b/>
          <w:lang w:val="en-US"/>
        </w:rPr>
      </w:pPr>
      <w:r w:rsidRPr="005C0E7A">
        <w:rPr>
          <w:rFonts w:ascii="Myriad Pro" w:hAnsi="Myriad Pro"/>
          <w:b/>
          <w:lang w:val="en-US"/>
        </w:rPr>
        <w:t xml:space="preserve">Contents of this file </w:t>
      </w:r>
    </w:p>
    <w:p w:rsidR="005C0E7A" w:rsidRPr="005C0E7A" w:rsidRDefault="005C0E7A" w:rsidP="005C0E7A">
      <w:pPr>
        <w:rPr>
          <w:rFonts w:ascii="Myriad Pro" w:hAnsi="Myriad Pro"/>
          <w:lang w:val="en-US"/>
        </w:rPr>
      </w:pPr>
    </w:p>
    <w:p w:rsidR="00146C5E" w:rsidRPr="005F2C9E" w:rsidRDefault="00146C5E" w:rsidP="00146C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2C9E">
        <w:rPr>
          <w:rFonts w:ascii="Times New Roman" w:hAnsi="Times New Roman" w:cs="Times New Roman"/>
          <w:sz w:val="24"/>
          <w:szCs w:val="24"/>
          <w:lang w:val="en-US"/>
        </w:rPr>
        <w:t>Figure S1 – Photos of the springs</w:t>
      </w:r>
    </w:p>
    <w:p w:rsidR="00146C5E" w:rsidRPr="005F2C9E" w:rsidRDefault="00146C5E" w:rsidP="00146C5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2C9E">
        <w:rPr>
          <w:rFonts w:ascii="Times New Roman" w:hAnsi="Times New Roman" w:cs="Times New Roman"/>
          <w:sz w:val="24"/>
          <w:szCs w:val="24"/>
          <w:lang w:val="en-US"/>
        </w:rPr>
        <w:t>Figure S2 – Records of ORP, PH and T versus time for La Coulée and Pirogues springs</w:t>
      </w:r>
    </w:p>
    <w:p w:rsidR="005F2C9E" w:rsidRDefault="00146C5E" w:rsidP="005F2C9E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C936CF">
        <w:rPr>
          <w:rFonts w:ascii="Times New Roman" w:hAnsi="Times New Roman" w:cs="Times New Roman"/>
          <w:sz w:val="24"/>
          <w:szCs w:val="24"/>
          <w:lang w:val="en-US"/>
        </w:rPr>
        <w:t xml:space="preserve">Figure S3 – </w:t>
      </w:r>
      <w:r w:rsidR="005F2C9E" w:rsidRPr="00C936CF">
        <w:rPr>
          <w:rFonts w:ascii="Times New Roman" w:hAnsi="Times New Roman" w:cs="Times New Roman"/>
          <w:lang w:val="en-US"/>
        </w:rPr>
        <w:t>Triangular plots of the free gas compositions at various locations. The black plain line is the line with a slope of -0.25 corresponding to the Sabatier reaction involving CO</w:t>
      </w:r>
      <w:r w:rsidR="005F2C9E" w:rsidRPr="00C936CF">
        <w:rPr>
          <w:rFonts w:ascii="Times New Roman" w:hAnsi="Times New Roman" w:cs="Times New Roman"/>
          <w:vertAlign w:val="subscript"/>
          <w:lang w:val="en-US"/>
        </w:rPr>
        <w:t>2</w:t>
      </w:r>
      <w:r w:rsidR="005F2C9E" w:rsidRPr="00C936CF">
        <w:rPr>
          <w:rFonts w:ascii="Times New Roman" w:hAnsi="Times New Roman" w:cs="Times New Roman"/>
          <w:lang w:val="en-US"/>
        </w:rPr>
        <w:t>. The short dash line has a slope of -0.33 corresponding to a Fisher-Tropsch-type reaction involving carbon monoxide (see text).</w:t>
      </w:r>
    </w:p>
    <w:p w:rsidR="00C936CF" w:rsidRDefault="005F2C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2C9E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S1 – Temperature, pH, DO (</w:t>
      </w:r>
      <w:r w:rsidR="001315F6">
        <w:rPr>
          <w:rFonts w:ascii="Times New Roman" w:hAnsi="Times New Roman" w:cs="Times New Roman"/>
          <w:sz w:val="24"/>
          <w:szCs w:val="24"/>
          <w:lang w:val="en-US"/>
        </w:rPr>
        <w:t>Dissolved oxygen) and ORP (oxidation</w:t>
      </w:r>
      <w:r w:rsidRPr="005F2C9E">
        <w:rPr>
          <w:rFonts w:ascii="Times New Roman" w:hAnsi="Times New Roman" w:cs="Times New Roman"/>
          <w:sz w:val="24"/>
          <w:szCs w:val="24"/>
          <w:lang w:val="en-US"/>
        </w:rPr>
        <w:t xml:space="preserve">-reduction potential) measured in situ for the on-land alkaline springs of New Caledonia </w:t>
      </w:r>
    </w:p>
    <w:p w:rsidR="005A07FE" w:rsidRDefault="00C936C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Table S2 – The composition of free gases venting at the Bain des Japonais and at the Kaoris springs. </w:t>
      </w:r>
    </w:p>
    <w:p w:rsidR="00F52541" w:rsidRDefault="00F5254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F2C9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F2C9E" w:rsidRDefault="005F2C9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DA41B9B" wp14:editId="60503D63">
            <wp:extent cx="5760720" cy="51981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F1" w:rsidRDefault="005F2C9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58DB338" wp14:editId="65EAB831">
            <wp:extent cx="5760720" cy="79521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F1" w:rsidRPr="00C936CF" w:rsidRDefault="008157F1" w:rsidP="008157F1">
      <w:pPr>
        <w:rPr>
          <w:i/>
          <w:lang w:val="en-US"/>
        </w:rPr>
      </w:pPr>
      <w:r w:rsidRPr="00C936CF">
        <w:rPr>
          <w:i/>
          <w:lang w:val="en-US"/>
        </w:rPr>
        <w:t>Figure S1 – Photos of the springs</w:t>
      </w:r>
    </w:p>
    <w:p w:rsidR="00930904" w:rsidRDefault="00930904">
      <w:pPr>
        <w:rPr>
          <w:lang w:val="en-US"/>
        </w:rPr>
      </w:pPr>
      <w:r>
        <w:rPr>
          <w:lang w:val="en-US"/>
        </w:rPr>
        <w:br w:type="page"/>
      </w:r>
    </w:p>
    <w:p w:rsidR="005D76A9" w:rsidRDefault="006A07F1">
      <w:pPr>
        <w:rPr>
          <w:lang w:val="en-US"/>
        </w:rPr>
      </w:pPr>
      <w:r w:rsidRPr="00930904">
        <w:rPr>
          <w:noProof/>
          <w:lang w:eastAsia="fr-FR"/>
        </w:rPr>
        <w:lastRenderedPageBreak/>
        <w:drawing>
          <wp:inline distT="0" distB="0" distL="0" distR="0" wp14:anchorId="4BC29743" wp14:editId="0331BE6F">
            <wp:extent cx="4568025" cy="4147951"/>
            <wp:effectExtent l="0" t="0" r="444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38" cy="41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DD" w:rsidRDefault="00863BDD">
      <w:pPr>
        <w:rPr>
          <w:lang w:val="en-US"/>
        </w:rPr>
      </w:pPr>
      <w:r w:rsidRPr="00863BDD">
        <w:rPr>
          <w:noProof/>
          <w:lang w:eastAsia="fr-FR"/>
        </w:rPr>
        <w:lastRenderedPageBreak/>
        <w:drawing>
          <wp:inline distT="0" distB="0" distL="0" distR="0">
            <wp:extent cx="4820612" cy="64803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81" cy="64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F1" w:rsidRPr="00C936CF" w:rsidRDefault="008157F1" w:rsidP="008157F1">
      <w:pPr>
        <w:spacing w:line="240" w:lineRule="auto"/>
        <w:rPr>
          <w:i/>
          <w:lang w:val="en-US"/>
        </w:rPr>
      </w:pPr>
      <w:r w:rsidRPr="00C936CF">
        <w:rPr>
          <w:i/>
          <w:lang w:val="en-US"/>
        </w:rPr>
        <w:t>Figure S2 – Records of ORP, PH and T versus time for La Coulée and Pirogues springs</w:t>
      </w:r>
    </w:p>
    <w:p w:rsidR="008157F1" w:rsidRPr="00D05760" w:rsidRDefault="008157F1" w:rsidP="008157F1">
      <w:pPr>
        <w:spacing w:line="240" w:lineRule="auto"/>
        <w:ind w:firstLine="567"/>
        <w:jc w:val="both"/>
        <w:rPr>
          <w:lang w:val="en-US"/>
        </w:rPr>
      </w:pPr>
      <w:r w:rsidRPr="00D05760">
        <w:rPr>
          <w:lang w:val="en-US"/>
        </w:rPr>
        <w:t>The Eh value (hydrogen electrode reference) was calculated from the measured ORP value (Ag/</w:t>
      </w:r>
      <w:proofErr w:type="spellStart"/>
      <w:r w:rsidRPr="00D05760">
        <w:rPr>
          <w:lang w:val="en-US"/>
        </w:rPr>
        <w:t>AgCl</w:t>
      </w:r>
      <w:proofErr w:type="spellEnd"/>
      <w:r w:rsidRPr="00D05760">
        <w:rPr>
          <w:lang w:val="en-US"/>
        </w:rPr>
        <w:t xml:space="preserve"> reference) using the potential difference between the two reference electrodes given by the </w:t>
      </w:r>
      <w:r>
        <w:rPr>
          <w:lang w:val="en-US"/>
        </w:rPr>
        <w:t>provider</w:t>
      </w:r>
      <w:r w:rsidRPr="00D05760">
        <w:rPr>
          <w:lang w:val="en-US"/>
        </w:rPr>
        <w:t xml:space="preserve"> (WTW; https://www.wtw.com/en/) that had supplied the probe. These values have been fitted to the following polynomial:</w:t>
      </w:r>
    </w:p>
    <w:p w:rsidR="008157F1" w:rsidRPr="00296831" w:rsidRDefault="008157F1" w:rsidP="008157F1">
      <w:pPr>
        <w:spacing w:after="0" w:line="240" w:lineRule="auto"/>
        <w:ind w:firstLine="567"/>
        <w:jc w:val="both"/>
        <w:rPr>
          <w:szCs w:val="24"/>
          <w:lang w:val="en-US"/>
        </w:rPr>
      </w:pPr>
      <m:oMathPara>
        <m:oMath>
          <m:r>
            <w:rPr>
              <w:rFonts w:ascii="Cambria Math" w:hAnsi="Cambria Math"/>
              <w:szCs w:val="24"/>
              <w:lang w:val="en-US"/>
            </w:rPr>
            <m:t xml:space="preserve">∆Eh=221.02-0.9189 t-0.0017 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</m:oMath>
      </m:oMathPara>
    </w:p>
    <w:p w:rsidR="008157F1" w:rsidRPr="00296831" w:rsidRDefault="008157F1" w:rsidP="008157F1">
      <w:pPr>
        <w:spacing w:after="0" w:line="240" w:lineRule="auto"/>
        <w:jc w:val="both"/>
        <w:rPr>
          <w:szCs w:val="24"/>
          <w:lang w:val="en-US"/>
        </w:rPr>
      </w:pPr>
      <w:proofErr w:type="gramStart"/>
      <w:r w:rsidRPr="00296831">
        <w:rPr>
          <w:szCs w:val="24"/>
          <w:lang w:val="en-US"/>
        </w:rPr>
        <w:t>where</w:t>
      </w:r>
      <w:proofErr w:type="gramEnd"/>
      <w:r w:rsidRPr="00296831">
        <w:rPr>
          <w:szCs w:val="24"/>
          <w:lang w:val="en-US"/>
        </w:rPr>
        <w:t xml:space="preserve"> </w:t>
      </w:r>
      <w:proofErr w:type="spellStart"/>
      <w:r w:rsidRPr="00296831">
        <w:rPr>
          <w:szCs w:val="24"/>
          <w:lang w:val="en-US"/>
        </w:rPr>
        <w:t>t</w:t>
      </w:r>
      <w:proofErr w:type="spellEnd"/>
      <w:r w:rsidRPr="00296831">
        <w:rPr>
          <w:szCs w:val="24"/>
          <w:lang w:val="en-US"/>
        </w:rPr>
        <w:t xml:space="preserve"> is the temperature (°C). Eh and ORP are in millivolts. The redox potential Eh is then:</w:t>
      </w:r>
    </w:p>
    <w:p w:rsidR="008157F1" w:rsidRPr="00F73E14" w:rsidRDefault="008157F1" w:rsidP="008157F1">
      <w:pPr>
        <w:spacing w:after="0" w:line="240" w:lineRule="auto"/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Eh=ORP+ ∆Eh</m:t>
          </m:r>
        </m:oMath>
      </m:oMathPara>
    </w:p>
    <w:p w:rsidR="00930904" w:rsidRDefault="008157F1" w:rsidP="008157F1">
      <w:pPr>
        <w:spacing w:line="240" w:lineRule="auto"/>
        <w:rPr>
          <w:lang w:val="en-US"/>
        </w:rPr>
      </w:pPr>
      <w:r w:rsidRPr="00F73E14">
        <w:rPr>
          <w:rFonts w:eastAsiaTheme="minorEastAsia"/>
          <w:lang w:val="en-US"/>
        </w:rPr>
        <w:t xml:space="preserve">The redox correction </w:t>
      </w:r>
      <m:oMath>
        <m:r>
          <w:rPr>
            <w:rFonts w:ascii="Cambria Math" w:eastAsiaTheme="minorEastAsia" w:hAnsi="Cambria Math"/>
            <w:lang w:val="en-US"/>
          </w:rPr>
          <m:t>∆Eh</m:t>
        </m:r>
      </m:oMath>
      <w:r w:rsidRPr="00D05760">
        <w:rPr>
          <w:rFonts w:eastAsiaTheme="minorEastAsia"/>
          <w:lang w:val="en-US"/>
        </w:rPr>
        <w:t xml:space="preserve"> between the two references is about +200 mv.</w:t>
      </w:r>
    </w:p>
    <w:p w:rsidR="00634C99" w:rsidRDefault="00634C99">
      <w:pPr>
        <w:rPr>
          <w:lang w:val="en-US"/>
        </w:rPr>
      </w:pPr>
      <w:r>
        <w:rPr>
          <w:lang w:val="en-US"/>
        </w:rPr>
        <w:br w:type="page"/>
      </w:r>
    </w:p>
    <w:p w:rsidR="008157F1" w:rsidRDefault="00C936CF" w:rsidP="008157F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36CF">
        <w:rPr>
          <w:noProof/>
          <w:lang w:eastAsia="fr-FR"/>
        </w:rPr>
        <w:lastRenderedPageBreak/>
        <w:drawing>
          <wp:inline distT="0" distB="0" distL="0" distR="0">
            <wp:extent cx="4915437" cy="8019468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97" cy="80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7F1" w:rsidRPr="008157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157F1" w:rsidRDefault="008157F1" w:rsidP="00397A87">
      <w:pPr>
        <w:spacing w:after="0" w:line="240" w:lineRule="auto"/>
        <w:jc w:val="both"/>
        <w:rPr>
          <w:lang w:val="en-US"/>
        </w:rPr>
      </w:pPr>
      <w:r w:rsidRPr="00C936CF">
        <w:rPr>
          <w:rFonts w:ascii="Times New Roman" w:hAnsi="Times New Roman" w:cs="Times New Roman"/>
          <w:sz w:val="24"/>
          <w:szCs w:val="24"/>
          <w:lang w:val="en-US"/>
        </w:rPr>
        <w:t xml:space="preserve">Figure S3 – </w:t>
      </w:r>
      <w:r w:rsidRPr="00C936CF">
        <w:rPr>
          <w:rFonts w:ascii="Times New Roman" w:hAnsi="Times New Roman" w:cs="Times New Roman"/>
          <w:lang w:val="en-US"/>
        </w:rPr>
        <w:t xml:space="preserve">Triangular plots of the </w:t>
      </w:r>
      <w:r w:rsidR="00BA130C">
        <w:rPr>
          <w:rFonts w:ascii="Times New Roman" w:hAnsi="Times New Roman" w:cs="Times New Roman"/>
          <w:lang w:val="en-US"/>
        </w:rPr>
        <w:t>O</w:t>
      </w:r>
      <w:r w:rsidR="00BA130C" w:rsidRPr="00BA130C">
        <w:rPr>
          <w:rFonts w:ascii="Times New Roman" w:hAnsi="Times New Roman" w:cs="Times New Roman"/>
          <w:vertAlign w:val="subscript"/>
          <w:lang w:val="en-US"/>
        </w:rPr>
        <w:t>2</w:t>
      </w:r>
      <w:r w:rsidR="00BA130C">
        <w:rPr>
          <w:rFonts w:ascii="Times New Roman" w:hAnsi="Times New Roman" w:cs="Times New Roman"/>
          <w:lang w:val="en-US"/>
        </w:rPr>
        <w:t xml:space="preserve">-corrected </w:t>
      </w:r>
      <w:r w:rsidRPr="00C936CF">
        <w:rPr>
          <w:rFonts w:ascii="Times New Roman" w:hAnsi="Times New Roman" w:cs="Times New Roman"/>
          <w:lang w:val="en-US"/>
        </w:rPr>
        <w:t>free gas compositions at various locations. The black plain line is the line with a slope of -0.25 corresponding to the Sabatier reaction involving CO</w:t>
      </w:r>
      <w:r w:rsidRPr="00C936CF">
        <w:rPr>
          <w:rFonts w:ascii="Times New Roman" w:hAnsi="Times New Roman" w:cs="Times New Roman"/>
          <w:vertAlign w:val="subscript"/>
          <w:lang w:val="en-US"/>
        </w:rPr>
        <w:t>2</w:t>
      </w:r>
      <w:r w:rsidRPr="00C936CF">
        <w:rPr>
          <w:rFonts w:ascii="Times New Roman" w:hAnsi="Times New Roman" w:cs="Times New Roman"/>
          <w:lang w:val="en-US"/>
        </w:rPr>
        <w:t>. The short dash line has a slope of -0.33 corresponding to a Fisher-Tropsch-type reaction involving carbon monoxide (see text).</w:t>
      </w:r>
      <w:r>
        <w:rPr>
          <w:lang w:val="en-US"/>
        </w:rPr>
        <w:br w:type="page"/>
      </w:r>
    </w:p>
    <w:p w:rsidR="005D76A9" w:rsidRDefault="001315F6">
      <w:pPr>
        <w:rPr>
          <w:lang w:val="en-US"/>
        </w:rPr>
      </w:pPr>
      <w:r w:rsidRPr="001315F6">
        <w:rPr>
          <w:noProof/>
          <w:lang w:eastAsia="fr-FR"/>
        </w:rPr>
        <w:lastRenderedPageBreak/>
        <w:drawing>
          <wp:inline distT="0" distB="0" distL="0" distR="0">
            <wp:extent cx="5760720" cy="2963376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F6" w:rsidRPr="001315F6" w:rsidRDefault="001315F6" w:rsidP="001315F6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315F6">
        <w:rPr>
          <w:rFonts w:ascii="Times New Roman" w:hAnsi="Times New Roman" w:cs="Times New Roman"/>
          <w:i/>
          <w:sz w:val="24"/>
          <w:szCs w:val="24"/>
          <w:lang w:val="en-US"/>
        </w:rPr>
        <w:t>Table S1 – Temperature, pH, DO (Dissolved oxygen) and ORP (oxidation-reduction potential) measured in situ for the on-land al</w:t>
      </w:r>
      <w:r w:rsidR="004203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kaline springs of New Caledonia. </w:t>
      </w:r>
      <w:r w:rsidR="00EF6C0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42035A">
        <w:rPr>
          <w:rFonts w:ascii="Times New Roman" w:hAnsi="Times New Roman" w:cs="Times New Roman"/>
          <w:i/>
          <w:sz w:val="24"/>
          <w:szCs w:val="24"/>
          <w:lang w:val="en-US"/>
        </w:rPr>
        <w:t>.m.: not measured.</w:t>
      </w:r>
    </w:p>
    <w:p w:rsidR="001315F6" w:rsidRDefault="001315F6">
      <w:pPr>
        <w:rPr>
          <w:lang w:val="en-US"/>
        </w:rPr>
      </w:pPr>
      <w:r>
        <w:rPr>
          <w:lang w:val="en-US"/>
        </w:rPr>
        <w:br w:type="page"/>
      </w:r>
    </w:p>
    <w:p w:rsidR="001315F6" w:rsidRDefault="00BA2A42">
      <w:pPr>
        <w:rPr>
          <w:lang w:val="en-US"/>
        </w:rPr>
      </w:pPr>
      <w:r w:rsidRPr="00BA2A42">
        <w:rPr>
          <w:noProof/>
          <w:lang w:eastAsia="fr-FR"/>
        </w:rPr>
        <w:lastRenderedPageBreak/>
        <w:drawing>
          <wp:inline distT="0" distB="0" distL="0" distR="0">
            <wp:extent cx="5760720" cy="589446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42" w:rsidRPr="00BA2A42" w:rsidRDefault="00BA2A42" w:rsidP="00BA2A4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A2A42">
        <w:rPr>
          <w:rFonts w:ascii="Times New Roman" w:hAnsi="Times New Roman" w:cs="Times New Roman"/>
          <w:i/>
          <w:sz w:val="24"/>
          <w:szCs w:val="24"/>
          <w:lang w:val="en-US"/>
        </w:rPr>
        <w:t>Table S2 – The composition of free gases venting at the Bain des Japonais and at the Kaoris springs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determined in the three laboratories. Note that the N</w:t>
      </w:r>
      <w:r w:rsidRPr="00BA2A42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concentration for that analyses carried out in the NASA AMES lab (in italic</w:t>
      </w:r>
      <w:r w:rsidR="005560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underlined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) are calculated by difference because nitrogen was the carrier gas in the gas chromatographer.</w:t>
      </w:r>
      <w:r w:rsidRPr="00BA2A4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BA2A42" w:rsidRDefault="00BA2A42">
      <w:pPr>
        <w:rPr>
          <w:lang w:val="en-US"/>
        </w:rPr>
      </w:pPr>
    </w:p>
    <w:sectPr w:rsidR="00BA2A42" w:rsidSect="00F24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A9"/>
    <w:rsid w:val="000174FB"/>
    <w:rsid w:val="00110453"/>
    <w:rsid w:val="001234B5"/>
    <w:rsid w:val="001315F6"/>
    <w:rsid w:val="00146C5E"/>
    <w:rsid w:val="001A3C46"/>
    <w:rsid w:val="001A3FBD"/>
    <w:rsid w:val="002359E3"/>
    <w:rsid w:val="00340D73"/>
    <w:rsid w:val="00397A87"/>
    <w:rsid w:val="003D3416"/>
    <w:rsid w:val="0042035A"/>
    <w:rsid w:val="00536657"/>
    <w:rsid w:val="00556064"/>
    <w:rsid w:val="00556D99"/>
    <w:rsid w:val="005A07FE"/>
    <w:rsid w:val="005C0E7A"/>
    <w:rsid w:val="005D76A9"/>
    <w:rsid w:val="005F2C9E"/>
    <w:rsid w:val="00633525"/>
    <w:rsid w:val="00634C99"/>
    <w:rsid w:val="006A07C8"/>
    <w:rsid w:val="006A07F1"/>
    <w:rsid w:val="00770A1C"/>
    <w:rsid w:val="008157F1"/>
    <w:rsid w:val="00863BDD"/>
    <w:rsid w:val="00876E68"/>
    <w:rsid w:val="00930904"/>
    <w:rsid w:val="00BA130C"/>
    <w:rsid w:val="00BA2A42"/>
    <w:rsid w:val="00C7244D"/>
    <w:rsid w:val="00C936CF"/>
    <w:rsid w:val="00D500FF"/>
    <w:rsid w:val="00DA140E"/>
    <w:rsid w:val="00EF6C0F"/>
    <w:rsid w:val="00F13393"/>
    <w:rsid w:val="00F245F3"/>
    <w:rsid w:val="00F5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9978"/>
  <w15:chartTrackingRefBased/>
  <w15:docId w15:val="{B0B92EFA-2294-4B93-855E-357EBC39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508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Monnin</dc:creator>
  <cp:keywords/>
  <dc:description/>
  <cp:lastModifiedBy>Christophe Monnin</cp:lastModifiedBy>
  <cp:revision>3</cp:revision>
  <dcterms:created xsi:type="dcterms:W3CDTF">2021-05-25T09:58:00Z</dcterms:created>
  <dcterms:modified xsi:type="dcterms:W3CDTF">2021-08-05T08:39:00Z</dcterms:modified>
</cp:coreProperties>
</file>