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AA969" w14:textId="77777777" w:rsidR="00041331" w:rsidRPr="000274FE" w:rsidRDefault="00041331" w:rsidP="004103DF">
      <w:pPr>
        <w:rPr>
          <w:rFonts w:cstheme="minorHAnsi"/>
          <w:b/>
          <w:sz w:val="28"/>
          <w:szCs w:val="40"/>
        </w:rPr>
      </w:pPr>
    </w:p>
    <w:p w14:paraId="2D937890" w14:textId="333D60F9" w:rsidR="004103DF" w:rsidRPr="000274FE" w:rsidRDefault="004103DF" w:rsidP="008C77F7">
      <w:pPr>
        <w:jc w:val="center"/>
        <w:rPr>
          <w:rFonts w:cstheme="minorHAnsi"/>
          <w:b/>
          <w:sz w:val="28"/>
          <w:szCs w:val="40"/>
        </w:rPr>
      </w:pPr>
      <w:r w:rsidRPr="000274FE">
        <w:rPr>
          <w:rFonts w:cstheme="minorHAnsi"/>
          <w:b/>
          <w:sz w:val="28"/>
          <w:szCs w:val="40"/>
        </w:rPr>
        <w:t xml:space="preserve">Research / </w:t>
      </w:r>
      <w:r w:rsidR="00E66095" w:rsidRPr="000274FE">
        <w:rPr>
          <w:rFonts w:cstheme="minorHAnsi"/>
          <w:b/>
          <w:sz w:val="28"/>
          <w:szCs w:val="40"/>
        </w:rPr>
        <w:t>E</w:t>
      </w:r>
      <w:r w:rsidRPr="000274FE">
        <w:rPr>
          <w:rFonts w:cstheme="minorHAnsi"/>
          <w:b/>
          <w:sz w:val="28"/>
          <w:szCs w:val="40"/>
        </w:rPr>
        <w:t xml:space="preserve">valuation </w:t>
      </w:r>
      <w:r w:rsidR="008C77F7">
        <w:rPr>
          <w:rFonts w:cstheme="minorHAnsi"/>
          <w:b/>
          <w:sz w:val="28"/>
          <w:szCs w:val="40"/>
        </w:rPr>
        <w:t>S</w:t>
      </w:r>
      <w:r w:rsidRPr="000274FE">
        <w:rPr>
          <w:rFonts w:cstheme="minorHAnsi"/>
          <w:b/>
          <w:sz w:val="28"/>
          <w:szCs w:val="40"/>
        </w:rPr>
        <w:t>ubmission</w:t>
      </w:r>
    </w:p>
    <w:p w14:paraId="776677B3" w14:textId="414AA6D5" w:rsidR="00BD3ABA" w:rsidRPr="000274FE" w:rsidRDefault="004103DF" w:rsidP="004103DF">
      <w:pPr>
        <w:rPr>
          <w:rFonts w:cstheme="minorHAnsi"/>
          <w:i/>
          <w:iCs/>
          <w:sz w:val="20"/>
          <w:szCs w:val="18"/>
        </w:rPr>
      </w:pPr>
      <w:r w:rsidRPr="000274FE">
        <w:rPr>
          <w:rFonts w:cstheme="minorHAnsi"/>
          <w:i/>
          <w:iCs/>
          <w:sz w:val="20"/>
          <w:szCs w:val="18"/>
        </w:rPr>
        <w:t xml:space="preserve">The aim of research / </w:t>
      </w:r>
      <w:r w:rsidR="000274FE" w:rsidRPr="000274FE">
        <w:rPr>
          <w:rFonts w:cstheme="minorHAnsi"/>
          <w:i/>
          <w:iCs/>
          <w:sz w:val="20"/>
          <w:szCs w:val="18"/>
        </w:rPr>
        <w:t>evaluation submissions</w:t>
      </w:r>
      <w:r w:rsidRPr="000274FE">
        <w:rPr>
          <w:rFonts w:cstheme="minorHAnsi"/>
          <w:i/>
          <w:iCs/>
          <w:sz w:val="20"/>
          <w:szCs w:val="18"/>
        </w:rPr>
        <w:t xml:space="preserve"> sessions at conference is to give the opportunity to share research and or evaluation results of social marketing policy, inte</w:t>
      </w:r>
      <w:r w:rsidR="00A96E11" w:rsidRPr="000274FE">
        <w:rPr>
          <w:rFonts w:cstheme="minorHAnsi"/>
          <w:i/>
          <w:iCs/>
          <w:sz w:val="20"/>
          <w:szCs w:val="18"/>
        </w:rPr>
        <w:t>rvention</w:t>
      </w:r>
      <w:r w:rsidRPr="000274FE">
        <w:rPr>
          <w:rFonts w:cstheme="minorHAnsi"/>
          <w:i/>
          <w:iCs/>
          <w:sz w:val="20"/>
          <w:szCs w:val="18"/>
        </w:rPr>
        <w:t xml:space="preserve"> programmes or pilot studies.</w:t>
      </w:r>
    </w:p>
    <w:p w14:paraId="732E6060" w14:textId="5F815E9B" w:rsidR="000274FE" w:rsidRPr="000274FE" w:rsidRDefault="000274FE" w:rsidP="004103DF">
      <w:pPr>
        <w:rPr>
          <w:rFonts w:cstheme="minorHAnsi"/>
          <w:i/>
          <w:iCs/>
          <w:sz w:val="20"/>
          <w:szCs w:val="18"/>
        </w:rPr>
      </w:pPr>
      <w:bookmarkStart w:id="0" w:name="_Hlk7018614"/>
      <w:bookmarkStart w:id="1" w:name="_Hlk7018202"/>
      <w:r w:rsidRPr="000274FE">
        <w:rPr>
          <w:rFonts w:cstheme="minorHAnsi"/>
          <w:i/>
          <w:iCs/>
          <w:sz w:val="20"/>
          <w:szCs w:val="18"/>
        </w:rPr>
        <w:t xml:space="preserve">There is a 1000-word limit on abstracts (inclusive of figures, tables, etc.). PLUS </w:t>
      </w:r>
      <w:r>
        <w:rPr>
          <w:rFonts w:cstheme="minorHAnsi"/>
          <w:i/>
          <w:iCs/>
          <w:sz w:val="20"/>
          <w:szCs w:val="18"/>
        </w:rPr>
        <w:t>one</w:t>
      </w:r>
      <w:r w:rsidRPr="000274FE">
        <w:rPr>
          <w:rFonts w:cstheme="minorHAnsi"/>
          <w:i/>
          <w:iCs/>
          <w:sz w:val="20"/>
          <w:szCs w:val="18"/>
        </w:rPr>
        <w:t xml:space="preserve"> page of references if required</w:t>
      </w:r>
      <w:bookmarkEnd w:id="0"/>
      <w:r w:rsidRPr="000274FE">
        <w:rPr>
          <w:rFonts w:cstheme="minorHAnsi"/>
          <w:i/>
          <w:iCs/>
          <w:sz w:val="20"/>
          <w:szCs w:val="18"/>
        </w:rPr>
        <w:t>.</w:t>
      </w:r>
    </w:p>
    <w:bookmarkEnd w:id="1"/>
    <w:p w14:paraId="06241D3B" w14:textId="20D3AA06" w:rsidR="00CA2AFF" w:rsidRPr="000274FE" w:rsidRDefault="004103DF" w:rsidP="004103DF">
      <w:pPr>
        <w:rPr>
          <w:rFonts w:cstheme="minorHAnsi"/>
          <w:i/>
          <w:iCs/>
          <w:sz w:val="20"/>
          <w:szCs w:val="18"/>
        </w:rPr>
      </w:pPr>
      <w:r w:rsidRPr="000274FE">
        <w:rPr>
          <w:rFonts w:cstheme="minorHAnsi"/>
          <w:i/>
          <w:iCs/>
          <w:sz w:val="20"/>
          <w:szCs w:val="18"/>
        </w:rPr>
        <w:t>All applications will be peer reviewed and applicants may be asked to provide additional information about the proposed session if the original application is not clear.</w:t>
      </w:r>
    </w:p>
    <w:tbl>
      <w:tblPr>
        <w:tblStyle w:val="Grilledutableau"/>
        <w:tblW w:w="0" w:type="auto"/>
        <w:tblLook w:val="04A0" w:firstRow="1" w:lastRow="0" w:firstColumn="1" w:lastColumn="0" w:noHBand="0" w:noVBand="1"/>
      </w:tblPr>
      <w:tblGrid>
        <w:gridCol w:w="8784"/>
      </w:tblGrid>
      <w:tr w:rsidR="004103DF" w:rsidRPr="000274FE" w14:paraId="6D8F8851" w14:textId="77777777" w:rsidTr="007B6AD0">
        <w:trPr>
          <w:trHeight w:val="284"/>
        </w:trPr>
        <w:tc>
          <w:tcPr>
            <w:tcW w:w="8784" w:type="dxa"/>
          </w:tcPr>
          <w:p w14:paraId="55B514EB" w14:textId="77777777" w:rsidR="00CA2AFF" w:rsidRPr="000274FE" w:rsidRDefault="00CA2AFF" w:rsidP="00A96E11">
            <w:pPr>
              <w:jc w:val="center"/>
              <w:rPr>
                <w:rFonts w:cstheme="minorHAnsi"/>
                <w:b/>
                <w:sz w:val="28"/>
                <w:szCs w:val="40"/>
              </w:rPr>
            </w:pPr>
          </w:p>
          <w:p w14:paraId="3035E770" w14:textId="2237BA2A" w:rsidR="004103DF" w:rsidRPr="000274FE" w:rsidRDefault="004103DF" w:rsidP="00A96E11">
            <w:pPr>
              <w:jc w:val="center"/>
              <w:rPr>
                <w:rFonts w:cstheme="minorHAnsi"/>
                <w:b/>
                <w:sz w:val="28"/>
                <w:szCs w:val="40"/>
              </w:rPr>
            </w:pPr>
            <w:r w:rsidRPr="000274FE">
              <w:rPr>
                <w:rFonts w:cstheme="minorHAnsi"/>
                <w:b/>
                <w:sz w:val="28"/>
                <w:szCs w:val="40"/>
              </w:rPr>
              <w:t xml:space="preserve">Research / </w:t>
            </w:r>
            <w:r w:rsidR="00E66095" w:rsidRPr="000274FE">
              <w:rPr>
                <w:rFonts w:cstheme="minorHAnsi"/>
                <w:b/>
                <w:sz w:val="28"/>
                <w:szCs w:val="40"/>
              </w:rPr>
              <w:t>E</w:t>
            </w:r>
            <w:r w:rsidRPr="000274FE">
              <w:rPr>
                <w:rFonts w:cstheme="minorHAnsi"/>
                <w:b/>
                <w:sz w:val="28"/>
                <w:szCs w:val="40"/>
              </w:rPr>
              <w:t>valuation submission</w:t>
            </w:r>
          </w:p>
          <w:p w14:paraId="4EEDA51D" w14:textId="77777777" w:rsidR="000274FE" w:rsidRPr="000274FE" w:rsidRDefault="000274FE" w:rsidP="00A96E11">
            <w:pPr>
              <w:jc w:val="center"/>
              <w:rPr>
                <w:rFonts w:cstheme="minorHAnsi"/>
                <w:b/>
                <w:sz w:val="28"/>
                <w:szCs w:val="40"/>
              </w:rPr>
            </w:pPr>
          </w:p>
          <w:p w14:paraId="1270927E" w14:textId="77777777" w:rsidR="00404D8E" w:rsidRPr="00CF1633" w:rsidRDefault="000274FE" w:rsidP="00404D8E">
            <w:pPr>
              <w:rPr>
                <w:rFonts w:cstheme="minorHAnsi"/>
                <w:b/>
                <w:sz w:val="20"/>
                <w:u w:val="single"/>
              </w:rPr>
            </w:pPr>
            <w:r w:rsidRPr="007701B9">
              <w:rPr>
                <w:rFonts w:cstheme="minorHAnsi"/>
                <w:b/>
                <w:sz w:val="20"/>
              </w:rPr>
              <w:t xml:space="preserve">Title of the </w:t>
            </w:r>
            <w:r w:rsidR="00C31E4B" w:rsidRPr="007701B9">
              <w:rPr>
                <w:rFonts w:cstheme="minorHAnsi"/>
                <w:b/>
                <w:sz w:val="20"/>
              </w:rPr>
              <w:t>submission</w:t>
            </w:r>
            <w:r w:rsidR="00404D8E">
              <w:rPr>
                <w:rFonts w:cstheme="minorHAnsi"/>
                <w:b/>
                <w:sz w:val="20"/>
              </w:rPr>
              <w:t xml:space="preserve"> </w:t>
            </w:r>
            <w:r w:rsidR="00404D8E" w:rsidRPr="00CF1633">
              <w:rPr>
                <w:rFonts w:cstheme="minorHAnsi"/>
                <w:b/>
                <w:color w:val="000000" w:themeColor="text1"/>
                <w:sz w:val="20"/>
                <w:u w:val="single"/>
              </w:rPr>
              <w:t>Co-creation with consumers: a new approach of connected health promotion</w:t>
            </w:r>
          </w:p>
          <w:p w14:paraId="03B0B0F0" w14:textId="77777777" w:rsidR="00404D8E" w:rsidRPr="00CF1633" w:rsidRDefault="00404D8E" w:rsidP="00404D8E">
            <w:pPr>
              <w:rPr>
                <w:rFonts w:cstheme="minorHAnsi"/>
                <w:b/>
                <w:sz w:val="20"/>
                <w:u w:val="single"/>
              </w:rPr>
            </w:pPr>
          </w:p>
          <w:p w14:paraId="2C808D67" w14:textId="77777777" w:rsidR="00404D8E" w:rsidRPr="00192A65" w:rsidRDefault="00404D8E" w:rsidP="00404D8E">
            <w:pPr>
              <w:rPr>
                <w:lang w:val="en-US"/>
              </w:rPr>
            </w:pPr>
            <w:r w:rsidRPr="007701B9">
              <w:rPr>
                <w:rFonts w:cstheme="minorHAnsi"/>
                <w:b/>
                <w:sz w:val="20"/>
              </w:rPr>
              <w:t>Conference trac</w:t>
            </w:r>
            <w:r>
              <w:rPr>
                <w:rFonts w:cstheme="minorHAnsi"/>
                <w:b/>
                <w:sz w:val="20"/>
              </w:rPr>
              <w:t xml:space="preserve">k: </w:t>
            </w:r>
            <w:r w:rsidRPr="007644C5">
              <w:rPr>
                <w:b/>
                <w:bCs/>
                <w:color w:val="FF0000"/>
                <w:lang w:val="en-US"/>
              </w:rPr>
              <w:t xml:space="preserve"> </w:t>
            </w:r>
            <w:r w:rsidRPr="00CF1633">
              <w:rPr>
                <w:b/>
                <w:bCs/>
                <w:color w:val="000000" w:themeColor="text1"/>
                <w:lang w:val="en-US"/>
              </w:rPr>
              <w:t>5</w:t>
            </w:r>
            <w:r w:rsidRPr="00CF1633">
              <w:rPr>
                <w:color w:val="000000" w:themeColor="text1"/>
                <w:lang w:val="en-US"/>
              </w:rPr>
              <w:t>.</w:t>
            </w:r>
            <w:r>
              <w:rPr>
                <w:lang w:val="en-US"/>
              </w:rPr>
              <w:t xml:space="preserve"> </w:t>
            </w:r>
            <w:r w:rsidRPr="007816F2">
              <w:rPr>
                <w:sz w:val="21"/>
                <w:szCs w:val="21"/>
                <w:lang w:val="en-US"/>
              </w:rPr>
              <w:t>Using citizen focused design thinking, participative design and co-creation)</w:t>
            </w:r>
          </w:p>
          <w:p w14:paraId="3B7EEB53" w14:textId="5842B6ED" w:rsidR="000274FE" w:rsidRPr="00404D8E" w:rsidRDefault="000274FE" w:rsidP="000274FE">
            <w:pPr>
              <w:rPr>
                <w:rFonts w:cstheme="minorHAnsi"/>
                <w:b/>
                <w:sz w:val="20"/>
                <w:lang w:val="en-US"/>
              </w:rPr>
            </w:pPr>
          </w:p>
          <w:p w14:paraId="058229F0" w14:textId="158F2973" w:rsidR="00CA2AFF" w:rsidRPr="000274FE" w:rsidRDefault="00CA2AFF" w:rsidP="00404D8E">
            <w:pPr>
              <w:rPr>
                <w:rFonts w:cstheme="minorHAnsi"/>
                <w:b/>
                <w:sz w:val="32"/>
                <w:szCs w:val="40"/>
              </w:rPr>
            </w:pPr>
          </w:p>
        </w:tc>
      </w:tr>
    </w:tbl>
    <w:p w14:paraId="25364391" w14:textId="024CF344" w:rsidR="00FA648D" w:rsidRPr="000274FE" w:rsidRDefault="00FA648D">
      <w:pPr>
        <w:rPr>
          <w:rFonts w:cstheme="minorHAnsi"/>
        </w:rPr>
      </w:pPr>
    </w:p>
    <w:p w14:paraId="69370406" w14:textId="77777777" w:rsidR="00270E30" w:rsidRPr="000274FE" w:rsidRDefault="00270E30" w:rsidP="00270E30">
      <w:pPr>
        <w:rPr>
          <w:rFonts w:cstheme="minorHAnsi"/>
          <w:b/>
        </w:rPr>
      </w:pPr>
    </w:p>
    <w:p w14:paraId="6CF61C94" w14:textId="4998B2DA" w:rsidR="00270E30" w:rsidRPr="000274FE" w:rsidRDefault="00270E30" w:rsidP="000274FE">
      <w:pPr>
        <w:jc w:val="center"/>
        <w:rPr>
          <w:rFonts w:cstheme="minorHAnsi"/>
          <w:b/>
        </w:rPr>
      </w:pPr>
      <w:bookmarkStart w:id="2" w:name="_Hlk7018237"/>
      <w:r w:rsidRPr="000274FE">
        <w:rPr>
          <w:rFonts w:cstheme="minorHAnsi"/>
          <w:b/>
        </w:rPr>
        <w:t>Abstract</w:t>
      </w:r>
      <w:r w:rsidR="000274FE" w:rsidRPr="000274FE">
        <w:rPr>
          <w:rFonts w:cstheme="minorHAnsi"/>
          <w:b/>
        </w:rPr>
        <w:t xml:space="preserve"> </w:t>
      </w:r>
      <w:r w:rsidR="000274FE" w:rsidRPr="000274FE">
        <w:rPr>
          <w:rFonts w:cstheme="minorHAnsi"/>
        </w:rPr>
        <w:t>(maximum 1000 words)</w:t>
      </w:r>
    </w:p>
    <w:p w14:paraId="76B6C011" w14:textId="77777777" w:rsidR="00404D8E" w:rsidRPr="003B6F71" w:rsidRDefault="00404D8E" w:rsidP="00404D8E">
      <w:pPr>
        <w:rPr>
          <w:rFonts w:cstheme="minorHAnsi"/>
          <w:bCs/>
        </w:rPr>
      </w:pPr>
      <w:r w:rsidRPr="003B6F71">
        <w:rPr>
          <w:rFonts w:cstheme="minorHAnsi"/>
          <w:bCs/>
        </w:rPr>
        <w:t>BACKGROUND</w:t>
      </w:r>
    </w:p>
    <w:p w14:paraId="5BF332C0" w14:textId="77777777" w:rsidR="00404D8E" w:rsidRPr="00F937D9" w:rsidRDefault="00404D8E" w:rsidP="00404D8E">
      <w:pPr>
        <w:rPr>
          <w:rFonts w:cstheme="minorHAnsi"/>
          <w:bCs/>
        </w:rPr>
      </w:pPr>
      <w:r w:rsidRPr="00F937D9">
        <w:rPr>
          <w:rFonts w:cstheme="minorHAnsi"/>
          <w:bCs/>
        </w:rPr>
        <w:t>The negative consequences of the global obesity epidemic are now well known (WHO 2016). In response, governments have sought for decades to inform the public about the benefits of a healthy and balanced diet. These nutritional recommendations of the "Five a Day" type have unfortunately not yet allowed a significant and lasting change in eating behaviours (Blanc et al., 2017). More recently, public health programs have sought to improve</w:t>
      </w:r>
      <w:r>
        <w:rPr>
          <w:rFonts w:cstheme="minorHAnsi"/>
          <w:bCs/>
        </w:rPr>
        <w:t xml:space="preserve"> </w:t>
      </w:r>
      <w:r w:rsidRPr="00F937D9">
        <w:rPr>
          <w:rFonts w:cstheme="minorHAnsi"/>
          <w:bCs/>
        </w:rPr>
        <w:t>diet and physical fitness (the two major causes of obesity and overweight) of targeted populations through connected devices.</w:t>
      </w:r>
    </w:p>
    <w:p w14:paraId="1BEEE338" w14:textId="77777777" w:rsidR="00404D8E" w:rsidRPr="00F937D9" w:rsidRDefault="00404D8E" w:rsidP="00404D8E">
      <w:pPr>
        <w:rPr>
          <w:rFonts w:cstheme="minorHAnsi"/>
          <w:bCs/>
        </w:rPr>
      </w:pPr>
      <w:r w:rsidRPr="00F937D9">
        <w:rPr>
          <w:rFonts w:cstheme="minorHAnsi"/>
          <w:bCs/>
        </w:rPr>
        <w:t>The technological solutions tested by researchers in the medical field are built by experts and prove to be inefficient in the medium / long term. Nothing is known about the ability of co-creation approaches to enhance the effectiveness of these devices</w:t>
      </w:r>
    </w:p>
    <w:p w14:paraId="368F8B4C" w14:textId="77777777" w:rsidR="00404D8E" w:rsidRDefault="00404D8E" w:rsidP="00404D8E">
      <w:pPr>
        <w:rPr>
          <w:rFonts w:cstheme="minorHAnsi"/>
          <w:bCs/>
        </w:rPr>
      </w:pPr>
      <w:r w:rsidRPr="00F937D9">
        <w:rPr>
          <w:rFonts w:cstheme="minorHAnsi"/>
          <w:bCs/>
        </w:rPr>
        <w:t>We are trying to understand how to design a weight loss device connected with consumers so that to improve its efficiency</w:t>
      </w:r>
      <w:r>
        <w:rPr>
          <w:rFonts w:cstheme="minorHAnsi"/>
          <w:bCs/>
        </w:rPr>
        <w:t>.</w:t>
      </w:r>
    </w:p>
    <w:p w14:paraId="3BDFC60A" w14:textId="3A6DA1B5" w:rsidR="00404D8E" w:rsidRPr="00CF1633" w:rsidRDefault="00EC34D8" w:rsidP="00404D8E">
      <w:pPr>
        <w:rPr>
          <w:rFonts w:cstheme="minorHAnsi"/>
          <w:bCs/>
        </w:rPr>
      </w:pPr>
      <w:r>
        <w:rPr>
          <w:rFonts w:cstheme="minorHAnsi"/>
          <w:bCs/>
        </w:rPr>
        <w:t>To</w:t>
      </w:r>
      <w:bookmarkStart w:id="3" w:name="_GoBack"/>
      <w:bookmarkEnd w:id="3"/>
      <w:r w:rsidR="00404D8E" w:rsidRPr="000F5543">
        <w:rPr>
          <w:rFonts w:cstheme="minorHAnsi"/>
          <w:bCs/>
        </w:rPr>
        <w:t xml:space="preserve"> identify the factors that make it possible to improve the efficiency of connected health devices, our research is set in the context of </w:t>
      </w:r>
      <w:r w:rsidR="00404D8E" w:rsidRPr="00CF1633">
        <w:rPr>
          <w:rFonts w:cstheme="minorHAnsi"/>
          <w:bCs/>
          <w:u w:val="single"/>
        </w:rPr>
        <w:t>Social Marketing and</w:t>
      </w:r>
      <w:r w:rsidR="00404D8E">
        <w:rPr>
          <w:rFonts w:cstheme="minorHAnsi"/>
          <w:bCs/>
        </w:rPr>
        <w:t xml:space="preserve"> </w:t>
      </w:r>
      <w:r w:rsidR="00404D8E" w:rsidRPr="000F5543">
        <w:rPr>
          <w:rFonts w:cstheme="minorHAnsi"/>
          <w:bCs/>
        </w:rPr>
        <w:t xml:space="preserve">Transformative Service </w:t>
      </w:r>
      <w:r w:rsidR="00404D8E">
        <w:rPr>
          <w:rFonts w:cstheme="minorHAnsi"/>
          <w:bCs/>
        </w:rPr>
        <w:t>R</w:t>
      </w:r>
      <w:r w:rsidR="00404D8E" w:rsidRPr="000F5543">
        <w:rPr>
          <w:rFonts w:cstheme="minorHAnsi"/>
          <w:bCs/>
        </w:rPr>
        <w:t>esearch (TSR). In line with the Transformative consumer research (Mick et al., 2012), the TSR focuses on the emergence of new services to improve the lives of individuals (Anderson et al., 2013).</w:t>
      </w:r>
      <w:r w:rsidR="00404D8E">
        <w:rPr>
          <w:rFonts w:cstheme="minorHAnsi"/>
          <w:bCs/>
        </w:rPr>
        <w:t xml:space="preserve"> Social </w:t>
      </w:r>
      <w:r w:rsidR="00404D8E">
        <w:rPr>
          <w:rFonts w:cstheme="minorHAnsi"/>
          <w:bCs/>
        </w:rPr>
        <w:lastRenderedPageBreak/>
        <w:t xml:space="preserve">Marketing has long been </w:t>
      </w:r>
      <w:r w:rsidR="00404D8E" w:rsidRPr="00CF1633">
        <w:rPr>
          <w:rFonts w:cstheme="minorHAnsi"/>
          <w:bCs/>
        </w:rPr>
        <w:t>aware of the importance to embed the targeted communities in the design of social interventions.</w:t>
      </w:r>
    </w:p>
    <w:p w14:paraId="12BD48E6" w14:textId="77777777" w:rsidR="00404D8E" w:rsidRDefault="00404D8E" w:rsidP="00404D8E">
      <w:pPr>
        <w:rPr>
          <w:rFonts w:cstheme="minorHAnsi"/>
          <w:bCs/>
        </w:rPr>
      </w:pPr>
      <w:r w:rsidRPr="00F937D9">
        <w:rPr>
          <w:rFonts w:cstheme="minorHAnsi"/>
          <w:bCs/>
        </w:rPr>
        <w:t>METHOD</w:t>
      </w:r>
    </w:p>
    <w:p w14:paraId="02A25C2D" w14:textId="77777777" w:rsidR="00404D8E" w:rsidRPr="00292C36" w:rsidRDefault="00404D8E" w:rsidP="00404D8E">
      <w:pPr>
        <w:rPr>
          <w:rFonts w:cstheme="minorHAnsi"/>
          <w:bCs/>
        </w:rPr>
      </w:pPr>
      <w:r>
        <w:rPr>
          <w:rFonts w:cstheme="minorHAnsi"/>
          <w:bCs/>
        </w:rPr>
        <w:t>W</w:t>
      </w:r>
      <w:r w:rsidRPr="00292C36">
        <w:rPr>
          <w:rFonts w:cstheme="minorHAnsi"/>
          <w:bCs/>
        </w:rPr>
        <w:t xml:space="preserve">e </w:t>
      </w:r>
      <w:r>
        <w:rPr>
          <w:rFonts w:cstheme="minorHAnsi"/>
          <w:bCs/>
        </w:rPr>
        <w:t>consider</w:t>
      </w:r>
      <w:r w:rsidRPr="00292C36">
        <w:rPr>
          <w:rFonts w:cstheme="minorHAnsi"/>
          <w:bCs/>
        </w:rPr>
        <w:t>ed individuals as experts about their motivations and barriers to eating healthier foods and the potential help of connected devices.</w:t>
      </w:r>
    </w:p>
    <w:p w14:paraId="29B6DBCD" w14:textId="77777777" w:rsidR="00404D8E" w:rsidRPr="00292C36" w:rsidRDefault="00404D8E" w:rsidP="00404D8E">
      <w:pPr>
        <w:rPr>
          <w:rFonts w:cstheme="minorHAnsi"/>
          <w:bCs/>
        </w:rPr>
      </w:pPr>
      <w:r w:rsidRPr="00292C36">
        <w:rPr>
          <w:rFonts w:cstheme="minorHAnsi"/>
          <w:bCs/>
        </w:rPr>
        <w:t xml:space="preserve">We conducted qualitative research in the Paris region (France) with 4 focus groups to explore the motivations and barriers that reinforce or threaten the effectiveness of a digital device for a healthier diet. </w:t>
      </w:r>
      <w:r>
        <w:rPr>
          <w:rFonts w:cstheme="minorHAnsi"/>
          <w:bCs/>
        </w:rPr>
        <w:t>During our</w:t>
      </w:r>
      <w:r w:rsidRPr="00292C36">
        <w:rPr>
          <w:rFonts w:cstheme="minorHAnsi"/>
          <w:bCs/>
        </w:rPr>
        <w:t xml:space="preserve"> focus groups, we used an elicitation approach (</w:t>
      </w:r>
      <w:proofErr w:type="spellStart"/>
      <w:r w:rsidRPr="00292C36">
        <w:rPr>
          <w:rFonts w:cstheme="minorHAnsi"/>
          <w:bCs/>
        </w:rPr>
        <w:t>Mattelmäki</w:t>
      </w:r>
      <w:proofErr w:type="spellEnd"/>
      <w:r w:rsidRPr="00292C36">
        <w:rPr>
          <w:rFonts w:cstheme="minorHAnsi"/>
          <w:bCs/>
        </w:rPr>
        <w:t>, 2008) to co-explore which device and design could best help participants lose weight in the long term, by viewing them as collaborative actors. We also studied their motivations, their past experiences with diet, and their expectations for four digital devices.</w:t>
      </w:r>
    </w:p>
    <w:p w14:paraId="671B1CD1" w14:textId="77777777" w:rsidR="00404D8E" w:rsidRPr="00292C36" w:rsidRDefault="00404D8E" w:rsidP="00404D8E">
      <w:pPr>
        <w:rPr>
          <w:rFonts w:cstheme="minorHAnsi"/>
          <w:bCs/>
        </w:rPr>
      </w:pPr>
      <w:r w:rsidRPr="00292C36">
        <w:rPr>
          <w:rFonts w:cstheme="minorHAnsi"/>
          <w:bCs/>
        </w:rPr>
        <w:t>The total sample consists of twenty-seven participants, having tried to lose weight in the last five years. The distribution of participants in the four focus groups ensures the representation of important criteria in relation to the results of previous research, i.e. gender, social level and familiarity with connected devices.</w:t>
      </w:r>
    </w:p>
    <w:p w14:paraId="162D6A80" w14:textId="10C8A70F" w:rsidR="00404D8E" w:rsidRDefault="00404D8E" w:rsidP="00404D8E">
      <w:pPr>
        <w:rPr>
          <w:rFonts w:cstheme="minorHAnsi"/>
          <w:bCs/>
        </w:rPr>
      </w:pPr>
      <w:r w:rsidRPr="00292C36">
        <w:rPr>
          <w:rFonts w:cstheme="minorHAnsi"/>
          <w:bCs/>
        </w:rPr>
        <w:t>All group interviews were recorded and transcribed. A thematic analysis was then conducted</w:t>
      </w:r>
      <w:r>
        <w:rPr>
          <w:rFonts w:cstheme="minorHAnsi"/>
          <w:bCs/>
        </w:rPr>
        <w:t xml:space="preserve"> by two researchers and </w:t>
      </w:r>
      <w:r w:rsidRPr="00292C36">
        <w:rPr>
          <w:rFonts w:cstheme="minorHAnsi"/>
          <w:bCs/>
        </w:rPr>
        <w:t>under NVivo</w:t>
      </w:r>
      <w:r>
        <w:rPr>
          <w:rFonts w:cstheme="minorHAnsi"/>
          <w:bCs/>
        </w:rPr>
        <w:t>. The analysis was</w:t>
      </w:r>
      <w:r w:rsidRPr="00292C36">
        <w:rPr>
          <w:rFonts w:cstheme="minorHAnsi"/>
          <w:bCs/>
        </w:rPr>
        <w:t xml:space="preserve"> based on the evaluation elements of the devices presented, and elements of co-construction of an "ideal device".</w:t>
      </w:r>
    </w:p>
    <w:p w14:paraId="675B6B8B" w14:textId="77777777" w:rsidR="00404D8E" w:rsidRPr="003B6F71" w:rsidRDefault="00404D8E" w:rsidP="00404D8E">
      <w:pPr>
        <w:rPr>
          <w:rFonts w:cstheme="minorHAnsi"/>
          <w:bCs/>
        </w:rPr>
      </w:pPr>
      <w:r w:rsidRPr="003B6F71">
        <w:rPr>
          <w:rFonts w:cstheme="minorHAnsi"/>
          <w:bCs/>
        </w:rPr>
        <w:t>RESULTS/ FINDINGS</w:t>
      </w:r>
    </w:p>
    <w:p w14:paraId="3939926E" w14:textId="77777777" w:rsidR="00404D8E" w:rsidRPr="005A3977" w:rsidRDefault="00404D8E" w:rsidP="00404D8E">
      <w:pPr>
        <w:rPr>
          <w:rFonts w:cstheme="minorHAnsi"/>
          <w:bCs/>
        </w:rPr>
      </w:pPr>
      <w:r w:rsidRPr="005A3977">
        <w:rPr>
          <w:rFonts w:cstheme="minorHAnsi"/>
          <w:bCs/>
        </w:rPr>
        <w:t>Our analyses suggest the value of S</w:t>
      </w:r>
      <w:r>
        <w:rPr>
          <w:rFonts w:cstheme="minorHAnsi"/>
          <w:bCs/>
        </w:rPr>
        <w:t>elf-determination Theory</w:t>
      </w:r>
      <w:r w:rsidRPr="005A3977">
        <w:rPr>
          <w:rFonts w:cstheme="minorHAnsi"/>
          <w:bCs/>
        </w:rPr>
        <w:t xml:space="preserve"> (Ryan</w:t>
      </w:r>
      <w:r>
        <w:rPr>
          <w:rFonts w:cstheme="minorHAnsi"/>
          <w:bCs/>
        </w:rPr>
        <w:t xml:space="preserve"> et al.</w:t>
      </w:r>
      <w:r w:rsidRPr="005A3977">
        <w:rPr>
          <w:rFonts w:cstheme="minorHAnsi"/>
          <w:bCs/>
        </w:rPr>
        <w:t xml:space="preserve">, </w:t>
      </w:r>
      <w:r>
        <w:rPr>
          <w:rFonts w:cstheme="minorHAnsi"/>
          <w:bCs/>
        </w:rPr>
        <w:t>2008</w:t>
      </w:r>
      <w:r w:rsidRPr="005A3977">
        <w:rPr>
          <w:rFonts w:cstheme="minorHAnsi"/>
          <w:bCs/>
        </w:rPr>
        <w:t>) in analysing consumer motivations for connected health devices.</w:t>
      </w:r>
    </w:p>
    <w:p w14:paraId="70B3651E" w14:textId="77777777" w:rsidR="00404D8E" w:rsidRDefault="00404D8E" w:rsidP="00404D8E">
      <w:pPr>
        <w:rPr>
          <w:rFonts w:cstheme="minorHAnsi"/>
          <w:bCs/>
        </w:rPr>
      </w:pPr>
      <w:r w:rsidRPr="005A3977">
        <w:rPr>
          <w:rFonts w:cstheme="minorHAnsi"/>
          <w:bCs/>
        </w:rPr>
        <w:t xml:space="preserve">The evaluation of the existing devices </w:t>
      </w:r>
      <w:r>
        <w:rPr>
          <w:rFonts w:cstheme="minorHAnsi"/>
          <w:bCs/>
        </w:rPr>
        <w:t xml:space="preserve">by the consumer </w:t>
      </w:r>
      <w:r w:rsidRPr="005A3977">
        <w:rPr>
          <w:rFonts w:cstheme="minorHAnsi"/>
          <w:bCs/>
        </w:rPr>
        <w:t>allowed to feed a collective reflection to co-construct an ideal device</w:t>
      </w:r>
      <w:r>
        <w:rPr>
          <w:rFonts w:cstheme="minorHAnsi"/>
          <w:bCs/>
        </w:rPr>
        <w:t xml:space="preserve">. </w:t>
      </w:r>
      <w:r w:rsidRPr="005A3977">
        <w:rPr>
          <w:rFonts w:cstheme="minorHAnsi"/>
          <w:bCs/>
        </w:rPr>
        <w:t xml:space="preserve"> </w:t>
      </w:r>
      <w:r w:rsidRPr="008E35C7">
        <w:rPr>
          <w:rFonts w:cstheme="minorHAnsi"/>
          <w:bCs/>
        </w:rPr>
        <w:t>The table below summarizes the different dimensions of the ideal application described by consumers, while relating them to the satisfaction factors identified by Ryan (2008).</w:t>
      </w:r>
      <w:r>
        <w:rPr>
          <w:rFonts w:cstheme="minorHAnsi"/>
          <w:bCs/>
        </w:rPr>
        <w:t xml:space="preserve"> We presented them some various examples of connected devices but clearly they favoured an app when searching for “the” ideal device. The main given reason was that it lets them feel free to use it at their own pace.</w:t>
      </w:r>
    </w:p>
    <w:tbl>
      <w:tblPr>
        <w:tblStyle w:val="Grilledutableau"/>
        <w:tblW w:w="0" w:type="auto"/>
        <w:tblLook w:val="04A0" w:firstRow="1" w:lastRow="0" w:firstColumn="1" w:lastColumn="0" w:noHBand="0" w:noVBand="1"/>
      </w:tblPr>
      <w:tblGrid>
        <w:gridCol w:w="3292"/>
        <w:gridCol w:w="3870"/>
        <w:gridCol w:w="1854"/>
      </w:tblGrid>
      <w:tr w:rsidR="00404D8E" w:rsidRPr="00CD1E00" w14:paraId="2FC5105A" w14:textId="77777777" w:rsidTr="00B86520">
        <w:tc>
          <w:tcPr>
            <w:tcW w:w="0" w:type="auto"/>
            <w:shd w:val="clear" w:color="auto" w:fill="auto"/>
          </w:tcPr>
          <w:p w14:paraId="2D3B23F7" w14:textId="77777777" w:rsidR="00404D8E" w:rsidRPr="005A3977" w:rsidRDefault="00404D8E" w:rsidP="00B86520">
            <w:pPr>
              <w:jc w:val="center"/>
              <w:rPr>
                <w:b/>
                <w:lang w:val="en-US"/>
              </w:rPr>
            </w:pPr>
            <w:r w:rsidRPr="005A3977">
              <w:rPr>
                <w:b/>
                <w:lang w:val="en-US"/>
              </w:rPr>
              <w:t>Dimensions of co-designed device</w:t>
            </w:r>
          </w:p>
        </w:tc>
        <w:tc>
          <w:tcPr>
            <w:tcW w:w="0" w:type="auto"/>
            <w:shd w:val="clear" w:color="auto" w:fill="auto"/>
          </w:tcPr>
          <w:p w14:paraId="50DF7C24" w14:textId="77777777" w:rsidR="00404D8E" w:rsidRPr="005A3977" w:rsidRDefault="00404D8E" w:rsidP="00B86520">
            <w:pPr>
              <w:jc w:val="center"/>
              <w:rPr>
                <w:b/>
                <w:lang w:val="en-US"/>
              </w:rPr>
            </w:pPr>
            <w:r w:rsidRPr="005A3977">
              <w:rPr>
                <w:b/>
                <w:lang w:val="en-US"/>
              </w:rPr>
              <w:t xml:space="preserve">Verbatim </w:t>
            </w:r>
          </w:p>
        </w:tc>
        <w:tc>
          <w:tcPr>
            <w:tcW w:w="0" w:type="auto"/>
            <w:shd w:val="clear" w:color="auto" w:fill="auto"/>
          </w:tcPr>
          <w:p w14:paraId="28AA60DF" w14:textId="77777777" w:rsidR="00404D8E" w:rsidRPr="005A3977" w:rsidRDefault="00404D8E" w:rsidP="00B86520">
            <w:pPr>
              <w:jc w:val="center"/>
              <w:rPr>
                <w:b/>
                <w:lang w:val="en-US"/>
              </w:rPr>
            </w:pPr>
            <w:r w:rsidRPr="005A3977">
              <w:rPr>
                <w:b/>
                <w:lang w:val="en-US"/>
              </w:rPr>
              <w:t>Effect on satisfaction of …</w:t>
            </w:r>
          </w:p>
          <w:p w14:paraId="2B532527" w14:textId="77777777" w:rsidR="00404D8E" w:rsidRPr="005A3977" w:rsidRDefault="00404D8E" w:rsidP="00B86520">
            <w:pPr>
              <w:jc w:val="center"/>
              <w:rPr>
                <w:b/>
                <w:lang w:val="en-US"/>
              </w:rPr>
            </w:pPr>
            <w:r w:rsidRPr="005A3977">
              <w:rPr>
                <w:b/>
                <w:lang w:val="en-US"/>
              </w:rPr>
              <w:t>(Ryan 2008)</w:t>
            </w:r>
          </w:p>
        </w:tc>
      </w:tr>
      <w:tr w:rsidR="00404D8E" w:rsidRPr="00CD1E00" w14:paraId="102A3674" w14:textId="77777777" w:rsidTr="00B86520">
        <w:tc>
          <w:tcPr>
            <w:tcW w:w="0" w:type="auto"/>
            <w:shd w:val="clear" w:color="auto" w:fill="auto"/>
          </w:tcPr>
          <w:p w14:paraId="3611159A" w14:textId="77777777" w:rsidR="00404D8E" w:rsidRPr="005A3977" w:rsidRDefault="00404D8E" w:rsidP="00B86520">
            <w:pPr>
              <w:rPr>
                <w:lang w:val="en-US"/>
              </w:rPr>
            </w:pPr>
            <w:r w:rsidRPr="005A3977">
              <w:rPr>
                <w:lang w:val="en-US"/>
              </w:rPr>
              <w:t>Application</w:t>
            </w:r>
          </w:p>
        </w:tc>
        <w:tc>
          <w:tcPr>
            <w:tcW w:w="0" w:type="auto"/>
            <w:shd w:val="clear" w:color="auto" w:fill="auto"/>
          </w:tcPr>
          <w:p w14:paraId="487684AB" w14:textId="77777777" w:rsidR="00404D8E" w:rsidRPr="005A3977" w:rsidRDefault="00404D8E" w:rsidP="00B86520">
            <w:pPr>
              <w:rPr>
                <w:i/>
                <w:iCs/>
                <w:lang w:val="en-US"/>
              </w:rPr>
            </w:pPr>
            <w:r w:rsidRPr="005A3977">
              <w:rPr>
                <w:i/>
                <w:iCs/>
                <w:lang w:val="en-US"/>
              </w:rPr>
              <w:t>“(An app) allows you to see your progress, to be autonomous”</w:t>
            </w:r>
          </w:p>
        </w:tc>
        <w:tc>
          <w:tcPr>
            <w:tcW w:w="0" w:type="auto"/>
            <w:shd w:val="clear" w:color="auto" w:fill="auto"/>
          </w:tcPr>
          <w:p w14:paraId="05CC7827" w14:textId="77777777" w:rsidR="00404D8E" w:rsidRPr="005A3977" w:rsidRDefault="00404D8E" w:rsidP="00B86520">
            <w:pPr>
              <w:jc w:val="center"/>
              <w:rPr>
                <w:lang w:val="en-US"/>
              </w:rPr>
            </w:pPr>
            <w:r w:rsidRPr="005A3977">
              <w:rPr>
                <w:lang w:val="en-US"/>
              </w:rPr>
              <w:t>Autonomy</w:t>
            </w:r>
          </w:p>
        </w:tc>
      </w:tr>
      <w:tr w:rsidR="00404D8E" w:rsidRPr="00CD1E00" w14:paraId="05E5F507" w14:textId="77777777" w:rsidTr="00B86520">
        <w:tc>
          <w:tcPr>
            <w:tcW w:w="0" w:type="auto"/>
            <w:shd w:val="clear" w:color="auto" w:fill="auto"/>
          </w:tcPr>
          <w:p w14:paraId="3E77C227" w14:textId="77777777" w:rsidR="00404D8E" w:rsidRPr="005A3977" w:rsidRDefault="00404D8E" w:rsidP="00B86520">
            <w:pPr>
              <w:rPr>
                <w:lang w:val="en-US"/>
              </w:rPr>
            </w:pPr>
            <w:r w:rsidRPr="005A3977">
              <w:rPr>
                <w:lang w:val="en-US"/>
              </w:rPr>
              <w:t>Easy to use</w:t>
            </w:r>
          </w:p>
        </w:tc>
        <w:tc>
          <w:tcPr>
            <w:tcW w:w="0" w:type="auto"/>
            <w:shd w:val="clear" w:color="auto" w:fill="auto"/>
          </w:tcPr>
          <w:p w14:paraId="13602CFC" w14:textId="77777777" w:rsidR="00404D8E" w:rsidRPr="005A3977" w:rsidRDefault="00404D8E" w:rsidP="00B86520">
            <w:pPr>
              <w:rPr>
                <w:i/>
                <w:iCs/>
                <w:lang w:val="en-US"/>
              </w:rPr>
            </w:pPr>
            <w:r w:rsidRPr="005A3977">
              <w:rPr>
                <w:i/>
                <w:iCs/>
                <w:lang w:val="en-US"/>
              </w:rPr>
              <w:t>“fairly easy to read right away”</w:t>
            </w:r>
          </w:p>
        </w:tc>
        <w:tc>
          <w:tcPr>
            <w:tcW w:w="0" w:type="auto"/>
            <w:shd w:val="clear" w:color="auto" w:fill="auto"/>
          </w:tcPr>
          <w:p w14:paraId="6BAA78B7" w14:textId="77777777" w:rsidR="00404D8E" w:rsidRPr="005A3977" w:rsidRDefault="00404D8E" w:rsidP="00B86520">
            <w:pPr>
              <w:jc w:val="center"/>
              <w:rPr>
                <w:lang w:val="en-US"/>
              </w:rPr>
            </w:pPr>
            <w:r w:rsidRPr="005A3977">
              <w:rPr>
                <w:lang w:val="en-US"/>
              </w:rPr>
              <w:t>Competence</w:t>
            </w:r>
          </w:p>
        </w:tc>
      </w:tr>
      <w:tr w:rsidR="00404D8E" w:rsidRPr="00CD1E00" w14:paraId="6FA956DA" w14:textId="77777777" w:rsidTr="00B86520">
        <w:tc>
          <w:tcPr>
            <w:tcW w:w="0" w:type="auto"/>
            <w:shd w:val="clear" w:color="auto" w:fill="auto"/>
          </w:tcPr>
          <w:p w14:paraId="61F5BA6C" w14:textId="77777777" w:rsidR="00404D8E" w:rsidRPr="005A3977" w:rsidRDefault="00404D8E" w:rsidP="00B86520">
            <w:pPr>
              <w:rPr>
                <w:lang w:val="en-US"/>
              </w:rPr>
            </w:pPr>
            <w:r w:rsidRPr="005A3977">
              <w:rPr>
                <w:lang w:val="en-US"/>
              </w:rPr>
              <w:t>Guarantee of the use of data</w:t>
            </w:r>
          </w:p>
        </w:tc>
        <w:tc>
          <w:tcPr>
            <w:tcW w:w="0" w:type="auto"/>
            <w:shd w:val="clear" w:color="auto" w:fill="auto"/>
          </w:tcPr>
          <w:p w14:paraId="2AFDB9DF" w14:textId="77777777" w:rsidR="00404D8E" w:rsidRPr="005A3977" w:rsidRDefault="00404D8E" w:rsidP="00B86520">
            <w:pPr>
              <w:rPr>
                <w:i/>
                <w:iCs/>
                <w:lang w:val="en-US"/>
              </w:rPr>
            </w:pPr>
            <w:r w:rsidRPr="005A3977">
              <w:rPr>
                <w:i/>
                <w:iCs/>
                <w:lang w:val="en-US"/>
              </w:rPr>
              <w:t>“secure”</w:t>
            </w:r>
          </w:p>
        </w:tc>
        <w:tc>
          <w:tcPr>
            <w:tcW w:w="0" w:type="auto"/>
            <w:shd w:val="clear" w:color="auto" w:fill="auto"/>
          </w:tcPr>
          <w:p w14:paraId="62D0646B" w14:textId="77777777" w:rsidR="00404D8E" w:rsidRPr="005A3977" w:rsidRDefault="00404D8E" w:rsidP="00B86520">
            <w:pPr>
              <w:jc w:val="center"/>
              <w:rPr>
                <w:lang w:val="en-US"/>
              </w:rPr>
            </w:pPr>
          </w:p>
        </w:tc>
      </w:tr>
      <w:tr w:rsidR="00404D8E" w:rsidRPr="00CD1E00" w14:paraId="2A0C867A" w14:textId="77777777" w:rsidTr="00B86520">
        <w:tc>
          <w:tcPr>
            <w:tcW w:w="0" w:type="auto"/>
            <w:shd w:val="clear" w:color="auto" w:fill="auto"/>
          </w:tcPr>
          <w:p w14:paraId="4E75DE4F" w14:textId="77777777" w:rsidR="00404D8E" w:rsidRPr="005A3977" w:rsidRDefault="00404D8E" w:rsidP="00B86520">
            <w:pPr>
              <w:rPr>
                <w:lang w:val="en-US"/>
              </w:rPr>
            </w:pPr>
            <w:r w:rsidRPr="005A3977">
              <w:rPr>
                <w:lang w:val="en-US"/>
              </w:rPr>
              <w:t>Various programs for various profiles</w:t>
            </w:r>
          </w:p>
        </w:tc>
        <w:tc>
          <w:tcPr>
            <w:tcW w:w="0" w:type="auto"/>
            <w:shd w:val="clear" w:color="auto" w:fill="auto"/>
          </w:tcPr>
          <w:p w14:paraId="1ADE52F2" w14:textId="77777777" w:rsidR="00404D8E" w:rsidRPr="005A3977" w:rsidRDefault="00404D8E" w:rsidP="00B86520">
            <w:pPr>
              <w:rPr>
                <w:i/>
                <w:iCs/>
                <w:lang w:val="en-US"/>
              </w:rPr>
            </w:pPr>
            <w:r w:rsidRPr="005A3977">
              <w:rPr>
                <w:i/>
                <w:iCs/>
                <w:lang w:val="en-US"/>
              </w:rPr>
              <w:t>“You could personalize (…) a sleep option (…) a recipe option”</w:t>
            </w:r>
          </w:p>
        </w:tc>
        <w:tc>
          <w:tcPr>
            <w:tcW w:w="0" w:type="auto"/>
            <w:shd w:val="clear" w:color="auto" w:fill="auto"/>
          </w:tcPr>
          <w:p w14:paraId="5E20C403" w14:textId="77777777" w:rsidR="00404D8E" w:rsidRPr="005A3977" w:rsidRDefault="00404D8E" w:rsidP="00B86520">
            <w:pPr>
              <w:jc w:val="center"/>
              <w:rPr>
                <w:lang w:val="en-US"/>
              </w:rPr>
            </w:pPr>
            <w:r w:rsidRPr="005A3977">
              <w:rPr>
                <w:lang w:val="en-US"/>
              </w:rPr>
              <w:t>Competence</w:t>
            </w:r>
          </w:p>
        </w:tc>
      </w:tr>
      <w:tr w:rsidR="00404D8E" w:rsidRPr="00CD1E00" w14:paraId="4BA7944F" w14:textId="77777777" w:rsidTr="00B86520">
        <w:tc>
          <w:tcPr>
            <w:tcW w:w="0" w:type="auto"/>
            <w:shd w:val="clear" w:color="auto" w:fill="auto"/>
          </w:tcPr>
          <w:p w14:paraId="3D8FB290" w14:textId="77777777" w:rsidR="00404D8E" w:rsidRPr="005A3977" w:rsidRDefault="00404D8E" w:rsidP="00B86520">
            <w:pPr>
              <w:rPr>
                <w:lang w:val="en-US"/>
              </w:rPr>
            </w:pPr>
            <w:r w:rsidRPr="005A3977">
              <w:rPr>
                <w:lang w:val="en-US"/>
              </w:rPr>
              <w:t>Access to knowledge (tutorials, etc.)</w:t>
            </w:r>
          </w:p>
        </w:tc>
        <w:tc>
          <w:tcPr>
            <w:tcW w:w="0" w:type="auto"/>
            <w:shd w:val="clear" w:color="auto" w:fill="auto"/>
          </w:tcPr>
          <w:p w14:paraId="4CC219A6" w14:textId="77777777" w:rsidR="00404D8E" w:rsidRPr="005A3977" w:rsidRDefault="00404D8E" w:rsidP="00B86520">
            <w:pPr>
              <w:rPr>
                <w:i/>
                <w:iCs/>
                <w:lang w:val="en-US"/>
              </w:rPr>
            </w:pPr>
            <w:r w:rsidRPr="005A3977">
              <w:rPr>
                <w:i/>
                <w:iCs/>
                <w:lang w:val="en-US"/>
              </w:rPr>
              <w:t>“you can … watch a video on the metro that gives you advice”</w:t>
            </w:r>
          </w:p>
        </w:tc>
        <w:tc>
          <w:tcPr>
            <w:tcW w:w="0" w:type="auto"/>
            <w:shd w:val="clear" w:color="auto" w:fill="auto"/>
          </w:tcPr>
          <w:p w14:paraId="4D5EDF41" w14:textId="77777777" w:rsidR="00404D8E" w:rsidRPr="005A3977" w:rsidRDefault="00404D8E" w:rsidP="00B86520">
            <w:pPr>
              <w:jc w:val="center"/>
              <w:rPr>
                <w:lang w:val="en-US"/>
              </w:rPr>
            </w:pPr>
            <w:r w:rsidRPr="005A3977">
              <w:rPr>
                <w:lang w:val="en-US"/>
              </w:rPr>
              <w:t>Autonomy</w:t>
            </w:r>
          </w:p>
        </w:tc>
      </w:tr>
      <w:tr w:rsidR="00404D8E" w:rsidRPr="00CD1E00" w14:paraId="1C4BF704" w14:textId="77777777" w:rsidTr="00B86520">
        <w:tc>
          <w:tcPr>
            <w:tcW w:w="0" w:type="auto"/>
            <w:shd w:val="clear" w:color="auto" w:fill="auto"/>
          </w:tcPr>
          <w:p w14:paraId="76F1706A" w14:textId="77777777" w:rsidR="00404D8E" w:rsidRPr="005A3977" w:rsidRDefault="00404D8E" w:rsidP="00B86520">
            <w:pPr>
              <w:rPr>
                <w:lang w:val="en-US"/>
              </w:rPr>
            </w:pPr>
            <w:r w:rsidRPr="005A3977">
              <w:rPr>
                <w:lang w:val="en-US"/>
              </w:rPr>
              <w:lastRenderedPageBreak/>
              <w:t>Access to simulation or score cards</w:t>
            </w:r>
          </w:p>
        </w:tc>
        <w:tc>
          <w:tcPr>
            <w:tcW w:w="0" w:type="auto"/>
            <w:shd w:val="clear" w:color="auto" w:fill="auto"/>
          </w:tcPr>
          <w:p w14:paraId="27728AEB" w14:textId="77777777" w:rsidR="00404D8E" w:rsidRPr="005A3977" w:rsidRDefault="00404D8E" w:rsidP="00B86520">
            <w:pPr>
              <w:rPr>
                <w:i/>
                <w:iCs/>
                <w:lang w:val="en-US"/>
              </w:rPr>
            </w:pPr>
            <w:r w:rsidRPr="005A3977">
              <w:rPr>
                <w:i/>
                <w:iCs/>
                <w:lang w:val="en-US"/>
              </w:rPr>
              <w:t>“recover data to perform better (…) like a score”</w:t>
            </w:r>
          </w:p>
        </w:tc>
        <w:tc>
          <w:tcPr>
            <w:tcW w:w="0" w:type="auto"/>
            <w:shd w:val="clear" w:color="auto" w:fill="auto"/>
          </w:tcPr>
          <w:p w14:paraId="70482F50" w14:textId="77777777" w:rsidR="00404D8E" w:rsidRPr="005A3977" w:rsidRDefault="00404D8E" w:rsidP="00B86520">
            <w:pPr>
              <w:jc w:val="center"/>
              <w:rPr>
                <w:lang w:val="en-US"/>
              </w:rPr>
            </w:pPr>
            <w:r w:rsidRPr="005A3977">
              <w:rPr>
                <w:lang w:val="en-US"/>
              </w:rPr>
              <w:t>Autonomy</w:t>
            </w:r>
          </w:p>
        </w:tc>
      </w:tr>
      <w:tr w:rsidR="00404D8E" w:rsidRPr="00CD1E00" w14:paraId="2C560F45" w14:textId="77777777" w:rsidTr="00B86520">
        <w:tc>
          <w:tcPr>
            <w:tcW w:w="0" w:type="auto"/>
            <w:shd w:val="clear" w:color="auto" w:fill="auto"/>
          </w:tcPr>
          <w:p w14:paraId="29501E1C" w14:textId="77777777" w:rsidR="00404D8E" w:rsidRPr="005A3977" w:rsidRDefault="00404D8E" w:rsidP="00B86520">
            <w:pPr>
              <w:rPr>
                <w:lang w:val="en-US"/>
              </w:rPr>
            </w:pPr>
            <w:r w:rsidRPr="005A3977">
              <w:rPr>
                <w:lang w:val="en-US"/>
              </w:rPr>
              <w:t>Program and data shared with trusted recipients</w:t>
            </w:r>
          </w:p>
        </w:tc>
        <w:tc>
          <w:tcPr>
            <w:tcW w:w="0" w:type="auto"/>
            <w:shd w:val="clear" w:color="auto" w:fill="auto"/>
          </w:tcPr>
          <w:p w14:paraId="019FE0DB" w14:textId="77777777" w:rsidR="00404D8E" w:rsidRPr="005A3977" w:rsidRDefault="00404D8E" w:rsidP="00B86520">
            <w:pPr>
              <w:rPr>
                <w:i/>
                <w:iCs/>
                <w:lang w:val="en-US"/>
              </w:rPr>
            </w:pPr>
            <w:r w:rsidRPr="005A3977">
              <w:rPr>
                <w:i/>
                <w:iCs/>
                <w:lang w:val="en-US"/>
              </w:rPr>
              <w:t>“ when you share …, you always take inspiration from the experiences of others”</w:t>
            </w:r>
          </w:p>
        </w:tc>
        <w:tc>
          <w:tcPr>
            <w:tcW w:w="0" w:type="auto"/>
            <w:shd w:val="clear" w:color="auto" w:fill="auto"/>
          </w:tcPr>
          <w:p w14:paraId="6D81EC60" w14:textId="77777777" w:rsidR="00404D8E" w:rsidRPr="005A3977" w:rsidRDefault="00404D8E" w:rsidP="00B86520">
            <w:pPr>
              <w:jc w:val="center"/>
              <w:rPr>
                <w:lang w:val="en-US"/>
              </w:rPr>
            </w:pPr>
            <w:r w:rsidRPr="005A3977">
              <w:rPr>
                <w:lang w:val="en-US"/>
              </w:rPr>
              <w:t>Relatedness</w:t>
            </w:r>
          </w:p>
        </w:tc>
      </w:tr>
      <w:tr w:rsidR="00404D8E" w:rsidRPr="00CD1E00" w14:paraId="4AFB7678" w14:textId="77777777" w:rsidTr="00B86520">
        <w:tc>
          <w:tcPr>
            <w:tcW w:w="0" w:type="auto"/>
            <w:shd w:val="clear" w:color="auto" w:fill="auto"/>
          </w:tcPr>
          <w:p w14:paraId="7C949AC3" w14:textId="77777777" w:rsidR="00404D8E" w:rsidRPr="005A3977" w:rsidRDefault="00404D8E" w:rsidP="00B86520">
            <w:pPr>
              <w:rPr>
                <w:lang w:val="en-US"/>
              </w:rPr>
            </w:pPr>
            <w:r w:rsidRPr="005A3977">
              <w:rPr>
                <w:lang w:val="en-US"/>
              </w:rPr>
              <w:t>Allowing face-to-face relationships (appointment for sport, etc.)</w:t>
            </w:r>
          </w:p>
        </w:tc>
        <w:tc>
          <w:tcPr>
            <w:tcW w:w="0" w:type="auto"/>
            <w:shd w:val="clear" w:color="auto" w:fill="auto"/>
          </w:tcPr>
          <w:p w14:paraId="6C021CBA" w14:textId="77777777" w:rsidR="00404D8E" w:rsidRPr="005A3977" w:rsidRDefault="00404D8E" w:rsidP="00B86520">
            <w:pPr>
              <w:rPr>
                <w:i/>
                <w:iCs/>
                <w:lang w:val="en-US"/>
              </w:rPr>
            </w:pPr>
            <w:r w:rsidRPr="005A3977">
              <w:rPr>
                <w:i/>
                <w:iCs/>
                <w:lang w:val="en-US"/>
              </w:rPr>
              <w:t>“having an option … for those who’d like to run together”</w:t>
            </w:r>
          </w:p>
        </w:tc>
        <w:tc>
          <w:tcPr>
            <w:tcW w:w="0" w:type="auto"/>
            <w:shd w:val="clear" w:color="auto" w:fill="auto"/>
          </w:tcPr>
          <w:p w14:paraId="28150F5F" w14:textId="77777777" w:rsidR="00404D8E" w:rsidRPr="005A3977" w:rsidRDefault="00404D8E" w:rsidP="00B86520">
            <w:pPr>
              <w:jc w:val="center"/>
              <w:rPr>
                <w:lang w:val="en-US"/>
              </w:rPr>
            </w:pPr>
            <w:r w:rsidRPr="005A3977">
              <w:rPr>
                <w:lang w:val="en-US"/>
              </w:rPr>
              <w:t>Relatedness</w:t>
            </w:r>
          </w:p>
        </w:tc>
      </w:tr>
    </w:tbl>
    <w:p w14:paraId="2BFCB3F5" w14:textId="77777777" w:rsidR="00404D8E" w:rsidRPr="008E35C7" w:rsidRDefault="00404D8E" w:rsidP="00404D8E">
      <w:pPr>
        <w:jc w:val="center"/>
        <w:rPr>
          <w:rFonts w:cstheme="minorHAnsi"/>
          <w:bCs/>
        </w:rPr>
      </w:pPr>
      <w:r>
        <w:rPr>
          <w:rFonts w:cstheme="minorHAnsi"/>
          <w:bCs/>
        </w:rPr>
        <w:t>T</w:t>
      </w:r>
      <w:r w:rsidRPr="008E35C7">
        <w:rPr>
          <w:rFonts w:cstheme="minorHAnsi"/>
          <w:bCs/>
        </w:rPr>
        <w:t>able 1: dimensions of the ideal application</w:t>
      </w:r>
    </w:p>
    <w:p w14:paraId="18909A18" w14:textId="77777777" w:rsidR="00404D8E" w:rsidRDefault="00404D8E" w:rsidP="00404D8E">
      <w:pPr>
        <w:rPr>
          <w:rFonts w:cstheme="minorHAnsi"/>
          <w:bCs/>
        </w:rPr>
      </w:pPr>
    </w:p>
    <w:p w14:paraId="7E744742" w14:textId="77777777" w:rsidR="00404D8E" w:rsidRPr="00CF1633" w:rsidRDefault="00404D8E" w:rsidP="00404D8E">
      <w:pPr>
        <w:rPr>
          <w:rFonts w:cstheme="minorHAnsi"/>
          <w:bCs/>
          <w:color w:val="000000" w:themeColor="text1"/>
        </w:rPr>
      </w:pPr>
      <w:r w:rsidRPr="00CF1633">
        <w:rPr>
          <w:rFonts w:cstheme="minorHAnsi"/>
          <w:bCs/>
          <w:color w:val="000000" w:themeColor="text1"/>
        </w:rPr>
        <w:t>DISCUSSION</w:t>
      </w:r>
    </w:p>
    <w:p w14:paraId="4DDEA630" w14:textId="77777777" w:rsidR="00404D8E" w:rsidRDefault="00404D8E" w:rsidP="00404D8E">
      <w:pPr>
        <w:rPr>
          <w:rFonts w:cstheme="minorHAnsi"/>
          <w:bCs/>
          <w:color w:val="000000" w:themeColor="text1"/>
        </w:rPr>
      </w:pPr>
      <w:r w:rsidRPr="00CF1633">
        <w:rPr>
          <w:rFonts w:cstheme="minorHAnsi"/>
          <w:bCs/>
          <w:color w:val="000000" w:themeColor="text1"/>
        </w:rPr>
        <w:t xml:space="preserve">Previous research showed that face-to-face coaching is clearly the most efficient tool to help people to engage in long tem behavioural change when promoting a healthier diet. Nevertheless it is a very expensive tool. On the contrary, connected devices –and specially apps – are less efficient on the long term but at a very low cost. </w:t>
      </w:r>
    </w:p>
    <w:p w14:paraId="719A58F9" w14:textId="6AD1A3F4" w:rsidR="00404D8E" w:rsidRDefault="00404D8E" w:rsidP="00404D8E">
      <w:pPr>
        <w:rPr>
          <w:rFonts w:cstheme="minorHAnsi"/>
          <w:bCs/>
          <w:color w:val="000000" w:themeColor="text1"/>
        </w:rPr>
      </w:pPr>
      <w:r>
        <w:rPr>
          <w:rFonts w:cstheme="minorHAnsi"/>
          <w:bCs/>
          <w:color w:val="000000" w:themeColor="text1"/>
        </w:rPr>
        <w:t>Unfortunately</w:t>
      </w:r>
      <w:r w:rsidRPr="00CF1633">
        <w:rPr>
          <w:rFonts w:cstheme="minorHAnsi"/>
          <w:bCs/>
          <w:color w:val="000000" w:themeColor="text1"/>
        </w:rPr>
        <w:t xml:space="preserve">, most apps are launched by firms without taking vulnerable communities </w:t>
      </w:r>
      <w:r>
        <w:rPr>
          <w:rFonts w:cstheme="minorHAnsi"/>
          <w:bCs/>
          <w:color w:val="000000" w:themeColor="text1"/>
        </w:rPr>
        <w:t>sufficiently into account, even though they</w:t>
      </w:r>
      <w:r w:rsidRPr="00CF1633">
        <w:rPr>
          <w:rFonts w:cstheme="minorHAnsi"/>
          <w:bCs/>
          <w:color w:val="000000" w:themeColor="text1"/>
        </w:rPr>
        <w:t xml:space="preserve"> are the most affected by obesity and overweight. Our participants insisted on some specific barriers, including the cost of subscription and the necessity to have a </w:t>
      </w:r>
      <w:r>
        <w:rPr>
          <w:rFonts w:cstheme="minorHAnsi"/>
          <w:bCs/>
          <w:color w:val="000000" w:themeColor="text1"/>
        </w:rPr>
        <w:t xml:space="preserve">recent </w:t>
      </w:r>
      <w:r w:rsidRPr="00CF1633">
        <w:rPr>
          <w:rFonts w:cstheme="minorHAnsi"/>
          <w:bCs/>
          <w:color w:val="000000" w:themeColor="text1"/>
        </w:rPr>
        <w:t xml:space="preserve">smartphone </w:t>
      </w:r>
      <w:r>
        <w:rPr>
          <w:rStyle w:val="tlid-translation"/>
          <w:lang w:val="en"/>
        </w:rPr>
        <w:t>to use the applications and their updates</w:t>
      </w:r>
      <w:r w:rsidRPr="00CF1633">
        <w:rPr>
          <w:rFonts w:cstheme="minorHAnsi"/>
          <w:bCs/>
          <w:color w:val="000000" w:themeColor="text1"/>
        </w:rPr>
        <w:t>.  Moreover, apps are oft</w:t>
      </w:r>
      <w:r>
        <w:rPr>
          <w:rFonts w:cstheme="minorHAnsi"/>
          <w:bCs/>
          <w:color w:val="000000" w:themeColor="text1"/>
        </w:rPr>
        <w:t xml:space="preserve">en aimed at quantifying eating </w:t>
      </w:r>
      <w:r w:rsidRPr="00CF1633">
        <w:rPr>
          <w:rFonts w:cstheme="minorHAnsi"/>
          <w:bCs/>
          <w:color w:val="000000" w:themeColor="text1"/>
        </w:rPr>
        <w:t xml:space="preserve">behaviours (such as calories counting) </w:t>
      </w:r>
      <w:r>
        <w:rPr>
          <w:rStyle w:val="tlid-translation"/>
          <w:lang w:val="en"/>
        </w:rPr>
        <w:t>whereas calorie counting is perceived as much as a control tool as a help by our participants. They told us a</w:t>
      </w:r>
      <w:r w:rsidRPr="00CF1633">
        <w:rPr>
          <w:rFonts w:cstheme="minorHAnsi"/>
          <w:bCs/>
          <w:color w:val="000000" w:themeColor="text1"/>
        </w:rPr>
        <w:t xml:space="preserve"> major condition to engage in a diet prog</w:t>
      </w:r>
      <w:r>
        <w:rPr>
          <w:rFonts w:cstheme="minorHAnsi"/>
          <w:bCs/>
          <w:color w:val="000000" w:themeColor="text1"/>
        </w:rPr>
        <w:t>r</w:t>
      </w:r>
      <w:r w:rsidRPr="00CF1633">
        <w:rPr>
          <w:rFonts w:cstheme="minorHAnsi"/>
          <w:bCs/>
          <w:color w:val="000000" w:themeColor="text1"/>
        </w:rPr>
        <w:t xml:space="preserve">am through a connected device </w:t>
      </w:r>
      <w:r>
        <w:rPr>
          <w:rFonts w:cstheme="minorHAnsi"/>
          <w:bCs/>
          <w:color w:val="000000" w:themeColor="text1"/>
        </w:rPr>
        <w:t>would be</w:t>
      </w:r>
      <w:r w:rsidRPr="00CF1633">
        <w:rPr>
          <w:rFonts w:cstheme="minorHAnsi"/>
          <w:bCs/>
          <w:color w:val="000000" w:themeColor="text1"/>
        </w:rPr>
        <w:t xml:space="preserve"> the feeling that the app will nudge, not judge.  </w:t>
      </w:r>
    </w:p>
    <w:p w14:paraId="49544AFB" w14:textId="77777777" w:rsidR="00404D8E" w:rsidRPr="008B1129" w:rsidRDefault="00404D8E" w:rsidP="00404D8E">
      <w:pPr>
        <w:rPr>
          <w:lang w:val="en"/>
        </w:rPr>
      </w:pPr>
      <w:r>
        <w:rPr>
          <w:rFonts w:cstheme="minorHAnsi"/>
          <w:bCs/>
          <w:color w:val="000000" w:themeColor="text1"/>
        </w:rPr>
        <w:t>Indeed, c</w:t>
      </w:r>
      <w:r w:rsidRPr="00CF1633">
        <w:rPr>
          <w:rFonts w:cstheme="minorHAnsi"/>
          <w:bCs/>
          <w:color w:val="000000" w:themeColor="text1"/>
        </w:rPr>
        <w:t xml:space="preserve">o-designing an app with the targeted communities could be a way to gain efficiency and to really engage them, in line with Dietrich et al (2017). </w:t>
      </w:r>
    </w:p>
    <w:p w14:paraId="41CD6935" w14:textId="77777777" w:rsidR="00404D8E" w:rsidRPr="003B6F71" w:rsidRDefault="00404D8E" w:rsidP="00404D8E">
      <w:pPr>
        <w:rPr>
          <w:rFonts w:cstheme="minorHAnsi"/>
          <w:bCs/>
        </w:rPr>
      </w:pPr>
      <w:r w:rsidRPr="003B6F71">
        <w:rPr>
          <w:rFonts w:cstheme="minorHAnsi"/>
          <w:bCs/>
        </w:rPr>
        <w:t>CONCLUSIONS</w:t>
      </w:r>
    </w:p>
    <w:p w14:paraId="0049F0EC" w14:textId="77777777" w:rsidR="00404D8E" w:rsidRPr="003003F0" w:rsidRDefault="00404D8E" w:rsidP="00404D8E">
      <w:pPr>
        <w:rPr>
          <w:rFonts w:cstheme="minorHAnsi"/>
          <w:bCs/>
        </w:rPr>
      </w:pPr>
      <w:r w:rsidRPr="003003F0">
        <w:rPr>
          <w:rFonts w:cstheme="minorHAnsi"/>
          <w:bCs/>
        </w:rPr>
        <w:t xml:space="preserve">We </w:t>
      </w:r>
      <w:r>
        <w:rPr>
          <w:rFonts w:cstheme="minorHAnsi"/>
          <w:bCs/>
        </w:rPr>
        <w:t>confirm</w:t>
      </w:r>
      <w:r w:rsidRPr="003003F0">
        <w:rPr>
          <w:rFonts w:cstheme="minorHAnsi"/>
          <w:bCs/>
        </w:rPr>
        <w:t xml:space="preserve"> the value of the SDT framework to understand consumer motivations for weight loss. They want to strengthen their autonomy and skills and reject external control. They aspire to a relationship of support and encouragement.</w:t>
      </w:r>
    </w:p>
    <w:p w14:paraId="2FAC38F8" w14:textId="77777777" w:rsidR="00404D8E" w:rsidRPr="003003F0" w:rsidRDefault="00404D8E" w:rsidP="00404D8E">
      <w:pPr>
        <w:rPr>
          <w:rFonts w:cstheme="minorHAnsi"/>
          <w:bCs/>
        </w:rPr>
      </w:pPr>
      <w:r w:rsidRPr="003003F0">
        <w:rPr>
          <w:rFonts w:cstheme="minorHAnsi"/>
          <w:bCs/>
        </w:rPr>
        <w:t>We find that less educated participants with less familiarity with information technology are</w:t>
      </w:r>
      <w:r>
        <w:rPr>
          <w:rFonts w:cstheme="minorHAnsi"/>
          <w:bCs/>
        </w:rPr>
        <w:t xml:space="preserve"> more </w:t>
      </w:r>
      <w:r w:rsidRPr="003003F0">
        <w:rPr>
          <w:rFonts w:cstheme="minorHAnsi"/>
          <w:bCs/>
        </w:rPr>
        <w:t>wary of the risks associated with digital devices</w:t>
      </w:r>
      <w:r>
        <w:rPr>
          <w:rFonts w:cstheme="minorHAnsi"/>
          <w:bCs/>
        </w:rPr>
        <w:t>. French c</w:t>
      </w:r>
      <w:r w:rsidRPr="003003F0">
        <w:rPr>
          <w:rFonts w:cstheme="minorHAnsi"/>
          <w:bCs/>
        </w:rPr>
        <w:t>onsumers are vigilant about the use that can be made of their personal data and wish to obtain guarantees on this aspect.</w:t>
      </w:r>
    </w:p>
    <w:p w14:paraId="7D125483" w14:textId="77777777" w:rsidR="00404D8E" w:rsidRDefault="00404D8E" w:rsidP="00404D8E">
      <w:pPr>
        <w:rPr>
          <w:rFonts w:cstheme="minorHAnsi"/>
          <w:b/>
        </w:rPr>
      </w:pPr>
      <w:r w:rsidRPr="003003F0">
        <w:rPr>
          <w:rFonts w:cstheme="minorHAnsi"/>
          <w:bCs/>
        </w:rPr>
        <w:t xml:space="preserve">Methodologically, the playful approach </w:t>
      </w:r>
      <w:r>
        <w:rPr>
          <w:rFonts w:cstheme="minorHAnsi"/>
          <w:bCs/>
        </w:rPr>
        <w:t xml:space="preserve">we used with </w:t>
      </w:r>
      <w:r w:rsidRPr="003003F0">
        <w:rPr>
          <w:rFonts w:cstheme="minorHAnsi"/>
          <w:bCs/>
        </w:rPr>
        <w:t xml:space="preserve">supports such as post-it, </w:t>
      </w:r>
      <w:r>
        <w:rPr>
          <w:rFonts w:cstheme="minorHAnsi"/>
          <w:bCs/>
        </w:rPr>
        <w:t>paperboards</w:t>
      </w:r>
      <w:r w:rsidRPr="003003F0">
        <w:rPr>
          <w:rFonts w:cstheme="minorHAnsi"/>
          <w:bCs/>
        </w:rPr>
        <w:t>, etc. was clearly focused on the collective construction of functionalities for an "ideal" connected object and favoured the pooling of "insights", with less efficiency, however, for the less educated.</w:t>
      </w:r>
    </w:p>
    <w:p w14:paraId="353E759A" w14:textId="77777777" w:rsidR="00270E30" w:rsidRPr="000274FE" w:rsidRDefault="00270E30" w:rsidP="00270E30">
      <w:pPr>
        <w:rPr>
          <w:rFonts w:cstheme="minorHAnsi"/>
          <w:b/>
        </w:rPr>
      </w:pPr>
    </w:p>
    <w:p w14:paraId="5D1D1EF7" w14:textId="1FECE122" w:rsidR="00270E30" w:rsidRDefault="00270E30" w:rsidP="00270E30">
      <w:pPr>
        <w:rPr>
          <w:rFonts w:cstheme="minorHAnsi"/>
          <w:b/>
        </w:rPr>
      </w:pPr>
    </w:p>
    <w:p w14:paraId="5D85A081" w14:textId="6A6B55D1" w:rsidR="000274FE" w:rsidRDefault="000274FE" w:rsidP="00270E30">
      <w:pPr>
        <w:rPr>
          <w:rFonts w:cstheme="minorHAnsi"/>
          <w:b/>
        </w:rPr>
      </w:pPr>
    </w:p>
    <w:p w14:paraId="459D87D1" w14:textId="7F9F39F2" w:rsidR="000274FE" w:rsidRPr="000274FE" w:rsidRDefault="000274FE" w:rsidP="000274FE">
      <w:pPr>
        <w:jc w:val="center"/>
        <w:rPr>
          <w:rFonts w:cstheme="minorHAnsi"/>
          <w:b/>
        </w:rPr>
      </w:pPr>
      <w:r>
        <w:rPr>
          <w:rFonts w:cstheme="minorHAnsi"/>
          <w:b/>
        </w:rPr>
        <w:t>References</w:t>
      </w:r>
      <w:r w:rsidRPr="000274FE">
        <w:rPr>
          <w:rFonts w:cstheme="minorHAnsi"/>
          <w:b/>
        </w:rPr>
        <w:t xml:space="preserve"> </w:t>
      </w:r>
      <w:r w:rsidRPr="000274FE">
        <w:rPr>
          <w:rFonts w:cstheme="minorHAnsi"/>
        </w:rPr>
        <w:t xml:space="preserve">(maximum </w:t>
      </w:r>
      <w:r>
        <w:rPr>
          <w:rFonts w:cstheme="minorHAnsi"/>
        </w:rPr>
        <w:t>1 page</w:t>
      </w:r>
      <w:r w:rsidRPr="000274FE">
        <w:rPr>
          <w:rFonts w:cstheme="minorHAnsi"/>
        </w:rPr>
        <w:t>)</w:t>
      </w:r>
    </w:p>
    <w:bookmarkEnd w:id="2"/>
    <w:p w14:paraId="6FE88F43" w14:textId="77777777" w:rsidR="00404D8E" w:rsidRDefault="00404D8E" w:rsidP="00404D8E">
      <w:pPr>
        <w:rPr>
          <w:rFonts w:cstheme="minorHAnsi"/>
          <w:bCs/>
        </w:rPr>
      </w:pPr>
      <w:r w:rsidRPr="002E77BB">
        <w:rPr>
          <w:rFonts w:cstheme="minorHAnsi"/>
          <w:bCs/>
        </w:rPr>
        <w:t xml:space="preserve">Anderson, Laurel, Amy L. </w:t>
      </w:r>
      <w:proofErr w:type="spellStart"/>
      <w:r w:rsidRPr="002E77BB">
        <w:rPr>
          <w:rFonts w:cstheme="minorHAnsi"/>
          <w:bCs/>
        </w:rPr>
        <w:t>Ostrom</w:t>
      </w:r>
      <w:proofErr w:type="spellEnd"/>
      <w:r w:rsidRPr="002E77BB">
        <w:rPr>
          <w:rFonts w:cstheme="minorHAnsi"/>
          <w:bCs/>
        </w:rPr>
        <w:t xml:space="preserve">, </w:t>
      </w:r>
      <w:proofErr w:type="spellStart"/>
      <w:r w:rsidRPr="002E77BB">
        <w:rPr>
          <w:rFonts w:cstheme="minorHAnsi"/>
          <w:bCs/>
        </w:rPr>
        <w:t>Canan</w:t>
      </w:r>
      <w:proofErr w:type="spellEnd"/>
      <w:r w:rsidRPr="002E77BB">
        <w:rPr>
          <w:rFonts w:cstheme="minorHAnsi"/>
          <w:bCs/>
        </w:rPr>
        <w:t xml:space="preserve"> Corus, Raymond P. Fisk, Andrew S. </w:t>
      </w:r>
      <w:proofErr w:type="spellStart"/>
      <w:r w:rsidRPr="002E77BB">
        <w:rPr>
          <w:rFonts w:cstheme="minorHAnsi"/>
          <w:bCs/>
        </w:rPr>
        <w:t>Gallan</w:t>
      </w:r>
      <w:proofErr w:type="spellEnd"/>
      <w:r w:rsidRPr="002E77BB">
        <w:rPr>
          <w:rFonts w:cstheme="minorHAnsi"/>
          <w:bCs/>
        </w:rPr>
        <w:t xml:space="preserve">, Mario </w:t>
      </w:r>
      <w:proofErr w:type="spellStart"/>
      <w:r w:rsidRPr="002E77BB">
        <w:rPr>
          <w:rFonts w:cstheme="minorHAnsi"/>
          <w:bCs/>
        </w:rPr>
        <w:t>Giraldo</w:t>
      </w:r>
      <w:proofErr w:type="spellEnd"/>
      <w:r w:rsidRPr="002E77BB">
        <w:rPr>
          <w:rFonts w:cstheme="minorHAnsi"/>
          <w:bCs/>
        </w:rPr>
        <w:t xml:space="preserve">, Martin Mende, Mark Mulder, Steven W. Rayburn, et Mark S. Rosenbaum (2013). Transformative service research: An agenda for the future ». </w:t>
      </w:r>
      <w:r w:rsidRPr="002E77BB">
        <w:rPr>
          <w:rFonts w:cstheme="minorHAnsi"/>
          <w:bCs/>
          <w:i/>
          <w:iCs/>
        </w:rPr>
        <w:t>Journal of Business Research</w:t>
      </w:r>
      <w:r w:rsidRPr="002E77BB">
        <w:rPr>
          <w:rFonts w:cstheme="minorHAnsi"/>
          <w:bCs/>
        </w:rPr>
        <w:t>, 66 (8): 1203-1210.</w:t>
      </w:r>
    </w:p>
    <w:p w14:paraId="47CCFE24" w14:textId="77777777" w:rsidR="00404D8E" w:rsidRDefault="00404D8E" w:rsidP="00404D8E">
      <w:pPr>
        <w:rPr>
          <w:rFonts w:cstheme="minorHAnsi"/>
          <w:bCs/>
        </w:rPr>
      </w:pPr>
      <w:r w:rsidRPr="00EE46C8">
        <w:rPr>
          <w:rFonts w:cstheme="minorHAnsi"/>
          <w:bCs/>
          <w:lang w:val="fr-FR"/>
        </w:rPr>
        <w:t xml:space="preserve">Blanc N., Courbet D., </w:t>
      </w:r>
      <w:proofErr w:type="spellStart"/>
      <w:r w:rsidRPr="00EE46C8">
        <w:rPr>
          <w:rFonts w:cstheme="minorHAnsi"/>
          <w:bCs/>
          <w:lang w:val="fr-FR"/>
        </w:rPr>
        <w:t>Déplaude</w:t>
      </w:r>
      <w:proofErr w:type="spellEnd"/>
      <w:r w:rsidRPr="00EE46C8">
        <w:rPr>
          <w:rFonts w:cstheme="minorHAnsi"/>
          <w:bCs/>
          <w:lang w:val="fr-FR"/>
        </w:rPr>
        <w:t xml:space="preserve"> M.O., </w:t>
      </w:r>
      <w:proofErr w:type="spellStart"/>
      <w:r w:rsidRPr="00EE46C8">
        <w:rPr>
          <w:rFonts w:cstheme="minorHAnsi"/>
          <w:bCs/>
          <w:lang w:val="fr-FR"/>
        </w:rPr>
        <w:t>Droulers</w:t>
      </w:r>
      <w:proofErr w:type="spellEnd"/>
      <w:r w:rsidRPr="00EE46C8">
        <w:rPr>
          <w:rFonts w:cstheme="minorHAnsi"/>
          <w:bCs/>
          <w:lang w:val="fr-FR"/>
        </w:rPr>
        <w:t xml:space="preserve"> O, Garde A., </w:t>
      </w:r>
      <w:proofErr w:type="spellStart"/>
      <w:r w:rsidRPr="00EE46C8">
        <w:rPr>
          <w:rFonts w:cstheme="minorHAnsi"/>
          <w:bCs/>
          <w:lang w:val="fr-FR"/>
        </w:rPr>
        <w:t>Girandola</w:t>
      </w:r>
      <w:proofErr w:type="spellEnd"/>
      <w:r w:rsidRPr="00EE46C8">
        <w:rPr>
          <w:rFonts w:cstheme="minorHAnsi"/>
          <w:bCs/>
          <w:lang w:val="fr-FR"/>
        </w:rPr>
        <w:t xml:space="preserve"> F., </w:t>
      </w:r>
      <w:proofErr w:type="spellStart"/>
      <w:r w:rsidRPr="00EE46C8">
        <w:rPr>
          <w:rFonts w:cstheme="minorHAnsi"/>
          <w:bCs/>
          <w:lang w:val="fr-FR"/>
        </w:rPr>
        <w:t>Gurviez</w:t>
      </w:r>
      <w:proofErr w:type="spellEnd"/>
      <w:r w:rsidRPr="00EE46C8">
        <w:rPr>
          <w:rFonts w:cstheme="minorHAnsi"/>
          <w:bCs/>
          <w:lang w:val="fr-FR"/>
        </w:rPr>
        <w:t xml:space="preserve"> P., </w:t>
      </w:r>
      <w:proofErr w:type="spellStart"/>
      <w:r w:rsidRPr="00EE46C8">
        <w:rPr>
          <w:rFonts w:cstheme="minorHAnsi"/>
          <w:bCs/>
          <w:lang w:val="fr-FR"/>
        </w:rPr>
        <w:t>Loheac</w:t>
      </w:r>
      <w:proofErr w:type="spellEnd"/>
      <w:r w:rsidRPr="00EE46C8">
        <w:rPr>
          <w:rFonts w:cstheme="minorHAnsi"/>
          <w:bCs/>
          <w:lang w:val="fr-FR"/>
        </w:rPr>
        <w:t xml:space="preserve"> Y., </w:t>
      </w:r>
      <w:proofErr w:type="spellStart"/>
      <w:r w:rsidRPr="00EE46C8">
        <w:rPr>
          <w:rFonts w:cstheme="minorHAnsi"/>
          <w:bCs/>
          <w:lang w:val="fr-FR"/>
        </w:rPr>
        <w:t>Werle</w:t>
      </w:r>
      <w:proofErr w:type="spellEnd"/>
      <w:r w:rsidRPr="00EE46C8">
        <w:rPr>
          <w:rFonts w:cstheme="minorHAnsi"/>
          <w:bCs/>
          <w:lang w:val="fr-FR"/>
        </w:rPr>
        <w:t xml:space="preserve"> C. (2017) Inserm. </w:t>
      </w:r>
      <w:r w:rsidRPr="00EE46C8">
        <w:rPr>
          <w:rFonts w:cstheme="minorHAnsi"/>
          <w:bCs/>
          <w:i/>
          <w:iCs/>
          <w:lang w:val="fr-FR"/>
        </w:rPr>
        <w:t>Agir sur les comportements nutritionnels. Réglementation, marketing et influence des communications de santé</w:t>
      </w:r>
      <w:r w:rsidRPr="00EE46C8">
        <w:rPr>
          <w:rFonts w:cstheme="minorHAnsi"/>
          <w:bCs/>
          <w:lang w:val="fr-FR"/>
        </w:rPr>
        <w:t xml:space="preserve">. </w:t>
      </w:r>
      <w:r w:rsidRPr="002E77BB">
        <w:rPr>
          <w:rFonts w:cstheme="minorHAnsi"/>
          <w:bCs/>
        </w:rPr>
        <w:t xml:space="preserve">Collection Expertise collective. </w:t>
      </w:r>
      <w:proofErr w:type="spellStart"/>
      <w:proofErr w:type="gramStart"/>
      <w:r w:rsidRPr="002E77BB">
        <w:rPr>
          <w:rFonts w:cstheme="minorHAnsi"/>
          <w:bCs/>
        </w:rPr>
        <w:t>Montrouge</w:t>
      </w:r>
      <w:proofErr w:type="spellEnd"/>
      <w:r w:rsidRPr="002E77BB">
        <w:rPr>
          <w:rFonts w:cstheme="minorHAnsi"/>
          <w:bCs/>
        </w:rPr>
        <w:t xml:space="preserve"> :</w:t>
      </w:r>
      <w:proofErr w:type="gramEnd"/>
      <w:r w:rsidRPr="002E77BB">
        <w:rPr>
          <w:rFonts w:cstheme="minorHAnsi"/>
          <w:bCs/>
        </w:rPr>
        <w:t xml:space="preserve"> EDP Sciences.</w:t>
      </w:r>
    </w:p>
    <w:p w14:paraId="1E3E8E36" w14:textId="77777777" w:rsidR="00404D8E" w:rsidRPr="008B1129" w:rsidRDefault="00404D8E" w:rsidP="00404D8E">
      <w:pPr>
        <w:autoSpaceDE w:val="0"/>
        <w:autoSpaceDN w:val="0"/>
        <w:adjustRightInd w:val="0"/>
        <w:spacing w:after="0" w:line="240" w:lineRule="auto"/>
        <w:rPr>
          <w:rFonts w:ascii="Calibri" w:hAnsi="Calibri" w:cs="Calibri"/>
          <w:lang w:val="en-US"/>
        </w:rPr>
      </w:pPr>
      <w:r w:rsidRPr="00CF1633">
        <w:rPr>
          <w:rFonts w:ascii="Calibri" w:hAnsi="Calibri" w:cs="Calibri"/>
          <w:lang w:val="en-US"/>
        </w:rPr>
        <w:t xml:space="preserve">Dietrich, </w:t>
      </w:r>
      <w:r>
        <w:rPr>
          <w:rFonts w:ascii="Calibri" w:hAnsi="Calibri" w:cs="Calibri"/>
          <w:lang w:val="en-US"/>
        </w:rPr>
        <w:t xml:space="preserve">T., </w:t>
      </w:r>
      <w:proofErr w:type="spellStart"/>
      <w:r w:rsidRPr="008B1129">
        <w:rPr>
          <w:rFonts w:ascii="Calibri" w:hAnsi="Calibri" w:cs="Calibri"/>
          <w:lang w:val="en-US"/>
        </w:rPr>
        <w:t>Jakob</w:t>
      </w:r>
      <w:proofErr w:type="spellEnd"/>
      <w:r w:rsidRPr="008B1129">
        <w:rPr>
          <w:rFonts w:ascii="Calibri" w:hAnsi="Calibri" w:cs="Calibri"/>
          <w:lang w:val="en-US"/>
        </w:rPr>
        <w:t xml:space="preserve"> </w:t>
      </w:r>
      <w:proofErr w:type="spellStart"/>
      <w:r w:rsidRPr="008B1129">
        <w:rPr>
          <w:rFonts w:ascii="Calibri" w:hAnsi="Calibri" w:cs="Calibri"/>
          <w:lang w:val="en-US"/>
        </w:rPr>
        <w:t>Trischler</w:t>
      </w:r>
      <w:proofErr w:type="spellEnd"/>
      <w:r w:rsidRPr="008B1129">
        <w:rPr>
          <w:rFonts w:ascii="Calibri" w:hAnsi="Calibri" w:cs="Calibri"/>
          <w:lang w:val="en-US"/>
        </w:rPr>
        <w:t xml:space="preserve">, Lisa Schuster, Sharyn Rundle-Thiele, (2017) "Co-designing services with </w:t>
      </w:r>
      <w:proofErr w:type="spellStart"/>
      <w:r w:rsidRPr="008B1129">
        <w:rPr>
          <w:rFonts w:ascii="Calibri" w:hAnsi="Calibri" w:cs="Calibri"/>
          <w:lang w:val="en-US"/>
        </w:rPr>
        <w:t>vulnerableconsumers</w:t>
      </w:r>
      <w:proofErr w:type="spellEnd"/>
      <w:r w:rsidRPr="008B1129">
        <w:rPr>
          <w:rFonts w:ascii="Calibri" w:hAnsi="Calibri" w:cs="Calibri"/>
          <w:lang w:val="en-US"/>
        </w:rPr>
        <w:t xml:space="preserve">", </w:t>
      </w:r>
      <w:r w:rsidRPr="008B1129">
        <w:rPr>
          <w:rFonts w:ascii="Calibri" w:hAnsi="Calibri" w:cs="Calibri"/>
          <w:i/>
          <w:iCs/>
          <w:lang w:val="en-US"/>
        </w:rPr>
        <w:t>Journal of Service Theory and Practice</w:t>
      </w:r>
      <w:r w:rsidRPr="008B1129">
        <w:rPr>
          <w:rFonts w:ascii="Calibri" w:hAnsi="Calibri" w:cs="Calibri"/>
          <w:lang w:val="en-US"/>
        </w:rPr>
        <w:t>, Vol. 27 Issue: 3</w:t>
      </w:r>
      <w:proofErr w:type="gramStart"/>
      <w:r w:rsidRPr="008B1129">
        <w:rPr>
          <w:rFonts w:ascii="Calibri" w:hAnsi="Calibri" w:cs="Calibri"/>
          <w:lang w:val="en-US"/>
        </w:rPr>
        <w:t>,pp</w:t>
      </w:r>
      <w:proofErr w:type="gramEnd"/>
      <w:r w:rsidRPr="008B1129">
        <w:rPr>
          <w:rFonts w:ascii="Calibri" w:hAnsi="Calibri" w:cs="Calibri"/>
          <w:lang w:val="en-US"/>
        </w:rPr>
        <w:t>. -</w:t>
      </w:r>
    </w:p>
    <w:p w14:paraId="60E26D01" w14:textId="77777777" w:rsidR="00404D8E" w:rsidRPr="008B1129" w:rsidRDefault="00404D8E" w:rsidP="00404D8E">
      <w:pPr>
        <w:autoSpaceDE w:val="0"/>
        <w:autoSpaceDN w:val="0"/>
        <w:adjustRightInd w:val="0"/>
        <w:spacing w:after="0" w:line="240" w:lineRule="auto"/>
        <w:rPr>
          <w:rFonts w:ascii="Calibri" w:hAnsi="Calibri" w:cs="Calibri"/>
          <w:lang w:val="en-US"/>
        </w:rPr>
      </w:pPr>
    </w:p>
    <w:p w14:paraId="697CB2D3" w14:textId="77777777" w:rsidR="00404D8E" w:rsidRPr="008B1129" w:rsidRDefault="00404D8E" w:rsidP="00404D8E">
      <w:pPr>
        <w:autoSpaceDE w:val="0"/>
        <w:autoSpaceDN w:val="0"/>
        <w:adjustRightInd w:val="0"/>
        <w:spacing w:after="0" w:line="240" w:lineRule="auto"/>
        <w:rPr>
          <w:rFonts w:ascii="Calibri" w:hAnsi="Calibri" w:cs="Calibri"/>
          <w:lang w:val="en-US"/>
        </w:rPr>
      </w:pPr>
      <w:proofErr w:type="spellStart"/>
      <w:r w:rsidRPr="008B1129">
        <w:rPr>
          <w:rFonts w:ascii="Calibri" w:hAnsi="Calibri" w:cs="Calibri"/>
          <w:lang w:val="en-US"/>
        </w:rPr>
        <w:t>Mattelmäki</w:t>
      </w:r>
      <w:proofErr w:type="spellEnd"/>
      <w:r w:rsidRPr="008B1129">
        <w:rPr>
          <w:rFonts w:ascii="Calibri" w:hAnsi="Calibri" w:cs="Calibri"/>
          <w:lang w:val="en-US"/>
        </w:rPr>
        <w:t xml:space="preserve">, </w:t>
      </w:r>
      <w:proofErr w:type="spellStart"/>
      <w:proofErr w:type="gramStart"/>
      <w:r w:rsidRPr="008B1129">
        <w:rPr>
          <w:rFonts w:ascii="Calibri" w:hAnsi="Calibri" w:cs="Calibri"/>
          <w:lang w:val="en-US"/>
        </w:rPr>
        <w:t>Tuuli</w:t>
      </w:r>
      <w:proofErr w:type="spellEnd"/>
      <w:r w:rsidRPr="008B1129">
        <w:rPr>
          <w:rFonts w:ascii="Calibri" w:hAnsi="Calibri" w:cs="Calibri"/>
          <w:lang w:val="en-US"/>
        </w:rPr>
        <w:t>(</w:t>
      </w:r>
      <w:proofErr w:type="gramEnd"/>
      <w:r w:rsidRPr="008B1129">
        <w:rPr>
          <w:rFonts w:ascii="Calibri" w:hAnsi="Calibri" w:cs="Calibri"/>
          <w:lang w:val="en-US"/>
        </w:rPr>
        <w:t xml:space="preserve">2008), "Probing for co-exploring", </w:t>
      </w:r>
      <w:r w:rsidRPr="008B1129">
        <w:rPr>
          <w:rFonts w:ascii="Calibri" w:hAnsi="Calibri" w:cs="Calibri"/>
          <w:i/>
          <w:iCs/>
          <w:lang w:val="en-US"/>
        </w:rPr>
        <w:t>Co-Design</w:t>
      </w:r>
      <w:r w:rsidRPr="008B1129">
        <w:rPr>
          <w:rFonts w:ascii="Calibri" w:hAnsi="Calibri" w:cs="Calibri"/>
          <w:lang w:val="en-US"/>
        </w:rPr>
        <w:t>, Vol. 4, No. 1, pp. 65-78.</w:t>
      </w:r>
    </w:p>
    <w:p w14:paraId="6FE54555" w14:textId="77777777" w:rsidR="00404D8E" w:rsidRDefault="00404D8E" w:rsidP="00404D8E">
      <w:pPr>
        <w:autoSpaceDE w:val="0"/>
        <w:autoSpaceDN w:val="0"/>
        <w:adjustRightInd w:val="0"/>
        <w:spacing w:after="0" w:line="240" w:lineRule="auto"/>
        <w:rPr>
          <w:rFonts w:ascii="TimesNewRoman" w:hAnsi="TimesNewRoman" w:cs="TimesNewRoman"/>
          <w:sz w:val="21"/>
          <w:szCs w:val="21"/>
          <w:lang w:val="en-US"/>
        </w:rPr>
      </w:pPr>
    </w:p>
    <w:p w14:paraId="49A1B14F" w14:textId="77777777" w:rsidR="00404D8E" w:rsidRPr="008B1129" w:rsidRDefault="00404D8E" w:rsidP="00404D8E">
      <w:pPr>
        <w:autoSpaceDE w:val="0"/>
        <w:autoSpaceDN w:val="0"/>
        <w:adjustRightInd w:val="0"/>
        <w:spacing w:after="0" w:line="240" w:lineRule="auto"/>
        <w:rPr>
          <w:rFonts w:ascii="TimesNewRoman" w:hAnsi="TimesNewRoman" w:cs="TimesNewRoman"/>
          <w:sz w:val="21"/>
          <w:szCs w:val="21"/>
          <w:lang w:val="en-US"/>
        </w:rPr>
      </w:pPr>
      <w:r w:rsidRPr="00B264A7">
        <w:rPr>
          <w:rFonts w:cstheme="minorHAnsi"/>
          <w:bCs/>
        </w:rPr>
        <w:t xml:space="preserve">Mick, David Glen, Simone Pettigrew, Cornelia Connie </w:t>
      </w:r>
      <w:proofErr w:type="spellStart"/>
      <w:r w:rsidRPr="00B264A7">
        <w:rPr>
          <w:rFonts w:cstheme="minorHAnsi"/>
          <w:bCs/>
        </w:rPr>
        <w:t>Pechmann</w:t>
      </w:r>
      <w:proofErr w:type="spellEnd"/>
      <w:r w:rsidRPr="00B264A7">
        <w:rPr>
          <w:rFonts w:cstheme="minorHAnsi"/>
          <w:bCs/>
        </w:rPr>
        <w:t xml:space="preserve">, et Julie L. </w:t>
      </w:r>
      <w:proofErr w:type="spellStart"/>
      <w:r w:rsidRPr="00B264A7">
        <w:rPr>
          <w:rFonts w:cstheme="minorHAnsi"/>
          <w:bCs/>
        </w:rPr>
        <w:t>Ozanne</w:t>
      </w:r>
      <w:proofErr w:type="spellEnd"/>
      <w:r w:rsidRPr="00B264A7">
        <w:rPr>
          <w:rFonts w:cstheme="minorHAnsi"/>
          <w:bCs/>
        </w:rPr>
        <w:t xml:space="preserve">. (2012) </w:t>
      </w:r>
      <w:r w:rsidRPr="002E77BB">
        <w:rPr>
          <w:rFonts w:cstheme="minorHAnsi"/>
          <w:bCs/>
          <w:i/>
          <w:iCs/>
        </w:rPr>
        <w:t>Transformative consumer research for personal and collective well-being</w:t>
      </w:r>
      <w:r w:rsidRPr="00B264A7">
        <w:rPr>
          <w:rFonts w:cstheme="minorHAnsi"/>
          <w:bCs/>
        </w:rPr>
        <w:t>. Routledge.</w:t>
      </w:r>
    </w:p>
    <w:p w14:paraId="5B1BFF09" w14:textId="77777777" w:rsidR="00404D8E" w:rsidRDefault="00404D8E" w:rsidP="00404D8E">
      <w:pPr>
        <w:rPr>
          <w:rFonts w:cstheme="minorHAnsi"/>
          <w:bCs/>
        </w:rPr>
      </w:pPr>
      <w:r w:rsidRPr="002E77BB">
        <w:rPr>
          <w:rFonts w:cstheme="minorHAnsi"/>
          <w:bCs/>
        </w:rPr>
        <w:t>Ryan, Richard M., Heather Patrick, Edward L. Deci, et Geoffrey C. Williams (2008)</w:t>
      </w:r>
      <w:r>
        <w:rPr>
          <w:rFonts w:cstheme="minorHAnsi"/>
          <w:bCs/>
        </w:rPr>
        <w:t>.</w:t>
      </w:r>
      <w:r w:rsidRPr="002E77BB">
        <w:rPr>
          <w:rFonts w:cstheme="minorHAnsi"/>
          <w:bCs/>
        </w:rPr>
        <w:t xml:space="preserve"> Facilitating health behaviour change and its maintenance: Interventions based on self-determination theory. </w:t>
      </w:r>
      <w:r w:rsidRPr="002E77BB">
        <w:rPr>
          <w:rFonts w:cstheme="minorHAnsi"/>
          <w:bCs/>
          <w:i/>
          <w:iCs/>
        </w:rPr>
        <w:t>European Health Psychologist</w:t>
      </w:r>
      <w:r>
        <w:rPr>
          <w:rFonts w:cstheme="minorHAnsi"/>
          <w:bCs/>
          <w:i/>
          <w:iCs/>
        </w:rPr>
        <w:t>.</w:t>
      </w:r>
      <w:r w:rsidRPr="002E77BB">
        <w:rPr>
          <w:rFonts w:cstheme="minorHAnsi"/>
          <w:bCs/>
        </w:rPr>
        <w:t xml:space="preserve"> 10 (1): 2-5.</w:t>
      </w:r>
    </w:p>
    <w:p w14:paraId="5C13E637" w14:textId="77777777" w:rsidR="00404D8E" w:rsidRDefault="00404D8E" w:rsidP="00404D8E">
      <w:pPr>
        <w:rPr>
          <w:rFonts w:cstheme="minorHAnsi"/>
          <w:bCs/>
        </w:rPr>
      </w:pPr>
      <w:r w:rsidRPr="002E77BB">
        <w:rPr>
          <w:rFonts w:cstheme="minorHAnsi"/>
          <w:bCs/>
        </w:rPr>
        <w:t xml:space="preserve">WHO (World </w:t>
      </w:r>
      <w:proofErr w:type="spellStart"/>
      <w:r w:rsidRPr="002E77BB">
        <w:rPr>
          <w:rFonts w:cstheme="minorHAnsi"/>
          <w:bCs/>
        </w:rPr>
        <w:t>Heath</w:t>
      </w:r>
      <w:proofErr w:type="spellEnd"/>
      <w:r w:rsidRPr="002E77BB">
        <w:rPr>
          <w:rFonts w:cstheme="minorHAnsi"/>
          <w:bCs/>
        </w:rPr>
        <w:t xml:space="preserve"> Organization) (2016)</w:t>
      </w:r>
      <w:r>
        <w:rPr>
          <w:rFonts w:cstheme="minorHAnsi"/>
          <w:bCs/>
        </w:rPr>
        <w:t>.</w:t>
      </w:r>
      <w:r w:rsidRPr="002E77BB">
        <w:rPr>
          <w:rFonts w:cstheme="minorHAnsi"/>
          <w:bCs/>
        </w:rPr>
        <w:t xml:space="preserve"> </w:t>
      </w:r>
      <w:r w:rsidRPr="002E77BB">
        <w:rPr>
          <w:rFonts w:cstheme="minorHAnsi"/>
          <w:bCs/>
          <w:i/>
          <w:iCs/>
        </w:rPr>
        <w:t>Obesity and overweight. Fact sheet 311</w:t>
      </w:r>
      <w:r w:rsidRPr="002E77BB">
        <w:rPr>
          <w:rFonts w:cstheme="minorHAnsi"/>
          <w:bCs/>
        </w:rPr>
        <w:t xml:space="preserve"> (updated June 2016</w:t>
      </w:r>
      <w:proofErr w:type="gramStart"/>
      <w:r w:rsidRPr="002E77BB">
        <w:rPr>
          <w:rFonts w:cstheme="minorHAnsi"/>
          <w:bCs/>
        </w:rPr>
        <w:t>) .</w:t>
      </w:r>
      <w:proofErr w:type="gramEnd"/>
      <w:r w:rsidRPr="002E77BB">
        <w:rPr>
          <w:rFonts w:cstheme="minorHAnsi"/>
          <w:bCs/>
        </w:rPr>
        <w:t xml:space="preserve"> World Health Organization, Geneva, http://www. </w:t>
      </w:r>
      <w:proofErr w:type="gramStart"/>
      <w:r w:rsidRPr="002E77BB">
        <w:rPr>
          <w:rFonts w:cstheme="minorHAnsi"/>
          <w:bCs/>
        </w:rPr>
        <w:t>who</w:t>
      </w:r>
      <w:proofErr w:type="gramEnd"/>
      <w:r w:rsidRPr="002E77BB">
        <w:rPr>
          <w:rFonts w:cstheme="minorHAnsi"/>
          <w:bCs/>
        </w:rPr>
        <w:t xml:space="preserve">. </w:t>
      </w:r>
      <w:proofErr w:type="spellStart"/>
      <w:proofErr w:type="gramStart"/>
      <w:r w:rsidRPr="002E77BB">
        <w:rPr>
          <w:rFonts w:cstheme="minorHAnsi"/>
          <w:bCs/>
        </w:rPr>
        <w:t>int</w:t>
      </w:r>
      <w:proofErr w:type="spellEnd"/>
      <w:r w:rsidRPr="002E77BB">
        <w:rPr>
          <w:rFonts w:cstheme="minorHAnsi"/>
          <w:bCs/>
        </w:rPr>
        <w:t>/</w:t>
      </w:r>
      <w:proofErr w:type="spellStart"/>
      <w:r w:rsidRPr="002E77BB">
        <w:rPr>
          <w:rFonts w:cstheme="minorHAnsi"/>
          <w:bCs/>
        </w:rPr>
        <w:t>mediacentre</w:t>
      </w:r>
      <w:proofErr w:type="spellEnd"/>
      <w:r w:rsidRPr="002E77BB">
        <w:rPr>
          <w:rFonts w:cstheme="minorHAnsi"/>
          <w:bCs/>
        </w:rPr>
        <w:t>/factsheets/fs311/</w:t>
      </w:r>
      <w:proofErr w:type="spellStart"/>
      <w:r w:rsidRPr="002E77BB">
        <w:rPr>
          <w:rFonts w:cstheme="minorHAnsi"/>
          <w:bCs/>
        </w:rPr>
        <w:t>en</w:t>
      </w:r>
      <w:proofErr w:type="spellEnd"/>
      <w:proofErr w:type="gramEnd"/>
      <w:r w:rsidRPr="002E77BB">
        <w:rPr>
          <w:rFonts w:cstheme="minorHAnsi"/>
          <w:bCs/>
        </w:rPr>
        <w:t>/(last accessed 21 Dec 2016).</w:t>
      </w:r>
    </w:p>
    <w:p w14:paraId="32C834C7" w14:textId="5650D1DC" w:rsidR="000274FE" w:rsidRDefault="000274FE" w:rsidP="00270E30">
      <w:pPr>
        <w:rPr>
          <w:rFonts w:cstheme="minorHAnsi"/>
          <w:b/>
        </w:rPr>
      </w:pPr>
    </w:p>
    <w:p w14:paraId="758FBA7D" w14:textId="25F237E3" w:rsidR="00BA4AD5" w:rsidRDefault="00BA4AD5" w:rsidP="00270E30">
      <w:pPr>
        <w:rPr>
          <w:rFonts w:cstheme="minorHAnsi"/>
          <w:b/>
        </w:rPr>
      </w:pPr>
    </w:p>
    <w:p w14:paraId="11C251BA" w14:textId="63EEBD0B" w:rsidR="00BA4AD5" w:rsidRPr="00A067B9" w:rsidRDefault="00BA4AD5" w:rsidP="00BA4AD5">
      <w:pPr>
        <w:spacing w:line="480" w:lineRule="auto"/>
        <w:jc w:val="center"/>
        <w:rPr>
          <w:rFonts w:cstheme="minorHAnsi"/>
          <w:b/>
        </w:rPr>
      </w:pPr>
      <w:bookmarkStart w:id="4" w:name="_Hlk7018717"/>
      <w:r w:rsidRPr="00A067B9">
        <w:rPr>
          <w:rFonts w:cstheme="minorHAnsi"/>
          <w:b/>
        </w:rPr>
        <w:t>Other notes</w:t>
      </w:r>
      <w:r>
        <w:rPr>
          <w:rFonts w:cstheme="minorHAnsi"/>
          <w:b/>
        </w:rPr>
        <w:t xml:space="preserve"> for consideration</w:t>
      </w:r>
    </w:p>
    <w:bookmarkEnd w:id="4"/>
    <w:p w14:paraId="5856B749" w14:textId="77777777" w:rsidR="00BA4AD5" w:rsidRPr="000274FE" w:rsidRDefault="00BA4AD5" w:rsidP="00270E30">
      <w:pPr>
        <w:rPr>
          <w:rFonts w:cstheme="minorHAnsi"/>
          <w:b/>
        </w:rPr>
      </w:pPr>
    </w:p>
    <w:sectPr w:rsidR="00BA4AD5" w:rsidRPr="000274F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4AE17" w14:textId="77777777" w:rsidR="00D34A7E" w:rsidRDefault="00D34A7E" w:rsidP="007A4184">
      <w:pPr>
        <w:spacing w:after="0" w:line="240" w:lineRule="auto"/>
      </w:pPr>
      <w:r>
        <w:separator/>
      </w:r>
    </w:p>
  </w:endnote>
  <w:endnote w:type="continuationSeparator" w:id="0">
    <w:p w14:paraId="1AE6F36D" w14:textId="77777777" w:rsidR="00D34A7E" w:rsidRDefault="00D34A7E" w:rsidP="007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7C27" w14:textId="77777777" w:rsidR="00D34A7E" w:rsidRDefault="00D34A7E" w:rsidP="007A4184">
      <w:pPr>
        <w:spacing w:after="0" w:line="240" w:lineRule="auto"/>
      </w:pPr>
      <w:r>
        <w:separator/>
      </w:r>
    </w:p>
  </w:footnote>
  <w:footnote w:type="continuationSeparator" w:id="0">
    <w:p w14:paraId="01561620" w14:textId="77777777" w:rsidR="00D34A7E" w:rsidRDefault="00D34A7E" w:rsidP="007A4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4E2E" w14:textId="08EDF5D4" w:rsidR="00C058DD" w:rsidRDefault="000274FE" w:rsidP="00041331">
    <w:pPr>
      <w:pStyle w:val="En-tte"/>
      <w:jc w:val="center"/>
    </w:pPr>
    <w:r w:rsidRPr="00FF4770">
      <w:rPr>
        <w:rFonts w:cstheme="minorHAnsi"/>
        <w:noProof/>
        <w:lang w:val="fr-FR" w:eastAsia="fr-FR"/>
      </w:rPr>
      <w:drawing>
        <wp:inline distT="0" distB="0" distL="0" distR="0" wp14:anchorId="2BFC69AF" wp14:editId="0D6F23BD">
          <wp:extent cx="2946400" cy="786965"/>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6400" cy="786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D8A"/>
    <w:multiLevelType w:val="hybridMultilevel"/>
    <w:tmpl w:val="09BA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0083B"/>
    <w:multiLevelType w:val="hybridMultilevel"/>
    <w:tmpl w:val="19729090"/>
    <w:lvl w:ilvl="0" w:tplc="61A8BDF8">
      <w:start w:val="1"/>
      <w:numFmt w:val="bullet"/>
      <w:lvlText w:val=""/>
      <w:lvlJc w:val="left"/>
      <w:pPr>
        <w:tabs>
          <w:tab w:val="num" w:pos="360"/>
        </w:tabs>
        <w:ind w:left="360" w:hanging="360"/>
      </w:pPr>
      <w:rPr>
        <w:rFonts w:ascii="Wingdings" w:hAnsi="Wingdings" w:hint="default"/>
        <w:color w:val="auto"/>
        <w:sz w:val="20"/>
        <w:szCs w:val="20"/>
        <w:u w:color="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732320"/>
    <w:multiLevelType w:val="hybridMultilevel"/>
    <w:tmpl w:val="742A0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A5B83"/>
    <w:multiLevelType w:val="hybridMultilevel"/>
    <w:tmpl w:val="EB08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C3183"/>
    <w:multiLevelType w:val="hybridMultilevel"/>
    <w:tmpl w:val="797E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47468"/>
    <w:multiLevelType w:val="multilevel"/>
    <w:tmpl w:val="1B68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3445F"/>
    <w:multiLevelType w:val="hybridMultilevel"/>
    <w:tmpl w:val="80F817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84"/>
    <w:rsid w:val="00004017"/>
    <w:rsid w:val="0000429A"/>
    <w:rsid w:val="0000595A"/>
    <w:rsid w:val="00005A1E"/>
    <w:rsid w:val="00006513"/>
    <w:rsid w:val="00016B9D"/>
    <w:rsid w:val="00021B54"/>
    <w:rsid w:val="00026F7A"/>
    <w:rsid w:val="000274FE"/>
    <w:rsid w:val="00032DC8"/>
    <w:rsid w:val="00032F04"/>
    <w:rsid w:val="00041331"/>
    <w:rsid w:val="0004168E"/>
    <w:rsid w:val="00045382"/>
    <w:rsid w:val="000536A0"/>
    <w:rsid w:val="00055F16"/>
    <w:rsid w:val="00057076"/>
    <w:rsid w:val="00060841"/>
    <w:rsid w:val="000724EB"/>
    <w:rsid w:val="000826FE"/>
    <w:rsid w:val="000834EC"/>
    <w:rsid w:val="00093BA1"/>
    <w:rsid w:val="00093BF2"/>
    <w:rsid w:val="00095EFF"/>
    <w:rsid w:val="000975F1"/>
    <w:rsid w:val="000A6750"/>
    <w:rsid w:val="000A697E"/>
    <w:rsid w:val="000B393B"/>
    <w:rsid w:val="000B676F"/>
    <w:rsid w:val="000C45DC"/>
    <w:rsid w:val="000C4B0B"/>
    <w:rsid w:val="000D1667"/>
    <w:rsid w:val="000D2327"/>
    <w:rsid w:val="000D2CC2"/>
    <w:rsid w:val="000D40F2"/>
    <w:rsid w:val="000D49BF"/>
    <w:rsid w:val="000D69BC"/>
    <w:rsid w:val="000E1161"/>
    <w:rsid w:val="000E14F3"/>
    <w:rsid w:val="000E5F7A"/>
    <w:rsid w:val="000E716F"/>
    <w:rsid w:val="000F5B74"/>
    <w:rsid w:val="00100B37"/>
    <w:rsid w:val="001046EE"/>
    <w:rsid w:val="00107394"/>
    <w:rsid w:val="00110528"/>
    <w:rsid w:val="0011210F"/>
    <w:rsid w:val="00117178"/>
    <w:rsid w:val="001220FE"/>
    <w:rsid w:val="00127BF7"/>
    <w:rsid w:val="00131D04"/>
    <w:rsid w:val="0013213E"/>
    <w:rsid w:val="00137A93"/>
    <w:rsid w:val="001465FA"/>
    <w:rsid w:val="00151353"/>
    <w:rsid w:val="00154EBB"/>
    <w:rsid w:val="001619C3"/>
    <w:rsid w:val="0016400C"/>
    <w:rsid w:val="00164106"/>
    <w:rsid w:val="00164871"/>
    <w:rsid w:val="00170E96"/>
    <w:rsid w:val="001748BB"/>
    <w:rsid w:val="00175DCD"/>
    <w:rsid w:val="00177023"/>
    <w:rsid w:val="00184E28"/>
    <w:rsid w:val="00191527"/>
    <w:rsid w:val="001A2C20"/>
    <w:rsid w:val="001A4FDA"/>
    <w:rsid w:val="001A62C7"/>
    <w:rsid w:val="001B2806"/>
    <w:rsid w:val="001B706B"/>
    <w:rsid w:val="001C392C"/>
    <w:rsid w:val="001C5E97"/>
    <w:rsid w:val="001D2243"/>
    <w:rsid w:val="001D6883"/>
    <w:rsid w:val="001E1C0F"/>
    <w:rsid w:val="001E3002"/>
    <w:rsid w:val="001E791C"/>
    <w:rsid w:val="001F2D52"/>
    <w:rsid w:val="001F4140"/>
    <w:rsid w:val="001F5897"/>
    <w:rsid w:val="002035DC"/>
    <w:rsid w:val="0020412F"/>
    <w:rsid w:val="00204861"/>
    <w:rsid w:val="002075D9"/>
    <w:rsid w:val="00210390"/>
    <w:rsid w:val="00212DE1"/>
    <w:rsid w:val="00216A96"/>
    <w:rsid w:val="00221C79"/>
    <w:rsid w:val="00222A8E"/>
    <w:rsid w:val="00223099"/>
    <w:rsid w:val="0022476E"/>
    <w:rsid w:val="002311A3"/>
    <w:rsid w:val="00232D08"/>
    <w:rsid w:val="00235054"/>
    <w:rsid w:val="00236E9C"/>
    <w:rsid w:val="00253F87"/>
    <w:rsid w:val="00263E69"/>
    <w:rsid w:val="00270E30"/>
    <w:rsid w:val="0027178E"/>
    <w:rsid w:val="0027439F"/>
    <w:rsid w:val="00276784"/>
    <w:rsid w:val="002769D7"/>
    <w:rsid w:val="00280199"/>
    <w:rsid w:val="0029351D"/>
    <w:rsid w:val="0029373E"/>
    <w:rsid w:val="002A4890"/>
    <w:rsid w:val="002A52AB"/>
    <w:rsid w:val="002A5556"/>
    <w:rsid w:val="002A7647"/>
    <w:rsid w:val="002B49B9"/>
    <w:rsid w:val="002B4A36"/>
    <w:rsid w:val="002D0430"/>
    <w:rsid w:val="002D0762"/>
    <w:rsid w:val="002D51D5"/>
    <w:rsid w:val="002D721B"/>
    <w:rsid w:val="002E25D6"/>
    <w:rsid w:val="002F6394"/>
    <w:rsid w:val="002F655B"/>
    <w:rsid w:val="00307872"/>
    <w:rsid w:val="003109E7"/>
    <w:rsid w:val="00314CF4"/>
    <w:rsid w:val="003164F9"/>
    <w:rsid w:val="003316C2"/>
    <w:rsid w:val="00332912"/>
    <w:rsid w:val="00334BEA"/>
    <w:rsid w:val="00335CC9"/>
    <w:rsid w:val="003417BB"/>
    <w:rsid w:val="0034485A"/>
    <w:rsid w:val="00344AAA"/>
    <w:rsid w:val="00350B3F"/>
    <w:rsid w:val="00351A75"/>
    <w:rsid w:val="003561F5"/>
    <w:rsid w:val="00362FDD"/>
    <w:rsid w:val="0037156F"/>
    <w:rsid w:val="00382EFA"/>
    <w:rsid w:val="00387DA1"/>
    <w:rsid w:val="0039455A"/>
    <w:rsid w:val="003956BB"/>
    <w:rsid w:val="00396AE5"/>
    <w:rsid w:val="003A2014"/>
    <w:rsid w:val="003A78FD"/>
    <w:rsid w:val="003B0878"/>
    <w:rsid w:val="003B7763"/>
    <w:rsid w:val="003D265D"/>
    <w:rsid w:val="003D2B87"/>
    <w:rsid w:val="003D7D15"/>
    <w:rsid w:val="003F26D2"/>
    <w:rsid w:val="003F3C07"/>
    <w:rsid w:val="003F63D8"/>
    <w:rsid w:val="003F74A7"/>
    <w:rsid w:val="00403187"/>
    <w:rsid w:val="004031F0"/>
    <w:rsid w:val="00404D1D"/>
    <w:rsid w:val="00404D8E"/>
    <w:rsid w:val="00405A8D"/>
    <w:rsid w:val="00406631"/>
    <w:rsid w:val="0040678E"/>
    <w:rsid w:val="00406A37"/>
    <w:rsid w:val="004103DF"/>
    <w:rsid w:val="00410658"/>
    <w:rsid w:val="004152A3"/>
    <w:rsid w:val="00417106"/>
    <w:rsid w:val="0042001D"/>
    <w:rsid w:val="00424755"/>
    <w:rsid w:val="004255CC"/>
    <w:rsid w:val="004330F3"/>
    <w:rsid w:val="00433107"/>
    <w:rsid w:val="004337AB"/>
    <w:rsid w:val="004339E1"/>
    <w:rsid w:val="00434F16"/>
    <w:rsid w:val="00442B57"/>
    <w:rsid w:val="00443719"/>
    <w:rsid w:val="00444AE3"/>
    <w:rsid w:val="00445B35"/>
    <w:rsid w:val="00452A48"/>
    <w:rsid w:val="0045303F"/>
    <w:rsid w:val="00454D6F"/>
    <w:rsid w:val="00456F21"/>
    <w:rsid w:val="00457C8D"/>
    <w:rsid w:val="00460AEB"/>
    <w:rsid w:val="00461C1A"/>
    <w:rsid w:val="00466F33"/>
    <w:rsid w:val="004718BA"/>
    <w:rsid w:val="004730A3"/>
    <w:rsid w:val="00474418"/>
    <w:rsid w:val="0048055E"/>
    <w:rsid w:val="004844F9"/>
    <w:rsid w:val="00490CB0"/>
    <w:rsid w:val="004958E1"/>
    <w:rsid w:val="004A2A38"/>
    <w:rsid w:val="004A57F4"/>
    <w:rsid w:val="004A6BEB"/>
    <w:rsid w:val="004A74B1"/>
    <w:rsid w:val="004B03B5"/>
    <w:rsid w:val="004C3517"/>
    <w:rsid w:val="004D1986"/>
    <w:rsid w:val="004D4495"/>
    <w:rsid w:val="004D5931"/>
    <w:rsid w:val="004F144D"/>
    <w:rsid w:val="004F4CF1"/>
    <w:rsid w:val="005068AD"/>
    <w:rsid w:val="00510CBB"/>
    <w:rsid w:val="00517E71"/>
    <w:rsid w:val="00521B54"/>
    <w:rsid w:val="00522882"/>
    <w:rsid w:val="00524E0A"/>
    <w:rsid w:val="00527123"/>
    <w:rsid w:val="00531F3B"/>
    <w:rsid w:val="005451CA"/>
    <w:rsid w:val="005458C1"/>
    <w:rsid w:val="00552C42"/>
    <w:rsid w:val="0055598D"/>
    <w:rsid w:val="005634CA"/>
    <w:rsid w:val="005665E4"/>
    <w:rsid w:val="00566B52"/>
    <w:rsid w:val="0057238C"/>
    <w:rsid w:val="005726ED"/>
    <w:rsid w:val="00576AE7"/>
    <w:rsid w:val="005774A4"/>
    <w:rsid w:val="00586827"/>
    <w:rsid w:val="00590AE5"/>
    <w:rsid w:val="005A4A68"/>
    <w:rsid w:val="005A52AD"/>
    <w:rsid w:val="005A63EE"/>
    <w:rsid w:val="005A6577"/>
    <w:rsid w:val="005A7F4E"/>
    <w:rsid w:val="005B1002"/>
    <w:rsid w:val="005C1073"/>
    <w:rsid w:val="005C20E9"/>
    <w:rsid w:val="005C2562"/>
    <w:rsid w:val="005C6C41"/>
    <w:rsid w:val="005D08AC"/>
    <w:rsid w:val="005D4FD0"/>
    <w:rsid w:val="005E43AC"/>
    <w:rsid w:val="005E6A90"/>
    <w:rsid w:val="005E75F8"/>
    <w:rsid w:val="005E77DD"/>
    <w:rsid w:val="005F307C"/>
    <w:rsid w:val="005F4C13"/>
    <w:rsid w:val="005F7DCB"/>
    <w:rsid w:val="00602528"/>
    <w:rsid w:val="00602C0C"/>
    <w:rsid w:val="00604D02"/>
    <w:rsid w:val="00605664"/>
    <w:rsid w:val="00606F01"/>
    <w:rsid w:val="00607811"/>
    <w:rsid w:val="00610059"/>
    <w:rsid w:val="00612E10"/>
    <w:rsid w:val="006143E2"/>
    <w:rsid w:val="006157BE"/>
    <w:rsid w:val="00616600"/>
    <w:rsid w:val="006166A7"/>
    <w:rsid w:val="00626E25"/>
    <w:rsid w:val="006309F8"/>
    <w:rsid w:val="006327A7"/>
    <w:rsid w:val="00641516"/>
    <w:rsid w:val="00642B52"/>
    <w:rsid w:val="0064758C"/>
    <w:rsid w:val="006609FF"/>
    <w:rsid w:val="00664EC6"/>
    <w:rsid w:val="0067394C"/>
    <w:rsid w:val="006748DF"/>
    <w:rsid w:val="0067735A"/>
    <w:rsid w:val="0069187C"/>
    <w:rsid w:val="00693FAC"/>
    <w:rsid w:val="006952AD"/>
    <w:rsid w:val="006A4DCB"/>
    <w:rsid w:val="006A670A"/>
    <w:rsid w:val="006B07DA"/>
    <w:rsid w:val="006B09A3"/>
    <w:rsid w:val="006B297B"/>
    <w:rsid w:val="006B4934"/>
    <w:rsid w:val="006B5785"/>
    <w:rsid w:val="006C21DF"/>
    <w:rsid w:val="006C2FBC"/>
    <w:rsid w:val="006C3548"/>
    <w:rsid w:val="006C452C"/>
    <w:rsid w:val="006C577A"/>
    <w:rsid w:val="006C5DD5"/>
    <w:rsid w:val="006C6FE8"/>
    <w:rsid w:val="006C7F0B"/>
    <w:rsid w:val="006D760A"/>
    <w:rsid w:val="006E7FEF"/>
    <w:rsid w:val="006F05E0"/>
    <w:rsid w:val="006F57CF"/>
    <w:rsid w:val="007046C1"/>
    <w:rsid w:val="00707B72"/>
    <w:rsid w:val="007137DC"/>
    <w:rsid w:val="0071672E"/>
    <w:rsid w:val="00716979"/>
    <w:rsid w:val="00721C74"/>
    <w:rsid w:val="0072429B"/>
    <w:rsid w:val="007245AA"/>
    <w:rsid w:val="00725CC6"/>
    <w:rsid w:val="0073094A"/>
    <w:rsid w:val="007316F7"/>
    <w:rsid w:val="00733B4F"/>
    <w:rsid w:val="00735AD2"/>
    <w:rsid w:val="00743245"/>
    <w:rsid w:val="00745AA0"/>
    <w:rsid w:val="0075572D"/>
    <w:rsid w:val="007559DE"/>
    <w:rsid w:val="0075674E"/>
    <w:rsid w:val="0076577A"/>
    <w:rsid w:val="00767C45"/>
    <w:rsid w:val="007701B9"/>
    <w:rsid w:val="00773D45"/>
    <w:rsid w:val="007764A0"/>
    <w:rsid w:val="00776F1F"/>
    <w:rsid w:val="00784F17"/>
    <w:rsid w:val="00787F53"/>
    <w:rsid w:val="0079187A"/>
    <w:rsid w:val="00794801"/>
    <w:rsid w:val="007A0923"/>
    <w:rsid w:val="007A1A3A"/>
    <w:rsid w:val="007A4184"/>
    <w:rsid w:val="007B187E"/>
    <w:rsid w:val="007B218B"/>
    <w:rsid w:val="007B28B4"/>
    <w:rsid w:val="007B7E73"/>
    <w:rsid w:val="007C0785"/>
    <w:rsid w:val="007C2A9A"/>
    <w:rsid w:val="007C2CF5"/>
    <w:rsid w:val="007C7239"/>
    <w:rsid w:val="007D2816"/>
    <w:rsid w:val="007D3C04"/>
    <w:rsid w:val="007D4249"/>
    <w:rsid w:val="007D6C32"/>
    <w:rsid w:val="007E41BA"/>
    <w:rsid w:val="007E6435"/>
    <w:rsid w:val="008004B0"/>
    <w:rsid w:val="008067CE"/>
    <w:rsid w:val="00807357"/>
    <w:rsid w:val="00812AD8"/>
    <w:rsid w:val="008135BF"/>
    <w:rsid w:val="0081536C"/>
    <w:rsid w:val="00816806"/>
    <w:rsid w:val="0081734B"/>
    <w:rsid w:val="008228A7"/>
    <w:rsid w:val="008239DA"/>
    <w:rsid w:val="0083060A"/>
    <w:rsid w:val="00832B86"/>
    <w:rsid w:val="00841AD2"/>
    <w:rsid w:val="00843018"/>
    <w:rsid w:val="00843115"/>
    <w:rsid w:val="00844585"/>
    <w:rsid w:val="0084604C"/>
    <w:rsid w:val="00847BA3"/>
    <w:rsid w:val="008524B3"/>
    <w:rsid w:val="008613CC"/>
    <w:rsid w:val="0087136E"/>
    <w:rsid w:val="008800CF"/>
    <w:rsid w:val="008810B6"/>
    <w:rsid w:val="00883BE6"/>
    <w:rsid w:val="00887481"/>
    <w:rsid w:val="00892227"/>
    <w:rsid w:val="008A3D3F"/>
    <w:rsid w:val="008B4024"/>
    <w:rsid w:val="008B5006"/>
    <w:rsid w:val="008B54DF"/>
    <w:rsid w:val="008B59CD"/>
    <w:rsid w:val="008B71AD"/>
    <w:rsid w:val="008C77F7"/>
    <w:rsid w:val="008D2A65"/>
    <w:rsid w:val="008D76E1"/>
    <w:rsid w:val="008E21DF"/>
    <w:rsid w:val="008E2CCA"/>
    <w:rsid w:val="008E577B"/>
    <w:rsid w:val="008E610E"/>
    <w:rsid w:val="008E67B5"/>
    <w:rsid w:val="008E6E51"/>
    <w:rsid w:val="008F5235"/>
    <w:rsid w:val="008F63AA"/>
    <w:rsid w:val="008F7768"/>
    <w:rsid w:val="00905D93"/>
    <w:rsid w:val="0091590E"/>
    <w:rsid w:val="009166C3"/>
    <w:rsid w:val="00921160"/>
    <w:rsid w:val="00921184"/>
    <w:rsid w:val="00927D1F"/>
    <w:rsid w:val="00934506"/>
    <w:rsid w:val="00936601"/>
    <w:rsid w:val="009403BD"/>
    <w:rsid w:val="009437D8"/>
    <w:rsid w:val="0094474D"/>
    <w:rsid w:val="00946236"/>
    <w:rsid w:val="00946AB8"/>
    <w:rsid w:val="0095044A"/>
    <w:rsid w:val="00960193"/>
    <w:rsid w:val="00967CE2"/>
    <w:rsid w:val="009700EF"/>
    <w:rsid w:val="009700FF"/>
    <w:rsid w:val="00974D59"/>
    <w:rsid w:val="009814E2"/>
    <w:rsid w:val="009833E1"/>
    <w:rsid w:val="00984A02"/>
    <w:rsid w:val="00994B83"/>
    <w:rsid w:val="00995F6D"/>
    <w:rsid w:val="009A30E8"/>
    <w:rsid w:val="009A38E3"/>
    <w:rsid w:val="009B5235"/>
    <w:rsid w:val="009B534C"/>
    <w:rsid w:val="009B5A80"/>
    <w:rsid w:val="009B76A8"/>
    <w:rsid w:val="009C1470"/>
    <w:rsid w:val="009C2231"/>
    <w:rsid w:val="009C2531"/>
    <w:rsid w:val="009C4508"/>
    <w:rsid w:val="009C5457"/>
    <w:rsid w:val="009C5B90"/>
    <w:rsid w:val="009D2F2B"/>
    <w:rsid w:val="009E3D1A"/>
    <w:rsid w:val="009E5017"/>
    <w:rsid w:val="009F1D96"/>
    <w:rsid w:val="009F5558"/>
    <w:rsid w:val="009F5610"/>
    <w:rsid w:val="00A025B7"/>
    <w:rsid w:val="00A075B3"/>
    <w:rsid w:val="00A122F5"/>
    <w:rsid w:val="00A12562"/>
    <w:rsid w:val="00A12653"/>
    <w:rsid w:val="00A12B8D"/>
    <w:rsid w:val="00A13704"/>
    <w:rsid w:val="00A16EF4"/>
    <w:rsid w:val="00A2463E"/>
    <w:rsid w:val="00A24C78"/>
    <w:rsid w:val="00A3394B"/>
    <w:rsid w:val="00A43AA6"/>
    <w:rsid w:val="00A47142"/>
    <w:rsid w:val="00A5620A"/>
    <w:rsid w:val="00A603DA"/>
    <w:rsid w:val="00A610F0"/>
    <w:rsid w:val="00A61327"/>
    <w:rsid w:val="00A71B63"/>
    <w:rsid w:val="00A72FBA"/>
    <w:rsid w:val="00A75AF5"/>
    <w:rsid w:val="00A76EA6"/>
    <w:rsid w:val="00A9687D"/>
    <w:rsid w:val="00A96E11"/>
    <w:rsid w:val="00AA6F38"/>
    <w:rsid w:val="00AB0E3C"/>
    <w:rsid w:val="00AB2DE4"/>
    <w:rsid w:val="00AB7693"/>
    <w:rsid w:val="00AC01CB"/>
    <w:rsid w:val="00AC53EC"/>
    <w:rsid w:val="00AD1724"/>
    <w:rsid w:val="00AD2AED"/>
    <w:rsid w:val="00AD5736"/>
    <w:rsid w:val="00AE2667"/>
    <w:rsid w:val="00AE43AF"/>
    <w:rsid w:val="00AE4518"/>
    <w:rsid w:val="00AE4F29"/>
    <w:rsid w:val="00AE7084"/>
    <w:rsid w:val="00AF293E"/>
    <w:rsid w:val="00AF41D8"/>
    <w:rsid w:val="00AF522B"/>
    <w:rsid w:val="00AF5D97"/>
    <w:rsid w:val="00B0203E"/>
    <w:rsid w:val="00B02716"/>
    <w:rsid w:val="00B05438"/>
    <w:rsid w:val="00B06955"/>
    <w:rsid w:val="00B07C02"/>
    <w:rsid w:val="00B07DC9"/>
    <w:rsid w:val="00B10CF0"/>
    <w:rsid w:val="00B11D69"/>
    <w:rsid w:val="00B1297D"/>
    <w:rsid w:val="00B13AD8"/>
    <w:rsid w:val="00B158CB"/>
    <w:rsid w:val="00B27251"/>
    <w:rsid w:val="00B277CD"/>
    <w:rsid w:val="00B31B0D"/>
    <w:rsid w:val="00B40546"/>
    <w:rsid w:val="00B5128A"/>
    <w:rsid w:val="00B52860"/>
    <w:rsid w:val="00B5313A"/>
    <w:rsid w:val="00B57144"/>
    <w:rsid w:val="00B604DE"/>
    <w:rsid w:val="00B65D51"/>
    <w:rsid w:val="00B6757B"/>
    <w:rsid w:val="00B7529B"/>
    <w:rsid w:val="00B762F6"/>
    <w:rsid w:val="00B765F9"/>
    <w:rsid w:val="00B8020D"/>
    <w:rsid w:val="00B81107"/>
    <w:rsid w:val="00B81A42"/>
    <w:rsid w:val="00B83AB7"/>
    <w:rsid w:val="00BA480D"/>
    <w:rsid w:val="00BA4AD5"/>
    <w:rsid w:val="00BB4501"/>
    <w:rsid w:val="00BC0638"/>
    <w:rsid w:val="00BC0E03"/>
    <w:rsid w:val="00BC427E"/>
    <w:rsid w:val="00BC559C"/>
    <w:rsid w:val="00BD36F6"/>
    <w:rsid w:val="00BD3ABA"/>
    <w:rsid w:val="00BE13B8"/>
    <w:rsid w:val="00BF18A1"/>
    <w:rsid w:val="00BF2A34"/>
    <w:rsid w:val="00C00B6E"/>
    <w:rsid w:val="00C03AD4"/>
    <w:rsid w:val="00C058DD"/>
    <w:rsid w:val="00C12DEA"/>
    <w:rsid w:val="00C150C9"/>
    <w:rsid w:val="00C1537E"/>
    <w:rsid w:val="00C229E9"/>
    <w:rsid w:val="00C3139E"/>
    <w:rsid w:val="00C31E4B"/>
    <w:rsid w:val="00C329A2"/>
    <w:rsid w:val="00C36345"/>
    <w:rsid w:val="00C41911"/>
    <w:rsid w:val="00C42245"/>
    <w:rsid w:val="00C451FE"/>
    <w:rsid w:val="00C46C21"/>
    <w:rsid w:val="00C52608"/>
    <w:rsid w:val="00C53806"/>
    <w:rsid w:val="00C55762"/>
    <w:rsid w:val="00C578EF"/>
    <w:rsid w:val="00C57A47"/>
    <w:rsid w:val="00C753C0"/>
    <w:rsid w:val="00C92942"/>
    <w:rsid w:val="00C935C8"/>
    <w:rsid w:val="00C96CDB"/>
    <w:rsid w:val="00CA2AFF"/>
    <w:rsid w:val="00CA665D"/>
    <w:rsid w:val="00CA7D8E"/>
    <w:rsid w:val="00CB0F36"/>
    <w:rsid w:val="00CB3441"/>
    <w:rsid w:val="00CD0295"/>
    <w:rsid w:val="00CD208E"/>
    <w:rsid w:val="00CD3AA1"/>
    <w:rsid w:val="00CD3EFD"/>
    <w:rsid w:val="00CD5837"/>
    <w:rsid w:val="00CE20DD"/>
    <w:rsid w:val="00CF72FC"/>
    <w:rsid w:val="00D00326"/>
    <w:rsid w:val="00D01BFC"/>
    <w:rsid w:val="00D03276"/>
    <w:rsid w:val="00D06867"/>
    <w:rsid w:val="00D10D78"/>
    <w:rsid w:val="00D112DF"/>
    <w:rsid w:val="00D155D7"/>
    <w:rsid w:val="00D165E0"/>
    <w:rsid w:val="00D214F3"/>
    <w:rsid w:val="00D247C8"/>
    <w:rsid w:val="00D24834"/>
    <w:rsid w:val="00D24F0A"/>
    <w:rsid w:val="00D32179"/>
    <w:rsid w:val="00D33D5E"/>
    <w:rsid w:val="00D34A7E"/>
    <w:rsid w:val="00D36DA9"/>
    <w:rsid w:val="00D37D63"/>
    <w:rsid w:val="00D433E5"/>
    <w:rsid w:val="00D527CE"/>
    <w:rsid w:val="00D5347E"/>
    <w:rsid w:val="00D55AA8"/>
    <w:rsid w:val="00D57816"/>
    <w:rsid w:val="00D57A8B"/>
    <w:rsid w:val="00D75036"/>
    <w:rsid w:val="00D91426"/>
    <w:rsid w:val="00D931B1"/>
    <w:rsid w:val="00DA3C24"/>
    <w:rsid w:val="00DC3714"/>
    <w:rsid w:val="00DC4671"/>
    <w:rsid w:val="00DC76D5"/>
    <w:rsid w:val="00DD20FC"/>
    <w:rsid w:val="00DE0391"/>
    <w:rsid w:val="00DE34CB"/>
    <w:rsid w:val="00DE39C7"/>
    <w:rsid w:val="00DF60C4"/>
    <w:rsid w:val="00E015CF"/>
    <w:rsid w:val="00E02085"/>
    <w:rsid w:val="00E0316D"/>
    <w:rsid w:val="00E03375"/>
    <w:rsid w:val="00E06B4C"/>
    <w:rsid w:val="00E1131D"/>
    <w:rsid w:val="00E12118"/>
    <w:rsid w:val="00E1746A"/>
    <w:rsid w:val="00E17F95"/>
    <w:rsid w:val="00E20474"/>
    <w:rsid w:val="00E255DD"/>
    <w:rsid w:val="00E25FFD"/>
    <w:rsid w:val="00E2702B"/>
    <w:rsid w:val="00E35173"/>
    <w:rsid w:val="00E35D51"/>
    <w:rsid w:val="00E365FA"/>
    <w:rsid w:val="00E3712C"/>
    <w:rsid w:val="00E42462"/>
    <w:rsid w:val="00E50ECC"/>
    <w:rsid w:val="00E50FB6"/>
    <w:rsid w:val="00E5400C"/>
    <w:rsid w:val="00E57203"/>
    <w:rsid w:val="00E57C39"/>
    <w:rsid w:val="00E66095"/>
    <w:rsid w:val="00E70E9B"/>
    <w:rsid w:val="00E72254"/>
    <w:rsid w:val="00E72C60"/>
    <w:rsid w:val="00E72EB8"/>
    <w:rsid w:val="00E83A68"/>
    <w:rsid w:val="00E95300"/>
    <w:rsid w:val="00E97B3E"/>
    <w:rsid w:val="00EA0A1B"/>
    <w:rsid w:val="00EA185A"/>
    <w:rsid w:val="00EA4528"/>
    <w:rsid w:val="00EB22DE"/>
    <w:rsid w:val="00EC0452"/>
    <w:rsid w:val="00EC34D8"/>
    <w:rsid w:val="00EC572E"/>
    <w:rsid w:val="00EC5D71"/>
    <w:rsid w:val="00EC6DB6"/>
    <w:rsid w:val="00EC6F2F"/>
    <w:rsid w:val="00EC770F"/>
    <w:rsid w:val="00ED75CA"/>
    <w:rsid w:val="00EE02CD"/>
    <w:rsid w:val="00EF2871"/>
    <w:rsid w:val="00EF2CB7"/>
    <w:rsid w:val="00EF46B5"/>
    <w:rsid w:val="00EF56DB"/>
    <w:rsid w:val="00EF7C4A"/>
    <w:rsid w:val="00F065CD"/>
    <w:rsid w:val="00F069C1"/>
    <w:rsid w:val="00F100F1"/>
    <w:rsid w:val="00F10E66"/>
    <w:rsid w:val="00F1554E"/>
    <w:rsid w:val="00F15E32"/>
    <w:rsid w:val="00F249C6"/>
    <w:rsid w:val="00F2655B"/>
    <w:rsid w:val="00F266D7"/>
    <w:rsid w:val="00F41204"/>
    <w:rsid w:val="00F4251E"/>
    <w:rsid w:val="00F502E9"/>
    <w:rsid w:val="00F51CC7"/>
    <w:rsid w:val="00F52A95"/>
    <w:rsid w:val="00F5512C"/>
    <w:rsid w:val="00F57332"/>
    <w:rsid w:val="00F57670"/>
    <w:rsid w:val="00F57FB3"/>
    <w:rsid w:val="00F604AF"/>
    <w:rsid w:val="00F6290F"/>
    <w:rsid w:val="00F63777"/>
    <w:rsid w:val="00F71F13"/>
    <w:rsid w:val="00F7343B"/>
    <w:rsid w:val="00F82FE7"/>
    <w:rsid w:val="00F842BD"/>
    <w:rsid w:val="00F84E60"/>
    <w:rsid w:val="00F8730B"/>
    <w:rsid w:val="00F94A9F"/>
    <w:rsid w:val="00F95A68"/>
    <w:rsid w:val="00F95DBB"/>
    <w:rsid w:val="00F9694C"/>
    <w:rsid w:val="00F96F44"/>
    <w:rsid w:val="00FA2F33"/>
    <w:rsid w:val="00FA549F"/>
    <w:rsid w:val="00FA648D"/>
    <w:rsid w:val="00FB4812"/>
    <w:rsid w:val="00FC0254"/>
    <w:rsid w:val="00FC1FAD"/>
    <w:rsid w:val="00FC21FD"/>
    <w:rsid w:val="00FD43E8"/>
    <w:rsid w:val="00FD4449"/>
    <w:rsid w:val="00FD52A7"/>
    <w:rsid w:val="00FF335E"/>
    <w:rsid w:val="00FF53CF"/>
    <w:rsid w:val="00FF5D97"/>
    <w:rsid w:val="00FF7C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9B8D"/>
  <w15:docId w15:val="{9EF19ED1-6E7F-437F-853D-232A53E7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4184"/>
    <w:pPr>
      <w:tabs>
        <w:tab w:val="center" w:pos="4513"/>
        <w:tab w:val="right" w:pos="9026"/>
      </w:tabs>
      <w:spacing w:after="0" w:line="240" w:lineRule="auto"/>
    </w:pPr>
    <w:rPr>
      <w:lang w:val="en-AU"/>
    </w:rPr>
  </w:style>
  <w:style w:type="character" w:customStyle="1" w:styleId="En-tteCar">
    <w:name w:val="En-tête Car"/>
    <w:basedOn w:val="Policepardfaut"/>
    <w:link w:val="En-tte"/>
    <w:uiPriority w:val="99"/>
    <w:rsid w:val="007A4184"/>
  </w:style>
  <w:style w:type="paragraph" w:styleId="Pieddepage">
    <w:name w:val="footer"/>
    <w:basedOn w:val="Normal"/>
    <w:link w:val="PieddepageCar"/>
    <w:uiPriority w:val="99"/>
    <w:unhideWhenUsed/>
    <w:rsid w:val="007A418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A4184"/>
    <w:rPr>
      <w:lang w:val="en-GB"/>
    </w:rPr>
  </w:style>
  <w:style w:type="character" w:styleId="Marquedecommentaire">
    <w:name w:val="annotation reference"/>
    <w:basedOn w:val="Policepardfaut"/>
    <w:uiPriority w:val="99"/>
    <w:semiHidden/>
    <w:unhideWhenUsed/>
    <w:rsid w:val="006B09A3"/>
    <w:rPr>
      <w:sz w:val="16"/>
      <w:szCs w:val="16"/>
    </w:rPr>
  </w:style>
  <w:style w:type="paragraph" w:styleId="Commentaire">
    <w:name w:val="annotation text"/>
    <w:basedOn w:val="Normal"/>
    <w:link w:val="CommentaireCar"/>
    <w:uiPriority w:val="99"/>
    <w:semiHidden/>
    <w:unhideWhenUsed/>
    <w:rsid w:val="006B09A3"/>
    <w:pPr>
      <w:spacing w:line="240" w:lineRule="auto"/>
    </w:pPr>
    <w:rPr>
      <w:sz w:val="20"/>
      <w:szCs w:val="20"/>
    </w:rPr>
  </w:style>
  <w:style w:type="character" w:customStyle="1" w:styleId="CommentaireCar">
    <w:name w:val="Commentaire Car"/>
    <w:basedOn w:val="Policepardfaut"/>
    <w:link w:val="Commentaire"/>
    <w:uiPriority w:val="99"/>
    <w:semiHidden/>
    <w:rsid w:val="006B09A3"/>
    <w:rPr>
      <w:sz w:val="20"/>
      <w:szCs w:val="20"/>
      <w:lang w:val="en-GB"/>
    </w:rPr>
  </w:style>
  <w:style w:type="paragraph" w:styleId="Objetducommentaire">
    <w:name w:val="annotation subject"/>
    <w:basedOn w:val="Commentaire"/>
    <w:next w:val="Commentaire"/>
    <w:link w:val="ObjetducommentaireCar"/>
    <w:uiPriority w:val="99"/>
    <w:semiHidden/>
    <w:unhideWhenUsed/>
    <w:rsid w:val="006B09A3"/>
    <w:rPr>
      <w:b/>
      <w:bCs/>
    </w:rPr>
  </w:style>
  <w:style w:type="character" w:customStyle="1" w:styleId="ObjetducommentaireCar">
    <w:name w:val="Objet du commentaire Car"/>
    <w:basedOn w:val="CommentaireCar"/>
    <w:link w:val="Objetducommentaire"/>
    <w:uiPriority w:val="99"/>
    <w:semiHidden/>
    <w:rsid w:val="006B09A3"/>
    <w:rPr>
      <w:b/>
      <w:bCs/>
      <w:sz w:val="20"/>
      <w:szCs w:val="20"/>
      <w:lang w:val="en-GB"/>
    </w:rPr>
  </w:style>
  <w:style w:type="paragraph" w:styleId="Textedebulles">
    <w:name w:val="Balloon Text"/>
    <w:basedOn w:val="Normal"/>
    <w:link w:val="TextedebullesCar"/>
    <w:uiPriority w:val="99"/>
    <w:semiHidden/>
    <w:unhideWhenUsed/>
    <w:rsid w:val="006B09A3"/>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6B09A3"/>
    <w:rPr>
      <w:rFonts w:ascii="Arial" w:hAnsi="Arial" w:cs="Arial"/>
      <w:sz w:val="18"/>
      <w:szCs w:val="18"/>
      <w:lang w:val="en-GB"/>
    </w:rPr>
  </w:style>
  <w:style w:type="paragraph" w:styleId="Paragraphedeliste">
    <w:name w:val="List Paragraph"/>
    <w:basedOn w:val="Normal"/>
    <w:uiPriority w:val="34"/>
    <w:qFormat/>
    <w:rsid w:val="00AB7693"/>
    <w:pPr>
      <w:ind w:left="720"/>
      <w:contextualSpacing/>
    </w:pPr>
  </w:style>
  <w:style w:type="table" w:styleId="Grilledutableau">
    <w:name w:val="Table Grid"/>
    <w:basedOn w:val="TableauNormal"/>
    <w:uiPriority w:val="59"/>
    <w:rsid w:val="004103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40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745">
      <w:bodyDiv w:val="1"/>
      <w:marLeft w:val="0"/>
      <w:marRight w:val="0"/>
      <w:marTop w:val="0"/>
      <w:marBottom w:val="0"/>
      <w:divBdr>
        <w:top w:val="none" w:sz="0" w:space="0" w:color="auto"/>
        <w:left w:val="none" w:sz="0" w:space="0" w:color="auto"/>
        <w:bottom w:val="none" w:sz="0" w:space="0" w:color="auto"/>
        <w:right w:val="none" w:sz="0" w:space="0" w:color="auto"/>
      </w:divBdr>
    </w:div>
    <w:div w:id="216867239">
      <w:bodyDiv w:val="1"/>
      <w:marLeft w:val="0"/>
      <w:marRight w:val="0"/>
      <w:marTop w:val="0"/>
      <w:marBottom w:val="0"/>
      <w:divBdr>
        <w:top w:val="none" w:sz="0" w:space="0" w:color="auto"/>
        <w:left w:val="none" w:sz="0" w:space="0" w:color="auto"/>
        <w:bottom w:val="none" w:sz="0" w:space="0" w:color="auto"/>
        <w:right w:val="none" w:sz="0" w:space="0" w:color="auto"/>
      </w:divBdr>
    </w:div>
    <w:div w:id="279579990">
      <w:bodyDiv w:val="1"/>
      <w:marLeft w:val="0"/>
      <w:marRight w:val="0"/>
      <w:marTop w:val="0"/>
      <w:marBottom w:val="0"/>
      <w:divBdr>
        <w:top w:val="none" w:sz="0" w:space="0" w:color="auto"/>
        <w:left w:val="none" w:sz="0" w:space="0" w:color="auto"/>
        <w:bottom w:val="none" w:sz="0" w:space="0" w:color="auto"/>
        <w:right w:val="none" w:sz="0" w:space="0" w:color="auto"/>
      </w:divBdr>
    </w:div>
    <w:div w:id="1013074381">
      <w:bodyDiv w:val="1"/>
      <w:marLeft w:val="0"/>
      <w:marRight w:val="0"/>
      <w:marTop w:val="0"/>
      <w:marBottom w:val="0"/>
      <w:divBdr>
        <w:top w:val="none" w:sz="0" w:space="0" w:color="auto"/>
        <w:left w:val="none" w:sz="0" w:space="0" w:color="auto"/>
        <w:bottom w:val="none" w:sz="0" w:space="0" w:color="auto"/>
        <w:right w:val="none" w:sz="0" w:space="0" w:color="auto"/>
      </w:divBdr>
    </w:div>
    <w:div w:id="1241871175">
      <w:bodyDiv w:val="1"/>
      <w:marLeft w:val="0"/>
      <w:marRight w:val="0"/>
      <w:marTop w:val="0"/>
      <w:marBottom w:val="0"/>
      <w:divBdr>
        <w:top w:val="none" w:sz="0" w:space="0" w:color="auto"/>
        <w:left w:val="none" w:sz="0" w:space="0" w:color="auto"/>
        <w:bottom w:val="none" w:sz="0" w:space="0" w:color="auto"/>
        <w:right w:val="none" w:sz="0" w:space="0" w:color="auto"/>
      </w:divBdr>
    </w:div>
    <w:div w:id="1465661483">
      <w:bodyDiv w:val="1"/>
      <w:marLeft w:val="0"/>
      <w:marRight w:val="0"/>
      <w:marTop w:val="0"/>
      <w:marBottom w:val="0"/>
      <w:divBdr>
        <w:top w:val="none" w:sz="0" w:space="0" w:color="auto"/>
        <w:left w:val="none" w:sz="0" w:space="0" w:color="auto"/>
        <w:bottom w:val="none" w:sz="0" w:space="0" w:color="auto"/>
        <w:right w:val="none" w:sz="0" w:space="0" w:color="auto"/>
      </w:divBdr>
    </w:div>
    <w:div w:id="18940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39E06E7E08D44CB5459CFF35185CB6" ma:contentTypeVersion="0" ma:contentTypeDescription="Create a new document." ma:contentTypeScope="" ma:versionID="4bfab43019108c73e263beff34b67ae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F979-2FFD-40F3-BA95-6681F8495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9B823-C402-4581-BE5A-D67D06ADC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B4DED7-D4A8-4451-950D-42D283EDAC37}">
  <ds:schemaRefs>
    <ds:schemaRef ds:uri="http://schemas.microsoft.com/sharepoint/v3/contenttype/forms"/>
  </ds:schemaRefs>
</ds:datastoreItem>
</file>

<file path=customXml/itemProps4.xml><?xml version="1.0" encoding="utf-8"?>
<ds:datastoreItem xmlns:ds="http://schemas.openxmlformats.org/officeDocument/2006/customXml" ds:itemID="{537BEB5C-43B1-40ED-89E6-14526604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1334</Words>
  <Characters>7343</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Wollongong</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Zainuddin</dc:creator>
  <cp:lastModifiedBy>GURVIEZ</cp:lastModifiedBy>
  <cp:revision>4</cp:revision>
  <cp:lastPrinted>2019-09-27T14:46:00Z</cp:lastPrinted>
  <dcterms:created xsi:type="dcterms:W3CDTF">2019-06-18T13:23:00Z</dcterms:created>
  <dcterms:modified xsi:type="dcterms:W3CDTF">2019-09-27T15:19:00Z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0x0101000139E06E7E08D44CB5459CFF35185CB6</vt:lpwstr>
  </property>
</Properties>
</file>