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B1" w:rsidRPr="002362B1" w:rsidRDefault="002362B1" w:rsidP="0023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62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30/03/2018 à 11h49par </w:t>
      </w:r>
      <w:r w:rsidRPr="002362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SudOuest.fr avec AFP</w:t>
      </w:r>
      <w:r w:rsidRPr="002362B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362B1" w:rsidRPr="002362B1" w:rsidRDefault="002362B1" w:rsidP="00236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2362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  <w:t>Aromatisé, impérissable, curatif : le fromage de demain se prépare en laboratoire</w:t>
      </w:r>
    </w:p>
    <w:p w:rsidR="002362B1" w:rsidRPr="002362B1" w:rsidRDefault="002362B1" w:rsidP="002362B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2362B1">
        <w:rPr>
          <w:rFonts w:ascii="Times New Roman" w:eastAsia="Times New Roman" w:hAnsi="Times New Roman" w:cs="Times New Roman"/>
          <w:b/>
          <w:bCs/>
          <w:lang w:eastAsia="fr-FR"/>
        </w:rPr>
        <w:t>A Rennes, des chercheurs mettent au point de nouveaux procédés de production de fromage, plus rapides et moins coûteux, bien loin du standard traditionnel.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bookmarkStart w:id="0" w:name="_GoBack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Non, ce n’est pas une adaptation </w:t>
      </w:r>
      <w:hyperlink r:id="rId5" w:tgtFrame="_blank" w:history="1">
        <w:r w:rsidRPr="002362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du film "L’aile ou la cuisse"</w:t>
        </w:r>
      </w:hyperlink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mais bien la réalité. Du fromage fabriqué par assemblage de textures et de saveurs, moins cher à produire, </w:t>
      </w: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affiné en quelques jours et aromatisé en fonction des demandes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 : le fromage de demain, s’invente déjà dans un laboratoire de l’Inra. Au risque de faire hurler les amoureux de la tradition. </w:t>
      </w:r>
    </w:p>
    <w:p w:rsidR="002362B1" w:rsidRPr="002362B1" w:rsidRDefault="002362B1" w:rsidP="00236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Un fromage affiné "en trois ou quatre jours"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"Le fromage classique réclame un temps long alors qu’on peut obtenir un fromage en trois ou quatre jours avec un procédé beaucoup plus simple et de façon moins coûteuse", explique Gilles </w:t>
      </w:r>
      <w:proofErr w:type="spellStart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Garric</w:t>
      </w:r>
      <w:proofErr w:type="spellEnd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, ingénieur de recherche à l’INRA (Institut national de la recherche agronomique) à Rennes dans l’unité "Science et technologie du lait et de l’œuf" (UMR-STLO). De nombreuses innovations autour du fromage seront présentées lors de la 10e édition du "</w:t>
      </w:r>
      <w:proofErr w:type="spellStart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/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HYPERLINK "https://symposium.inra.fr/cheese2018/" \t "_blank" </w:instrTex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2362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  <w:t>Cheese</w:t>
      </w:r>
      <w:proofErr w:type="spellEnd"/>
      <w:r w:rsidRPr="002362B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  <w:t xml:space="preserve"> symposium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", qui se tient à Rennes</w:t>
      </w: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– et pour la première fois en France –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du 4 au 6 avril, avec la participation de 31 pays. Y compris ce </w:t>
      </w:r>
      <w:hyperlink r:id="rId6" w:tgtFrame="_blank" w:history="1">
        <w:r w:rsidRPr="002362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 xml:space="preserve">nouveau procédé breveté, </w:t>
        </w:r>
        <w:proofErr w:type="spellStart"/>
        <w:r w:rsidRPr="002362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From’Innov</w:t>
        </w:r>
        <w:proofErr w:type="spellEnd"/>
        <w:r w:rsidRPr="002362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 xml:space="preserve">, </w:t>
        </w:r>
      </w:hyperlink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qui permet à la fois de </w:t>
      </w: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réduire le temps d’affinage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de créer une base de "textures et de flaveurs", facilitant "l’élaboration de nouveaux fromages pour conquérir de nouveaux marchés, en France comme à l’international". </w:t>
      </w:r>
    </w:p>
    <w:p w:rsidR="002362B1" w:rsidRPr="002362B1" w:rsidRDefault="002362B1" w:rsidP="00236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Une pâte déclinable à l’infini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Grâce à ce procédé, on peut obtenir des textures allant de la pâte à tartiner </w:t>
      </w: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à celle d’un fromage à pâte pressée.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On peut ensuite "les aromatiser selon les besoins et les adapter à des marchés différents", explique-t-on à l’INRA. 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"Un assemblage à la carte", relève Gilles </w:t>
      </w:r>
      <w:proofErr w:type="spellStart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Garric</w:t>
      </w:r>
      <w:proofErr w:type="spellEnd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. "Avec le même matériel, on peut ainsi fabriquer</w:t>
      </w: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une pâte fraîche le lundi, un camembert le mardi, une pâte pressée le mercredi, 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etc… (…) On peut faire des produits assez similaires" à nos fromages actuels, assure-t-il, précisant que l’INRA est "en pourparlers avec trois industriels" sur ce projet. 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Par exemple, "le produit aura </w:t>
      </w: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l’arôme du camembert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" après y avoir introduit "des molécules de camembert produites par des micro-organismes". Le résultat donne "des produits qui se conservent très longtemps, qui sont très stables dans le temps", en partant d’une "matrice initiale, </w:t>
      </w: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un pré-fromage liquide, 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adapté aux attentes du consommateur" en matière de calcium ou autre.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Pour renforcer l’équilibre nutritionnel, des levains pré et probiotiques peuvent également être incorporés. 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"Les arômes sont produits sur des bases normales, 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ce ne sont pas des OGM. On fait du fromage avec des micro-organismes vivants que l’on met dans les meilleures conditions pour les faire produire vite", résume Gilles </w:t>
      </w:r>
      <w:proofErr w:type="spellStart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Garric</w:t>
      </w:r>
      <w:proofErr w:type="spellEnd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. </w:t>
      </w:r>
    </w:p>
    <w:p w:rsidR="002362B1" w:rsidRPr="002362B1" w:rsidRDefault="002362B1" w:rsidP="002362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Des fromages "fonctionnalisés"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7" w:history="1">
        <w:r w:rsidRPr="002362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Depuis la fin des quotas laitiers</w:t>
        </w:r>
      </w:hyperlink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avril 2015, la production laitière européenne augmente de 1,4 % par an, rappelle l’Inra. La production française, elle, a légèrement fléchi, durement frappée par </w:t>
      </w:r>
      <w:hyperlink r:id="rId8" w:history="1">
        <w:r w:rsidRPr="002362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une nouvelle crise du lait</w:t>
        </w:r>
      </w:hyperlink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mais le pays reste le deuxième producteur européen derrière l’Allemagne. 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Si les marchés nationaux sont saturés, la </w:t>
      </w:r>
      <w:hyperlink r:id="rId9" w:tgtFrame="_blank" w:history="1">
        <w:r w:rsidRPr="002362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demande mondiale de produits laitiers</w:t>
        </w:r>
      </w:hyperlink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ne cesse d’augmenter, en particulier dans les pays émergents, analyse l’Inra. D’où la nécessité pour l’Europe, si elle veut accéder à ces nouveaux marchés, de développer </w:t>
      </w: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"des fromages fonctionnalisés aux goûts adaptés aux demandes locales", 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parallèlement à une réduction des coûts de la transformation du lait pour accroître la "compétitivité sur ces marchés du grand export". 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"Les usages du fromage ont considérablement évolué", y compris en France, où "le plateau de fromage de fin de repas</w:t>
      </w: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ne représente plus que 50 % de la consommation"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note Romain </w:t>
      </w:r>
      <w:proofErr w:type="spellStart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Jeantet</w:t>
      </w:r>
      <w:proofErr w:type="spellEnd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2362B1" w:rsidRPr="002362B1" w:rsidRDefault="002362B1" w:rsidP="002362B1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"La consommation de mozzarella, le fromage le plus produit au monde, a augmenté de 20 % en France"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Pour le "</w:t>
      </w:r>
      <w:proofErr w:type="spellStart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Cheese</w:t>
      </w:r>
      <w:proofErr w:type="spellEnd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symposium", les chercheurs rennais exposeront aussi leurs études sur le développement de bactéries aux propriétés antifongiques (qui ralentissent le développement de moisissures sur des crèmes fraîches ou certains </w:t>
      </w:r>
      <w:proofErr w:type="gramStart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fromages)…</w:t>
      </w:r>
      <w:proofErr w:type="gramEnd"/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ou encore sur un emmental expérimental, prochainement testé sur l’homme après l’avoir été sur des souris, </w:t>
      </w:r>
      <w:r w:rsidRPr="002362B1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doté de propriétés anti-inflammatoires</w:t>
      </w: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permettant de soulager les maladies de l’intestin. </w:t>
      </w:r>
    </w:p>
    <w:p w:rsidR="002362B1" w:rsidRPr="002362B1" w:rsidRDefault="002362B1" w:rsidP="00236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362B1">
        <w:rPr>
          <w:rFonts w:ascii="Times New Roman" w:eastAsia="Times New Roman" w:hAnsi="Times New Roman" w:cs="Times New Roman"/>
          <w:sz w:val="20"/>
          <w:szCs w:val="20"/>
          <w:lang w:eastAsia="fr-FR"/>
        </w:rPr>
        <w:t>Mais, rappellent les chercheurs de l’Inra, tous les fromages classiques auront leur place à cette réunion, y compris les nombreux fromages français AOP.</w:t>
      </w:r>
    </w:p>
    <w:bookmarkEnd w:id="0"/>
    <w:p w:rsidR="00F70209" w:rsidRPr="002362B1" w:rsidRDefault="00F70209">
      <w:pPr>
        <w:rPr>
          <w:sz w:val="20"/>
          <w:szCs w:val="20"/>
        </w:rPr>
      </w:pPr>
    </w:p>
    <w:sectPr w:rsidR="00F70209" w:rsidRPr="002362B1" w:rsidSect="002362B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0947"/>
    <w:multiLevelType w:val="multilevel"/>
    <w:tmpl w:val="22F0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B1"/>
    <w:rsid w:val="002362B1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6DBB"/>
  <w15:chartTrackingRefBased/>
  <w15:docId w15:val="{B25BF9CC-385A-4138-8A6A-DA6A2CB7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92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ouest.fr/2016/08/30/sept-questions-pour-comprendre-la-crise-laitiere-2482885-4720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douest.fr/2015/03/31/fin-des-quotas-laitiers-les-producteurs-francais-entre-espoir-et-inquietude-1877357-472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nnes.inra.fr/Toutes-les-actualites/From-Inn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lerama.fr/cinema/films/l-aile-ou-la-cuisse,4329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ncl.coop/filiere-laitiere/produits-laitiers-un-marche-mondial-en-croiss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RENNES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Giboulot</dc:creator>
  <cp:keywords/>
  <dc:description/>
  <cp:lastModifiedBy>Anne Giboulot</cp:lastModifiedBy>
  <cp:revision>1</cp:revision>
  <dcterms:created xsi:type="dcterms:W3CDTF">2018-04-03T07:13:00Z</dcterms:created>
  <dcterms:modified xsi:type="dcterms:W3CDTF">2018-04-03T07:16:00Z</dcterms:modified>
</cp:coreProperties>
</file>