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AEEED" w14:textId="1F002CE3" w:rsidR="00F772B3" w:rsidRPr="00D1538E" w:rsidRDefault="00D1538E" w:rsidP="00D1538E">
      <w:pPr>
        <w:jc w:val="center"/>
        <w:rPr>
          <w:sz w:val="32"/>
        </w:rPr>
      </w:pPr>
      <w:r w:rsidRPr="00D1538E">
        <w:rPr>
          <w:sz w:val="32"/>
        </w:rPr>
        <w:t>Chronologie du dépôt de sédiments dans un bassin de décantation du ré</w:t>
      </w:r>
      <w:r w:rsidR="00935353">
        <w:rPr>
          <w:sz w:val="32"/>
        </w:rPr>
        <w:t>seau d’assainissement d'Orléans</w:t>
      </w:r>
    </w:p>
    <w:p w14:paraId="42852D77" w14:textId="77777777" w:rsidR="00D1538E" w:rsidRPr="00D1538E" w:rsidRDefault="00D1538E" w:rsidP="00D1538E"/>
    <w:p w14:paraId="11C7CE1B" w14:textId="154ED973" w:rsidR="00CE797D" w:rsidRPr="00CE797D" w:rsidRDefault="0075333D" w:rsidP="00CE797D">
      <w:pPr>
        <w:pStyle w:val="auteurs"/>
      </w:pPr>
      <w:r>
        <w:t>Jérémy J</w:t>
      </w:r>
      <w:r w:rsidR="004D3FE7">
        <w:t>acob</w:t>
      </w:r>
      <w:proofErr w:type="gramStart"/>
      <w:r w:rsidRPr="00CE797D">
        <w:rPr>
          <w:vertAlign w:val="superscript"/>
        </w:rPr>
        <w:t>1</w:t>
      </w:r>
      <w:r w:rsidR="00B90365" w:rsidRPr="00CE797D">
        <w:rPr>
          <w:vertAlign w:val="superscript"/>
        </w:rPr>
        <w:t>,[</w:t>
      </w:r>
      <w:proofErr w:type="gramEnd"/>
      <w:r w:rsidR="00B90365" w:rsidRPr="00CE797D">
        <w:rPr>
          <w:vertAlign w:val="superscript"/>
        </w:rPr>
        <w:t>*]</w:t>
      </w:r>
      <w:r w:rsidR="00E13AF8">
        <w:t xml:space="preserve">, </w:t>
      </w:r>
      <w:r w:rsidR="00B90365">
        <w:t>Anaëlle Simonneau</w:t>
      </w:r>
      <w:r w:rsidR="00B90365" w:rsidRPr="00CE797D">
        <w:rPr>
          <w:vertAlign w:val="superscript"/>
        </w:rPr>
        <w:t>1</w:t>
      </w:r>
      <w:r w:rsidR="00B90365">
        <w:t xml:space="preserve">, </w:t>
      </w:r>
      <w:r w:rsidR="00CE797D" w:rsidRPr="00CE797D">
        <w:t>Alexandre Thibault</w:t>
      </w:r>
      <w:r w:rsidR="00CE797D" w:rsidRPr="00CE797D">
        <w:rPr>
          <w:vertAlign w:val="superscript"/>
        </w:rPr>
        <w:t>1</w:t>
      </w:r>
      <w:r w:rsidR="00CE797D" w:rsidRPr="00CE797D">
        <w:t>, Claude Le Milbeau</w:t>
      </w:r>
      <w:r w:rsidR="00CE797D" w:rsidRPr="00CE797D">
        <w:rPr>
          <w:vertAlign w:val="superscript"/>
        </w:rPr>
        <w:t>1</w:t>
      </w:r>
      <w:r w:rsidR="00CE797D" w:rsidRPr="00CE797D">
        <w:t>, Christian Di Giovanni</w:t>
      </w:r>
      <w:r w:rsidR="00CE797D" w:rsidRPr="00CE797D">
        <w:rPr>
          <w:vertAlign w:val="superscript"/>
        </w:rPr>
        <w:t>1</w:t>
      </w:r>
      <w:r w:rsidR="00CE797D" w:rsidRPr="00CE797D">
        <w:t>, Pierre Sabatier</w:t>
      </w:r>
      <w:r w:rsidR="00CE797D" w:rsidRPr="00CE797D">
        <w:rPr>
          <w:vertAlign w:val="superscript"/>
        </w:rPr>
        <w:t>2</w:t>
      </w:r>
      <w:r w:rsidR="00CE797D" w:rsidRPr="00CE797D">
        <w:t>, Jean-Louis Reyss</w:t>
      </w:r>
      <w:r w:rsidR="00CE797D" w:rsidRPr="00CE797D">
        <w:rPr>
          <w:vertAlign w:val="superscript"/>
        </w:rPr>
        <w:t>3</w:t>
      </w:r>
      <w:r w:rsidR="00CE797D" w:rsidRPr="00CE797D">
        <w:t>, Luigi Ardito</w:t>
      </w:r>
      <w:r w:rsidR="00CE797D" w:rsidRPr="00CE797D">
        <w:rPr>
          <w:vertAlign w:val="superscript"/>
        </w:rPr>
        <w:t>4</w:t>
      </w:r>
      <w:r w:rsidR="00CE797D" w:rsidRPr="00CE797D">
        <w:t>, Cédric Morio</w:t>
      </w:r>
      <w:r w:rsidR="00CE797D" w:rsidRPr="00CE797D">
        <w:rPr>
          <w:vertAlign w:val="superscript"/>
        </w:rPr>
        <w:t>5</w:t>
      </w:r>
    </w:p>
    <w:p w14:paraId="2F24BCEB" w14:textId="77777777" w:rsidR="00F859AA" w:rsidRPr="004C7C70" w:rsidRDefault="00F859AA" w:rsidP="00F859AA">
      <w:pPr>
        <w:rPr>
          <w:rFonts w:ascii="Arial" w:hAnsi="Arial" w:cs="Arial"/>
        </w:rPr>
      </w:pPr>
    </w:p>
    <w:p w14:paraId="26E8179D" w14:textId="77777777" w:rsidR="00F9495B" w:rsidRPr="00F9495B" w:rsidRDefault="00F9495B" w:rsidP="00F9495B">
      <w:pPr>
        <w:pStyle w:val="adresses"/>
      </w:pPr>
      <w:r w:rsidRPr="00F9495B">
        <w:t>1 ISTO, UMR 7327 du CNRS/INSU, Université d’Orléans, BRGM, Orléans, France.</w:t>
      </w:r>
    </w:p>
    <w:p w14:paraId="30DEBA9A" w14:textId="77777777" w:rsidR="00F9495B" w:rsidRPr="002E7813" w:rsidRDefault="00F9495B" w:rsidP="00F9495B">
      <w:pPr>
        <w:pStyle w:val="adresses"/>
      </w:pPr>
      <w:r w:rsidRPr="00F9495B">
        <w:t>2 EDYTEM, Université Savoie Mont Blanc, CNRS, Le Bourget du Lac, France.</w:t>
      </w:r>
    </w:p>
    <w:p w14:paraId="6BA9743E" w14:textId="77777777" w:rsidR="00F9495B" w:rsidRPr="00F9495B" w:rsidDel="002D08EC" w:rsidRDefault="00F9495B" w:rsidP="00F9495B">
      <w:pPr>
        <w:pStyle w:val="adresses"/>
      </w:pPr>
      <w:r w:rsidRPr="00F9495B" w:rsidDel="002D08EC">
        <w:t>3 LSCE, Université de Versailles Saint-Quentin, CEA-CNRS, Gif-sur-Yvette, France.</w:t>
      </w:r>
    </w:p>
    <w:p w14:paraId="5EDD679B" w14:textId="77777777" w:rsidR="00F9495B" w:rsidRPr="00F9495B" w:rsidRDefault="00F9495B" w:rsidP="00F9495B">
      <w:pPr>
        <w:pStyle w:val="adresses"/>
      </w:pPr>
      <w:r w:rsidRPr="00F9495B">
        <w:t>4 Bureau de Recherches Géologiques et Minières (BRGM).</w:t>
      </w:r>
    </w:p>
    <w:p w14:paraId="6EDC9387" w14:textId="25D5C385" w:rsidR="00F9495B" w:rsidRPr="00F9495B" w:rsidRDefault="00F9495B" w:rsidP="00F9495B">
      <w:pPr>
        <w:pStyle w:val="adresses"/>
      </w:pPr>
      <w:r w:rsidRPr="00F9495B">
        <w:t xml:space="preserve">5 </w:t>
      </w:r>
      <w:proofErr w:type="spellStart"/>
      <w:r w:rsidRPr="00746307">
        <w:t>Aggl’O</w:t>
      </w:r>
      <w:proofErr w:type="spellEnd"/>
      <w:r w:rsidRPr="00746307">
        <w:t xml:space="preserve">, </w:t>
      </w:r>
      <w:r w:rsidRPr="00F9495B">
        <w:t xml:space="preserve">Direction du Cycle de l’Eau et des Réseaux d’Energie, 1, rue Jacques </w:t>
      </w:r>
      <w:proofErr w:type="spellStart"/>
      <w:r w:rsidRPr="00F9495B">
        <w:t>Dufrasnes</w:t>
      </w:r>
      <w:proofErr w:type="spellEnd"/>
      <w:r w:rsidRPr="00F9495B">
        <w:t xml:space="preserve">, </w:t>
      </w:r>
      <w:r w:rsidR="00544716">
        <w:t>45</w:t>
      </w:r>
      <w:r w:rsidRPr="00F9495B">
        <w:t>380 La Chapelle Saint Mesmin, France</w:t>
      </w:r>
    </w:p>
    <w:p w14:paraId="5529CC41" w14:textId="1B9B1A65" w:rsidR="00F859AA" w:rsidRPr="004D38BB" w:rsidRDefault="00F859AA" w:rsidP="00F859AA">
      <w:pPr>
        <w:rPr>
          <w:rFonts w:ascii="Calibri" w:hAnsi="Calibri" w:cs="Arial"/>
          <w:sz w:val="22"/>
          <w:szCs w:val="22"/>
        </w:rPr>
      </w:pPr>
      <w:r w:rsidRPr="004D38BB">
        <w:rPr>
          <w:rFonts w:ascii="Calibri" w:hAnsi="Calibri" w:cs="Arial"/>
          <w:sz w:val="22"/>
          <w:szCs w:val="22"/>
        </w:rPr>
        <w:t xml:space="preserve">[*] </w:t>
      </w:r>
      <w:r w:rsidR="002D62C0">
        <w:rPr>
          <w:rFonts w:ascii="Calibri" w:hAnsi="Calibri" w:cs="Arial"/>
          <w:sz w:val="22"/>
          <w:szCs w:val="22"/>
        </w:rPr>
        <w:t>orateur</w:t>
      </w:r>
      <w:r w:rsidR="00C41C42">
        <w:rPr>
          <w:rFonts w:ascii="Calibri" w:hAnsi="Calibri" w:cs="Arial"/>
          <w:sz w:val="22"/>
          <w:szCs w:val="22"/>
        </w:rPr>
        <w:tab/>
      </w:r>
      <w:r w:rsidR="004D38BB" w:rsidRPr="004D38BB">
        <w:rPr>
          <w:rFonts w:ascii="Calibri" w:hAnsi="Calibri"/>
          <w:sz w:val="22"/>
          <w:szCs w:val="22"/>
        </w:rPr>
        <w:t xml:space="preserve">email: </w:t>
      </w:r>
      <w:r w:rsidR="00B90365" w:rsidRPr="00B90365">
        <w:rPr>
          <w:rFonts w:ascii="Calibri" w:hAnsi="Calibri"/>
          <w:sz w:val="22"/>
          <w:szCs w:val="22"/>
        </w:rPr>
        <w:t>jeremy.jacob@cnrs-orleans.fr</w:t>
      </w:r>
    </w:p>
    <w:p w14:paraId="3F8DB45A" w14:textId="77777777" w:rsidR="00F859AA" w:rsidRPr="004C7C70" w:rsidRDefault="00F859AA"/>
    <w:p w14:paraId="72DAB512" w14:textId="20CE1850" w:rsidR="00F9495B" w:rsidRDefault="00F9495B" w:rsidP="00F9495B">
      <w:pPr>
        <w:jc w:val="both"/>
      </w:pPr>
      <w:r w:rsidRPr="009F4354">
        <w:t xml:space="preserve">Les </w:t>
      </w:r>
      <w:r>
        <w:t xml:space="preserve">débats </w:t>
      </w:r>
      <w:r w:rsidR="00544716">
        <w:t xml:space="preserve">actuels </w:t>
      </w:r>
      <w:r>
        <w:t xml:space="preserve">sur l’Anthropocène </w:t>
      </w:r>
      <w:r w:rsidR="00544716">
        <w:t>amènent</w:t>
      </w:r>
      <w:r>
        <w:t xml:space="preserve"> les </w:t>
      </w:r>
      <w:proofErr w:type="spellStart"/>
      <w:r w:rsidR="00544716">
        <w:t>sédimentologues</w:t>
      </w:r>
      <w:proofErr w:type="spellEnd"/>
      <w:r>
        <w:t xml:space="preserve"> et </w:t>
      </w:r>
      <w:proofErr w:type="spellStart"/>
      <w:r>
        <w:t>paléoenvironnementalistes</w:t>
      </w:r>
      <w:proofErr w:type="spellEnd"/>
      <w:r>
        <w:t xml:space="preserve"> vers </w:t>
      </w:r>
      <w:r w:rsidR="00544716">
        <w:t xml:space="preserve">des </w:t>
      </w:r>
      <w:r>
        <w:t>fenêtres temporelles</w:t>
      </w:r>
      <w:r w:rsidR="00544716">
        <w:t xml:space="preserve"> contemporaines et sur des territoires davantage marqués par les activités humaines</w:t>
      </w:r>
      <w:r>
        <w:t xml:space="preserve">. </w:t>
      </w:r>
      <w:r w:rsidR="00544716">
        <w:t>Parmi ceux-ci,</w:t>
      </w:r>
      <w:r>
        <w:t xml:space="preserve"> la ville </w:t>
      </w:r>
      <w:r w:rsidR="00544716">
        <w:t>est caractérisée</w:t>
      </w:r>
      <w:r>
        <w:t xml:space="preserve"> </w:t>
      </w:r>
      <w:r w:rsidR="004F7EE8">
        <w:t xml:space="preserve">par </w:t>
      </w:r>
      <w:r w:rsidR="00544716">
        <w:t>une</w:t>
      </w:r>
      <w:r>
        <w:t xml:space="preserve"> dynamique des matières, </w:t>
      </w:r>
      <w:r w:rsidR="00544716">
        <w:t>éléments,</w:t>
      </w:r>
      <w:r>
        <w:t xml:space="preserve"> et rapports isotopiques </w:t>
      </w:r>
      <w:r w:rsidR="00544716">
        <w:t>singulière</w:t>
      </w:r>
      <w:r>
        <w:t xml:space="preserve">. </w:t>
      </w:r>
      <w:r w:rsidR="00544716">
        <w:t>En considérant que les réseaux d’assainissement sont assimilables à des réseaux de drainage qui collectent les matières consommées et produites du bassin versant "ville", n</w:t>
      </w:r>
      <w:r>
        <w:t>ous proposons que les accumulations sédi</w:t>
      </w:r>
      <w:bookmarkStart w:id="0" w:name="_GoBack"/>
      <w:bookmarkEnd w:id="0"/>
      <w:r>
        <w:t>mentaires dans les réseaux d’assainissement constituent des archives intégrées</w:t>
      </w:r>
      <w:r w:rsidR="00544716">
        <w:t xml:space="preserve"> et</w:t>
      </w:r>
      <w:r>
        <w:t xml:space="preserve"> </w:t>
      </w:r>
      <w:proofErr w:type="spellStart"/>
      <w:r>
        <w:t>multi-thématiques</w:t>
      </w:r>
      <w:proofErr w:type="spellEnd"/>
      <w:r>
        <w:t xml:space="preserve"> </w:t>
      </w:r>
      <w:r w:rsidR="00544716">
        <w:t>de l’Anthropocène dans lesquelles l’empreinte anthropique est exacerbée</w:t>
      </w:r>
      <w:r>
        <w:t xml:space="preserve">. </w:t>
      </w:r>
      <w:r w:rsidR="00544716">
        <w:t xml:space="preserve">Le premier challenge dans l’étude de ces accumulations sédimentaires réside dans la datation des dépôts. </w:t>
      </w:r>
    </w:p>
    <w:p w14:paraId="7454752F" w14:textId="572C5CC9" w:rsidR="00F9495B" w:rsidRDefault="00F9495B" w:rsidP="00F9495B">
      <w:pPr>
        <w:jc w:val="both"/>
      </w:pPr>
      <w:r w:rsidRPr="00D409F5">
        <w:t xml:space="preserve">La chambre à sable d’Orléans est un </w:t>
      </w:r>
      <w:r>
        <w:t>bassin</w:t>
      </w:r>
      <w:r w:rsidRPr="00D409F5">
        <w:t xml:space="preserve"> de décantation situé en amont des stations d’épuration</w:t>
      </w:r>
      <w:r>
        <w:t>,</w:t>
      </w:r>
      <w:r w:rsidRPr="00D409F5">
        <w:t xml:space="preserve"> d’environ 17 m de profondeur</w:t>
      </w:r>
      <w:r w:rsidR="00544716">
        <w:t xml:space="preserve"> qui</w:t>
      </w:r>
      <w:r w:rsidRPr="00D409F5">
        <w:t xml:space="preserve"> draine </w:t>
      </w:r>
      <w:r>
        <w:t>la majeure partie du n</w:t>
      </w:r>
      <w:r w:rsidRPr="00D409F5">
        <w:t>ord de l’agglomération orléanaise</w:t>
      </w:r>
      <w:r>
        <w:t>,</w:t>
      </w:r>
      <w:r w:rsidRPr="00D409F5">
        <w:t xml:space="preserve"> </w:t>
      </w:r>
      <w:r>
        <w:t>à travers un réseau unitaire</w:t>
      </w:r>
      <w:r w:rsidRPr="00D409F5">
        <w:t xml:space="preserve">. </w:t>
      </w:r>
      <w:r>
        <w:t>L</w:t>
      </w:r>
      <w:r w:rsidRPr="00D409F5">
        <w:t xml:space="preserve">es </w:t>
      </w:r>
      <w:r>
        <w:t>sédiments</w:t>
      </w:r>
      <w:r w:rsidRPr="00D409F5">
        <w:t xml:space="preserve"> </w:t>
      </w:r>
      <w:r>
        <w:t xml:space="preserve">accumulés depuis 1942 n’avaient jamais été curés jusqu’à 2015. Afin de comprendre la dynamique d’accumulation des sédiments dans la chambre à sable, nous avons d’abord prélevé deux carottes sédimentaires de </w:t>
      </w:r>
      <w:r w:rsidRPr="00D409F5">
        <w:t xml:space="preserve">70 </w:t>
      </w:r>
      <w:r>
        <w:t xml:space="preserve">(A) et 250 </w:t>
      </w:r>
      <w:r w:rsidRPr="00D409F5">
        <w:t xml:space="preserve">cm </w:t>
      </w:r>
      <w:r>
        <w:t xml:space="preserve">(B) avant curage puis une carotte de 150 cm (C) prélevée près d’un an après les opérations de curage. Le sédiment est </w:t>
      </w:r>
      <w:r w:rsidR="00544716">
        <w:t>constitué</w:t>
      </w:r>
      <w:r>
        <w:t xml:space="preserve"> d’alternances de sables grossiers, de lamines à grains plus fins, et de passées très organiques</w:t>
      </w:r>
      <w:r w:rsidR="00544716">
        <w:t xml:space="preserve"> et suggère </w:t>
      </w:r>
      <w:r>
        <w:t>une mise en place événementielle</w:t>
      </w:r>
      <w:r w:rsidRPr="00D409F5">
        <w:t>.</w:t>
      </w:r>
      <w:r>
        <w:t xml:space="preserve"> </w:t>
      </w:r>
    </w:p>
    <w:p w14:paraId="56C141FF" w14:textId="0CF8DC02" w:rsidR="00F9495B" w:rsidRPr="00544716" w:rsidRDefault="00F9495B" w:rsidP="008F113F">
      <w:pPr>
        <w:jc w:val="both"/>
      </w:pPr>
      <w:r>
        <w:t>L</w:t>
      </w:r>
      <w:r w:rsidR="00544716">
        <w:t>e</w:t>
      </w:r>
      <w:r>
        <w:t xml:space="preserve"> </w:t>
      </w:r>
      <w:r w:rsidRPr="00544716">
        <w:rPr>
          <w:vertAlign w:val="superscript"/>
        </w:rPr>
        <w:t>7</w:t>
      </w:r>
      <w:r>
        <w:t xml:space="preserve">Be </w:t>
      </w:r>
      <w:r w:rsidR="00544716">
        <w:t xml:space="preserve">n’est présent que </w:t>
      </w:r>
      <w:r>
        <w:t xml:space="preserve">dans l’échantillon le plus superficiel de la carotte A. Dans la carotte C, les échantillons du faciès minéral </w:t>
      </w:r>
      <w:r w:rsidR="004439C4">
        <w:t xml:space="preserve">supérieur </w:t>
      </w:r>
      <w:r>
        <w:t xml:space="preserve">affichent des teneurs significatives en </w:t>
      </w:r>
      <w:r w:rsidRPr="00544716">
        <w:rPr>
          <w:vertAlign w:val="superscript"/>
        </w:rPr>
        <w:t>7</w:t>
      </w:r>
      <w:r>
        <w:t xml:space="preserve">Be </w:t>
      </w:r>
      <w:r w:rsidR="004439C4">
        <w:t>(</w:t>
      </w:r>
      <w:r>
        <w:t>automne-hiver</w:t>
      </w:r>
      <w:r w:rsidR="004439C4">
        <w:t>)</w:t>
      </w:r>
      <w:r>
        <w:t xml:space="preserve">, </w:t>
      </w:r>
      <w:r w:rsidR="004439C4">
        <w:t>au contraire des échantillons du</w:t>
      </w:r>
      <w:r>
        <w:t xml:space="preserve"> faciès organique </w:t>
      </w:r>
      <w:r w:rsidR="004439C4">
        <w:t>inférieur (</w:t>
      </w:r>
      <w:r>
        <w:t>printemps et l’été</w:t>
      </w:r>
      <w:r w:rsidR="004439C4">
        <w:t>)</w:t>
      </w:r>
      <w:r>
        <w:t xml:space="preserve">. Ceci </w:t>
      </w:r>
      <w:r w:rsidR="004439C4">
        <w:t>suggère une origine</w:t>
      </w:r>
      <w:r>
        <w:t xml:space="preserve"> saisonnière des alternances organiques/grossières. Les 30 datations </w:t>
      </w:r>
      <w:r w:rsidRPr="00544716">
        <w:rPr>
          <w:vertAlign w:val="superscript"/>
        </w:rPr>
        <w:t>14</w:t>
      </w:r>
      <w:r>
        <w:t xml:space="preserve">C obtenues sur les carottes A et B par la méthode </w:t>
      </w:r>
      <w:proofErr w:type="spellStart"/>
      <w:r>
        <w:t>postbomb</w:t>
      </w:r>
      <w:proofErr w:type="spellEnd"/>
      <w:r>
        <w:t xml:space="preserve"> se distribuent de manière logique avec la profondeur, les plus anciennes à 2m50 correspondant au début des années 80.</w:t>
      </w:r>
      <w:r w:rsidR="004439C4">
        <w:t xml:space="preserve"> </w:t>
      </w:r>
      <w:r>
        <w:t xml:space="preserve">Au total, ces résultats nous permettent de confirmer que les sédiments déposés dans la chambre à sable suivent une logique temporelle, rendant possible des reconstructions paléoenvironnementales en contexte fortement anthropisé, sur des gammes de temps et résolutions rarement atteintes dans des </w:t>
      </w:r>
      <w:r w:rsidR="00544716">
        <w:t>archives</w:t>
      </w:r>
      <w:r>
        <w:t xml:space="preserve"> naturel</w:t>
      </w:r>
      <w:r w:rsidR="00544716">
        <w:t>le</w:t>
      </w:r>
      <w:r>
        <w:t xml:space="preserve">s.  </w:t>
      </w:r>
    </w:p>
    <w:sectPr w:rsidR="00F9495B" w:rsidRPr="00544716" w:rsidSect="00FD09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Arial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AC4E8E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1" w15:restartNumberingAfterBreak="0">
    <w:nsid w:val="FFFFFF89"/>
    <w:multiLevelType w:val="singleLevel"/>
    <w:tmpl w:val="3B7ECBB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A"/>
    <w:rsid w:val="000628B1"/>
    <w:rsid w:val="000724E8"/>
    <w:rsid w:val="0009509D"/>
    <w:rsid w:val="000D535A"/>
    <w:rsid w:val="00164E33"/>
    <w:rsid w:val="00177334"/>
    <w:rsid w:val="001B2053"/>
    <w:rsid w:val="001C584B"/>
    <w:rsid w:val="00265E1F"/>
    <w:rsid w:val="00273675"/>
    <w:rsid w:val="00296826"/>
    <w:rsid w:val="002D3759"/>
    <w:rsid w:val="002D62C0"/>
    <w:rsid w:val="00314345"/>
    <w:rsid w:val="003B225D"/>
    <w:rsid w:val="003C7B57"/>
    <w:rsid w:val="00405DF1"/>
    <w:rsid w:val="004430D9"/>
    <w:rsid w:val="004439C4"/>
    <w:rsid w:val="004C7C70"/>
    <w:rsid w:val="004D38BB"/>
    <w:rsid w:val="004D3FE7"/>
    <w:rsid w:val="004F7EE8"/>
    <w:rsid w:val="00544716"/>
    <w:rsid w:val="005B40C5"/>
    <w:rsid w:val="005E69DD"/>
    <w:rsid w:val="006008D5"/>
    <w:rsid w:val="006132FF"/>
    <w:rsid w:val="00661F5B"/>
    <w:rsid w:val="006F4071"/>
    <w:rsid w:val="00752934"/>
    <w:rsid w:val="0075333D"/>
    <w:rsid w:val="007664F7"/>
    <w:rsid w:val="007677C5"/>
    <w:rsid w:val="007E4928"/>
    <w:rsid w:val="0086756F"/>
    <w:rsid w:val="00873393"/>
    <w:rsid w:val="00890809"/>
    <w:rsid w:val="008B29B9"/>
    <w:rsid w:val="008F113F"/>
    <w:rsid w:val="00901C04"/>
    <w:rsid w:val="00912DD3"/>
    <w:rsid w:val="00935353"/>
    <w:rsid w:val="00964258"/>
    <w:rsid w:val="00981169"/>
    <w:rsid w:val="009A3173"/>
    <w:rsid w:val="009B41DE"/>
    <w:rsid w:val="009C3E48"/>
    <w:rsid w:val="009C7730"/>
    <w:rsid w:val="009F0216"/>
    <w:rsid w:val="00A702A8"/>
    <w:rsid w:val="00AA03D9"/>
    <w:rsid w:val="00AE782E"/>
    <w:rsid w:val="00AF7FF2"/>
    <w:rsid w:val="00B246F8"/>
    <w:rsid w:val="00B87D61"/>
    <w:rsid w:val="00B90365"/>
    <w:rsid w:val="00BF1D58"/>
    <w:rsid w:val="00C05BCD"/>
    <w:rsid w:val="00C13913"/>
    <w:rsid w:val="00C21A0F"/>
    <w:rsid w:val="00C41C42"/>
    <w:rsid w:val="00CE797D"/>
    <w:rsid w:val="00D1538E"/>
    <w:rsid w:val="00D26C01"/>
    <w:rsid w:val="00D6449A"/>
    <w:rsid w:val="00D94FAF"/>
    <w:rsid w:val="00DF059D"/>
    <w:rsid w:val="00DF4BEF"/>
    <w:rsid w:val="00E13AF8"/>
    <w:rsid w:val="00E47871"/>
    <w:rsid w:val="00E7198B"/>
    <w:rsid w:val="00EA2F06"/>
    <w:rsid w:val="00F37076"/>
    <w:rsid w:val="00F4346A"/>
    <w:rsid w:val="00F772B3"/>
    <w:rsid w:val="00F859AA"/>
    <w:rsid w:val="00F9495B"/>
    <w:rsid w:val="00FD09C4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C0DA4"/>
  <w14:defaultImageDpi w14:val="300"/>
  <w15:docId w15:val="{1252884A-0054-47E2-8BAE-EBB2C27F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AA"/>
  </w:style>
  <w:style w:type="paragraph" w:styleId="Titre3">
    <w:name w:val="heading 3"/>
    <w:basedOn w:val="Normal"/>
    <w:next w:val="Normal"/>
    <w:link w:val="Titre3Car"/>
    <w:uiPriority w:val="1"/>
    <w:qFormat/>
    <w:rsid w:val="008F113F"/>
    <w:pPr>
      <w:keepNext/>
      <w:keepLines/>
      <w:spacing w:before="280" w:line="276" w:lineRule="auto"/>
      <w:outlineLvl w:val="2"/>
    </w:pPr>
    <w:rPr>
      <w:rFonts w:asciiTheme="majorHAnsi" w:eastAsiaTheme="majorEastAsia" w:hAnsiTheme="majorHAnsi" w:cstheme="majorBidi"/>
      <w:bCs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02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8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82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"/>
    <w:qFormat/>
    <w:rsid w:val="001B2053"/>
    <w:pPr>
      <w:spacing w:before="480" w:after="60"/>
      <w:contextualSpacing/>
      <w:jc w:val="center"/>
    </w:pPr>
    <w:rPr>
      <w:rFonts w:asciiTheme="majorHAnsi" w:eastAsiaTheme="majorEastAsia" w:hAnsiTheme="majorHAnsi" w:cstheme="majorBidi"/>
      <w:color w:val="4F81BD" w:themeColor="accent1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"/>
    <w:rsid w:val="001B2053"/>
    <w:rPr>
      <w:rFonts w:asciiTheme="majorHAnsi" w:eastAsiaTheme="majorEastAsia" w:hAnsiTheme="majorHAnsi" w:cstheme="majorBidi"/>
      <w:color w:val="4F81BD" w:themeColor="accent1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D6449A"/>
    <w:pPr>
      <w:numPr>
        <w:ilvl w:val="1"/>
      </w:numPr>
      <w:spacing w:after="240" w:line="276" w:lineRule="auto"/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ous-titreCar">
    <w:name w:val="Sous-titre Car"/>
    <w:basedOn w:val="Policepardfaut"/>
    <w:link w:val="Sous-titre"/>
    <w:uiPriority w:val="1"/>
    <w:rsid w:val="00D6449A"/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Titre3Car">
    <w:name w:val="Titre 3 Car"/>
    <w:basedOn w:val="Policepardfaut"/>
    <w:link w:val="Titre3"/>
    <w:uiPriority w:val="1"/>
    <w:rsid w:val="008F113F"/>
    <w:rPr>
      <w:rFonts w:asciiTheme="majorHAnsi" w:eastAsiaTheme="majorEastAsia" w:hAnsiTheme="majorHAnsi" w:cstheme="majorBidi"/>
      <w:bCs/>
      <w:color w:val="C0504D" w:themeColor="accent2"/>
    </w:rPr>
  </w:style>
  <w:style w:type="paragraph" w:styleId="Listepuces">
    <w:name w:val="List Bullet"/>
    <w:basedOn w:val="Normal"/>
    <w:uiPriority w:val="1"/>
    <w:qFormat/>
    <w:rsid w:val="008F113F"/>
    <w:pPr>
      <w:numPr>
        <w:numId w:val="1"/>
      </w:numPr>
      <w:spacing w:after="240" w:line="276" w:lineRule="auto"/>
    </w:pPr>
  </w:style>
  <w:style w:type="paragraph" w:styleId="Listenumros">
    <w:name w:val="List Number"/>
    <w:basedOn w:val="Normal"/>
    <w:uiPriority w:val="1"/>
    <w:qFormat/>
    <w:rsid w:val="008F113F"/>
    <w:pPr>
      <w:numPr>
        <w:numId w:val="2"/>
      </w:numPr>
      <w:spacing w:after="240" w:line="276" w:lineRule="auto"/>
    </w:pPr>
  </w:style>
  <w:style w:type="paragraph" w:customStyle="1" w:styleId="auteurs">
    <w:name w:val="auteurs"/>
    <w:basedOn w:val="Normal"/>
    <w:qFormat/>
    <w:rsid w:val="008F113F"/>
    <w:rPr>
      <w:rFonts w:ascii="Calibri" w:hAnsi="Calibri"/>
      <w:sz w:val="28"/>
      <w:szCs w:val="28"/>
    </w:rPr>
  </w:style>
  <w:style w:type="paragraph" w:customStyle="1" w:styleId="adresses">
    <w:name w:val="adresses"/>
    <w:basedOn w:val="Normal"/>
    <w:qFormat/>
    <w:rsid w:val="008F113F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Chronologie du dépôt de sédiments dans un bassin de décantation du réseau d’assainissement de l’Aggl’O, Orléans.</vt:lpstr>
    </vt:vector>
  </TitlesOfParts>
  <Company>LSCE CEA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Chronologie du dépôt de sédiments dans un bassin de décantation du réseau d’assainissement d'Orléans.</dc:title>
  <dc:creator>Christine Hatté</dc:creator>
  <cp:lastModifiedBy>Jérémy Jacob</cp:lastModifiedBy>
  <cp:revision>5</cp:revision>
  <dcterms:created xsi:type="dcterms:W3CDTF">2016-11-03T11:58:00Z</dcterms:created>
  <dcterms:modified xsi:type="dcterms:W3CDTF">2018-02-19T09:02:00Z</dcterms:modified>
</cp:coreProperties>
</file>