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80DD" w14:textId="77777777" w:rsidR="00633791" w:rsidRDefault="00B871FB" w:rsidP="00955AB8">
      <w:pPr>
        <w:spacing w:line="360" w:lineRule="auto"/>
        <w:jc w:val="center"/>
        <w:rPr>
          <w:b/>
          <w:sz w:val="28"/>
          <w:szCs w:val="28"/>
          <w:lang w:val="fr-FR"/>
        </w:rPr>
      </w:pPr>
      <w:bookmarkStart w:id="0" w:name="_GoBack"/>
      <w:bookmarkEnd w:id="0"/>
      <w:r>
        <w:rPr>
          <w:b/>
          <w:sz w:val="28"/>
          <w:szCs w:val="28"/>
          <w:lang w:val="fr-FR"/>
        </w:rPr>
        <w:t>Intérêt de la viande pour les personnes âgées</w:t>
      </w:r>
      <w:r w:rsidR="008B54D9">
        <w:rPr>
          <w:b/>
          <w:sz w:val="28"/>
          <w:szCs w:val="28"/>
          <w:lang w:val="fr-FR"/>
        </w:rPr>
        <w:t> :</w:t>
      </w:r>
    </w:p>
    <w:p w14:paraId="20528D55" w14:textId="77777777" w:rsidR="008B54D9" w:rsidRPr="00955AB8" w:rsidRDefault="008B54D9" w:rsidP="00955AB8">
      <w:pPr>
        <w:spacing w:line="360" w:lineRule="auto"/>
        <w:jc w:val="center"/>
        <w:rPr>
          <w:b/>
          <w:sz w:val="28"/>
          <w:szCs w:val="28"/>
          <w:lang w:val="fr-FR"/>
        </w:rPr>
      </w:pPr>
      <w:r>
        <w:rPr>
          <w:b/>
          <w:sz w:val="28"/>
          <w:szCs w:val="28"/>
          <w:lang w:val="fr-FR"/>
        </w:rPr>
        <w:t xml:space="preserve">Prévention de la malnutrition et de la </w:t>
      </w:r>
      <w:proofErr w:type="spellStart"/>
      <w:r>
        <w:rPr>
          <w:b/>
          <w:sz w:val="28"/>
          <w:szCs w:val="28"/>
          <w:lang w:val="fr-FR"/>
        </w:rPr>
        <w:t>sarcopénie</w:t>
      </w:r>
      <w:proofErr w:type="spellEnd"/>
    </w:p>
    <w:p w14:paraId="1A04B0DA" w14:textId="77777777" w:rsidR="00955AB8" w:rsidRPr="00955AB8" w:rsidRDefault="00955AB8" w:rsidP="00955AB8">
      <w:pPr>
        <w:spacing w:line="360" w:lineRule="auto"/>
        <w:jc w:val="center"/>
        <w:rPr>
          <w:i/>
          <w:lang w:val="fr-FR"/>
        </w:rPr>
      </w:pPr>
      <w:r w:rsidRPr="00955AB8">
        <w:rPr>
          <w:i/>
          <w:lang w:val="fr-FR"/>
        </w:rPr>
        <w:t xml:space="preserve">Didier </w:t>
      </w:r>
      <w:proofErr w:type="spellStart"/>
      <w:r w:rsidRPr="00955AB8">
        <w:rPr>
          <w:i/>
          <w:lang w:val="fr-FR"/>
        </w:rPr>
        <w:t>Rémond</w:t>
      </w:r>
      <w:proofErr w:type="spellEnd"/>
      <w:r w:rsidR="009A0454">
        <w:rPr>
          <w:i/>
          <w:lang w:val="fr-FR"/>
        </w:rPr>
        <w:t xml:space="preserve">, </w:t>
      </w:r>
      <w:r w:rsidR="00A06C7F">
        <w:rPr>
          <w:i/>
          <w:lang w:val="fr-FR"/>
        </w:rPr>
        <w:t xml:space="preserve">Dominique </w:t>
      </w:r>
      <w:proofErr w:type="spellStart"/>
      <w:r w:rsidR="00A06C7F">
        <w:rPr>
          <w:i/>
          <w:lang w:val="fr-FR"/>
        </w:rPr>
        <w:t>Dardevet</w:t>
      </w:r>
      <w:proofErr w:type="spellEnd"/>
      <w:r w:rsidR="00A06C7F">
        <w:rPr>
          <w:i/>
          <w:lang w:val="fr-FR"/>
        </w:rPr>
        <w:t xml:space="preserve">, Laurent </w:t>
      </w:r>
      <w:proofErr w:type="spellStart"/>
      <w:r w:rsidR="00A06C7F">
        <w:rPr>
          <w:i/>
          <w:lang w:val="fr-FR"/>
        </w:rPr>
        <w:t>Mosoni</w:t>
      </w:r>
      <w:proofErr w:type="spellEnd"/>
      <w:r w:rsidR="009A0454">
        <w:rPr>
          <w:i/>
          <w:lang w:val="fr-FR"/>
        </w:rPr>
        <w:t xml:space="preserve"> </w:t>
      </w:r>
    </w:p>
    <w:p w14:paraId="41014CCC" w14:textId="77777777" w:rsidR="00955AB8" w:rsidRDefault="00955AB8" w:rsidP="00955AB8">
      <w:pPr>
        <w:spacing w:line="360" w:lineRule="auto"/>
        <w:jc w:val="center"/>
        <w:rPr>
          <w:lang w:val="fr-FR"/>
        </w:rPr>
      </w:pPr>
      <w:r>
        <w:rPr>
          <w:lang w:val="fr-FR"/>
        </w:rPr>
        <w:t>Unité de Nutrition Humaine, UMR1019 INRA-Université d’Auvergne, 63122 St Genès-</w:t>
      </w:r>
      <w:proofErr w:type="spellStart"/>
      <w:r>
        <w:rPr>
          <w:lang w:val="fr-FR"/>
        </w:rPr>
        <w:t>Champanelle</w:t>
      </w:r>
      <w:proofErr w:type="spellEnd"/>
    </w:p>
    <w:p w14:paraId="69EC1163" w14:textId="77777777" w:rsidR="00955AB8" w:rsidRDefault="00955AB8" w:rsidP="00955AB8">
      <w:pPr>
        <w:spacing w:line="360" w:lineRule="auto"/>
        <w:rPr>
          <w:lang w:val="fr-FR"/>
        </w:rPr>
      </w:pPr>
      <w:r>
        <w:rPr>
          <w:lang w:val="fr-FR"/>
        </w:rPr>
        <w:t xml:space="preserve">Correspondance : </w:t>
      </w:r>
      <w:hyperlink r:id="rId8" w:history="1">
        <w:r w:rsidRPr="009D5E58">
          <w:rPr>
            <w:rStyle w:val="Lienhypertexte"/>
            <w:lang w:val="fr-FR"/>
          </w:rPr>
          <w:t>didier.remond@clermont.inra.fr</w:t>
        </w:r>
      </w:hyperlink>
    </w:p>
    <w:p w14:paraId="2063F6A8" w14:textId="77777777" w:rsidR="004903EA" w:rsidRDefault="0010190D" w:rsidP="00312ACF">
      <w:pPr>
        <w:spacing w:after="0" w:line="360" w:lineRule="auto"/>
        <w:rPr>
          <w:lang w:val="fr-FR"/>
        </w:rPr>
      </w:pPr>
      <w:r w:rsidRPr="0010190D">
        <w:rPr>
          <w:lang w:val="fr-FR"/>
        </w:rPr>
        <w:t xml:space="preserve">L’évolution démographique des pays occidentaux est caractérisée par un vieillissement progressif de la population et une augmentation de la longévité. </w:t>
      </w:r>
      <w:r>
        <w:rPr>
          <w:lang w:val="fr-FR"/>
        </w:rPr>
        <w:t>La</w:t>
      </w:r>
      <w:r w:rsidR="00484C11">
        <w:rPr>
          <w:lang w:val="fr-FR"/>
        </w:rPr>
        <w:t xml:space="preserve"> proportion</w:t>
      </w:r>
      <w:r>
        <w:rPr>
          <w:lang w:val="fr-FR"/>
        </w:rPr>
        <w:t xml:space="preserve"> </w:t>
      </w:r>
      <w:r w:rsidR="00484C11">
        <w:rPr>
          <w:lang w:val="fr-FR"/>
        </w:rPr>
        <w:t xml:space="preserve">de personnes </w:t>
      </w:r>
      <w:r>
        <w:rPr>
          <w:lang w:val="fr-FR"/>
        </w:rPr>
        <w:t>âgée</w:t>
      </w:r>
      <w:r w:rsidR="00EF564D">
        <w:rPr>
          <w:lang w:val="fr-FR"/>
        </w:rPr>
        <w:t>s</w:t>
      </w:r>
      <w:r>
        <w:rPr>
          <w:lang w:val="fr-FR"/>
        </w:rPr>
        <w:t xml:space="preserve"> de plus de 65 ans pourrait </w:t>
      </w:r>
      <w:r w:rsidR="006C0EAB">
        <w:rPr>
          <w:lang w:val="fr-FR"/>
        </w:rPr>
        <w:t>passer</w:t>
      </w:r>
      <w:r>
        <w:rPr>
          <w:lang w:val="fr-FR"/>
        </w:rPr>
        <w:t xml:space="preserve"> de </w:t>
      </w:r>
      <w:r w:rsidR="00513F69">
        <w:rPr>
          <w:lang w:val="fr-FR"/>
        </w:rPr>
        <w:t>18,5</w:t>
      </w:r>
      <w:r>
        <w:rPr>
          <w:lang w:val="fr-FR"/>
        </w:rPr>
        <w:t xml:space="preserve">% </w:t>
      </w:r>
      <w:r w:rsidR="00484C11">
        <w:rPr>
          <w:lang w:val="fr-FR"/>
        </w:rPr>
        <w:t xml:space="preserve">de population européenne </w:t>
      </w:r>
      <w:r w:rsidR="006C0EAB">
        <w:rPr>
          <w:lang w:val="fr-FR"/>
        </w:rPr>
        <w:t>actuellement</w:t>
      </w:r>
      <w:r w:rsidR="00484C11">
        <w:rPr>
          <w:lang w:val="fr-FR"/>
        </w:rPr>
        <w:t>,</w:t>
      </w:r>
      <w:r w:rsidR="006C0EAB">
        <w:rPr>
          <w:lang w:val="fr-FR"/>
        </w:rPr>
        <w:t xml:space="preserve"> </w:t>
      </w:r>
      <w:r>
        <w:rPr>
          <w:lang w:val="fr-FR"/>
        </w:rPr>
        <w:t>à environ 30% en 20</w:t>
      </w:r>
      <w:r w:rsidR="00513F69">
        <w:rPr>
          <w:lang w:val="fr-FR"/>
        </w:rPr>
        <w:t>8</w:t>
      </w:r>
      <w:r w:rsidR="00EF564D">
        <w:rPr>
          <w:lang w:val="fr-FR"/>
        </w:rPr>
        <w:t>0, e</w:t>
      </w:r>
      <w:r>
        <w:rPr>
          <w:lang w:val="fr-FR"/>
        </w:rPr>
        <w:t>t la population  des personnes de plus de 8</w:t>
      </w:r>
      <w:r w:rsidR="007B1835">
        <w:rPr>
          <w:lang w:val="fr-FR"/>
        </w:rPr>
        <w:t>0</w:t>
      </w:r>
      <w:r>
        <w:rPr>
          <w:lang w:val="fr-FR"/>
        </w:rPr>
        <w:t xml:space="preserve"> </w:t>
      </w:r>
      <w:proofErr w:type="gramStart"/>
      <w:r>
        <w:rPr>
          <w:lang w:val="fr-FR"/>
        </w:rPr>
        <w:t>devrait</w:t>
      </w:r>
      <w:proofErr w:type="gramEnd"/>
      <w:r>
        <w:rPr>
          <w:lang w:val="fr-FR"/>
        </w:rPr>
        <w:t xml:space="preserve"> </w:t>
      </w:r>
      <w:r w:rsidR="00513F69">
        <w:rPr>
          <w:lang w:val="fr-FR"/>
        </w:rPr>
        <w:t>plus que doubler</w:t>
      </w:r>
      <w:r>
        <w:rPr>
          <w:lang w:val="fr-FR"/>
        </w:rPr>
        <w:t xml:space="preserve"> sur la même période [1]. </w:t>
      </w:r>
      <w:r w:rsidR="004903EA">
        <w:rPr>
          <w:lang w:val="fr-FR"/>
        </w:rPr>
        <w:t>Malheureusement l’accroissement de la longévité</w:t>
      </w:r>
      <w:r w:rsidR="00737AF1">
        <w:rPr>
          <w:lang w:val="fr-FR"/>
        </w:rPr>
        <w:t xml:space="preserve"> ne s’accompagne pas d’une augmentation proportionnelle de la durée de vie en bonne santé [2].</w:t>
      </w:r>
      <w:r w:rsidR="00995200">
        <w:rPr>
          <w:lang w:val="fr-FR"/>
        </w:rPr>
        <w:t xml:space="preserve"> L</w:t>
      </w:r>
      <w:r w:rsidR="00CA13D3">
        <w:rPr>
          <w:lang w:val="fr-FR"/>
        </w:rPr>
        <w:t>a nutrition</w:t>
      </w:r>
      <w:r w:rsidR="00995200">
        <w:rPr>
          <w:lang w:val="fr-FR"/>
        </w:rPr>
        <w:t xml:space="preserve"> est un des leviers qui pourrait permettre d’améliorer l’état de santé des populations âgées</w:t>
      </w:r>
      <w:r w:rsidR="00EF564D">
        <w:rPr>
          <w:lang w:val="fr-FR"/>
        </w:rPr>
        <w:t>. P</w:t>
      </w:r>
      <w:r w:rsidR="00CA13D3">
        <w:rPr>
          <w:lang w:val="fr-FR"/>
        </w:rPr>
        <w:t>réventive</w:t>
      </w:r>
      <w:r w:rsidR="00EF564D">
        <w:rPr>
          <w:lang w:val="fr-FR"/>
        </w:rPr>
        <w:t xml:space="preserve"> si elle est appliquée dès l’âge adulte, elle peut ensuite devenir</w:t>
      </w:r>
      <w:r w:rsidR="00484C11">
        <w:rPr>
          <w:lang w:val="fr-FR"/>
        </w:rPr>
        <w:t xml:space="preserve"> </w:t>
      </w:r>
      <w:r w:rsidR="00EF564D">
        <w:rPr>
          <w:lang w:val="fr-FR"/>
        </w:rPr>
        <w:t>corrective</w:t>
      </w:r>
      <w:r w:rsidR="00484C11">
        <w:rPr>
          <w:lang w:val="fr-FR"/>
        </w:rPr>
        <w:t xml:space="preserve"> pour </w:t>
      </w:r>
      <w:r w:rsidR="00EF564D">
        <w:rPr>
          <w:lang w:val="fr-FR"/>
        </w:rPr>
        <w:t>les</w:t>
      </w:r>
      <w:r w:rsidR="00484C11">
        <w:rPr>
          <w:lang w:val="fr-FR"/>
        </w:rPr>
        <w:t xml:space="preserve"> âge</w:t>
      </w:r>
      <w:r w:rsidR="00EF564D">
        <w:rPr>
          <w:lang w:val="fr-FR"/>
        </w:rPr>
        <w:t>s</w:t>
      </w:r>
      <w:r w:rsidR="00484C11">
        <w:rPr>
          <w:lang w:val="fr-FR"/>
        </w:rPr>
        <w:t xml:space="preserve"> avancé</w:t>
      </w:r>
      <w:r w:rsidR="00EF564D">
        <w:rPr>
          <w:lang w:val="fr-FR"/>
        </w:rPr>
        <w:t>s</w:t>
      </w:r>
      <w:r w:rsidR="00484C11">
        <w:rPr>
          <w:lang w:val="fr-FR"/>
        </w:rPr>
        <w:t xml:space="preserve">, en </w:t>
      </w:r>
      <w:r w:rsidR="00EF564D">
        <w:rPr>
          <w:lang w:val="fr-FR"/>
        </w:rPr>
        <w:t>tenant compte des besoins</w:t>
      </w:r>
      <w:r w:rsidR="007718B7">
        <w:rPr>
          <w:lang w:val="fr-FR"/>
        </w:rPr>
        <w:t xml:space="preserve"> nutritionnels </w:t>
      </w:r>
      <w:r w:rsidR="00EF564D">
        <w:rPr>
          <w:lang w:val="fr-FR"/>
        </w:rPr>
        <w:t xml:space="preserve"> spécifiques de ces populations</w:t>
      </w:r>
      <w:r w:rsidR="00995200">
        <w:rPr>
          <w:lang w:val="fr-FR"/>
        </w:rPr>
        <w:t xml:space="preserve">. </w:t>
      </w:r>
    </w:p>
    <w:p w14:paraId="35FA4FE4" w14:textId="77777777" w:rsidR="00513F69" w:rsidRDefault="004903EA" w:rsidP="00312ACF">
      <w:pPr>
        <w:spacing w:after="0" w:line="360" w:lineRule="auto"/>
        <w:rPr>
          <w:lang w:val="fr-FR"/>
        </w:rPr>
      </w:pPr>
      <w:r>
        <w:rPr>
          <w:lang w:val="fr-FR"/>
        </w:rPr>
        <w:t>L</w:t>
      </w:r>
      <w:r w:rsidR="00EF564D">
        <w:rPr>
          <w:lang w:val="fr-FR"/>
        </w:rPr>
        <w:t>es problèmes de</w:t>
      </w:r>
      <w:r w:rsidR="00CA13D3">
        <w:rPr>
          <w:lang w:val="fr-FR"/>
        </w:rPr>
        <w:t xml:space="preserve"> malnutrition, mais surtout </w:t>
      </w:r>
      <w:r w:rsidR="00EF564D">
        <w:rPr>
          <w:lang w:val="fr-FR"/>
        </w:rPr>
        <w:t>de</w:t>
      </w:r>
      <w:r>
        <w:rPr>
          <w:lang w:val="fr-FR"/>
        </w:rPr>
        <w:t xml:space="preserve"> sous-nutrition, sont fréquemment observés</w:t>
      </w:r>
      <w:r w:rsidR="00CA13D3">
        <w:rPr>
          <w:lang w:val="fr-FR"/>
        </w:rPr>
        <w:t xml:space="preserve"> chez les personnes âgées</w:t>
      </w:r>
      <w:r>
        <w:rPr>
          <w:lang w:val="fr-FR"/>
        </w:rPr>
        <w:t>,</w:t>
      </w:r>
      <w:r w:rsidR="00CA13D3">
        <w:rPr>
          <w:lang w:val="fr-FR"/>
        </w:rPr>
        <w:t xml:space="preserve"> en raison d’une diminution des apports alimentaires et/ou de dérè</w:t>
      </w:r>
      <w:r>
        <w:rPr>
          <w:lang w:val="fr-FR"/>
        </w:rPr>
        <w:t xml:space="preserve">glements métaboliques. Ils </w:t>
      </w:r>
      <w:r w:rsidR="00CA13D3">
        <w:rPr>
          <w:lang w:val="fr-FR"/>
        </w:rPr>
        <w:t>s’accompagne</w:t>
      </w:r>
      <w:r>
        <w:rPr>
          <w:lang w:val="fr-FR"/>
        </w:rPr>
        <w:t>nt</w:t>
      </w:r>
      <w:r w:rsidR="00CA13D3">
        <w:rPr>
          <w:lang w:val="fr-FR"/>
        </w:rPr>
        <w:t xml:space="preserve"> </w:t>
      </w:r>
      <w:r>
        <w:rPr>
          <w:lang w:val="fr-FR"/>
        </w:rPr>
        <w:t xml:space="preserve">généralement </w:t>
      </w:r>
      <w:r w:rsidR="00CA13D3">
        <w:rPr>
          <w:lang w:val="fr-FR"/>
        </w:rPr>
        <w:t>d’une fragilisation des personnes âgées. Parmi les complications associées</w:t>
      </w:r>
      <w:r>
        <w:rPr>
          <w:lang w:val="fr-FR"/>
        </w:rPr>
        <w:t>,</w:t>
      </w:r>
      <w:r w:rsidR="00CA13D3">
        <w:rPr>
          <w:lang w:val="fr-FR"/>
        </w:rPr>
        <w:t xml:space="preserve"> l’érosion progressive de la masse musculaire (appelée </w:t>
      </w:r>
      <w:proofErr w:type="spellStart"/>
      <w:r w:rsidR="00CA13D3">
        <w:rPr>
          <w:lang w:val="fr-FR"/>
        </w:rPr>
        <w:t>sarcopénie</w:t>
      </w:r>
      <w:proofErr w:type="spellEnd"/>
      <w:r w:rsidR="00CA13D3">
        <w:rPr>
          <w:lang w:val="fr-FR"/>
        </w:rPr>
        <w:t>) va entrainer une perte progressive de mobilité</w:t>
      </w:r>
      <w:r>
        <w:rPr>
          <w:lang w:val="fr-FR"/>
        </w:rPr>
        <w:t>,</w:t>
      </w:r>
      <w:r w:rsidR="00CA13D3">
        <w:rPr>
          <w:lang w:val="fr-FR"/>
        </w:rPr>
        <w:t xml:space="preserve"> puis d’autonomie.</w:t>
      </w:r>
      <w:r w:rsidR="0080319B">
        <w:rPr>
          <w:lang w:val="fr-FR"/>
        </w:rPr>
        <w:t xml:space="preserve"> Nous nous intéresserons ici au rôle que peuvent jouer les produits carnés dans les stratégies nutritionnelles destinées à combattre la dénutrition et ralentir le développement de la </w:t>
      </w:r>
      <w:proofErr w:type="spellStart"/>
      <w:r w:rsidR="0080319B">
        <w:rPr>
          <w:lang w:val="fr-FR"/>
        </w:rPr>
        <w:t>sarcopénie</w:t>
      </w:r>
      <w:proofErr w:type="spellEnd"/>
      <w:r w:rsidR="0080319B">
        <w:rPr>
          <w:lang w:val="fr-FR"/>
        </w:rPr>
        <w:t>.</w:t>
      </w:r>
    </w:p>
    <w:p w14:paraId="5ED7B4E5" w14:textId="77777777" w:rsidR="00513F69" w:rsidRDefault="00513F69" w:rsidP="00312ACF">
      <w:pPr>
        <w:spacing w:after="0" w:line="360" w:lineRule="auto"/>
        <w:rPr>
          <w:lang w:val="fr-FR"/>
        </w:rPr>
      </w:pPr>
    </w:p>
    <w:p w14:paraId="14439195" w14:textId="77777777" w:rsidR="00995200" w:rsidRPr="00E50519" w:rsidRDefault="00995200" w:rsidP="00312ACF">
      <w:pPr>
        <w:spacing w:after="0" w:line="360" w:lineRule="auto"/>
        <w:rPr>
          <w:b/>
          <w:lang w:val="fr-FR"/>
        </w:rPr>
      </w:pPr>
      <w:r w:rsidRPr="00E50519">
        <w:rPr>
          <w:b/>
          <w:lang w:val="fr-FR"/>
        </w:rPr>
        <w:t>Malnutrition</w:t>
      </w:r>
    </w:p>
    <w:p w14:paraId="7F34B32D" w14:textId="5674B125" w:rsidR="006913A1" w:rsidRDefault="0090280E" w:rsidP="00312ACF">
      <w:pPr>
        <w:spacing w:after="0" w:line="360" w:lineRule="auto"/>
        <w:rPr>
          <w:lang w:val="fr-FR"/>
        </w:rPr>
      </w:pPr>
      <w:r>
        <w:rPr>
          <w:lang w:val="fr-FR"/>
        </w:rPr>
        <w:t>La malnutrition peut-être définie comme un déséquilibre entre les apports alimentaires des différents nutriments et les besoins de l’organisme. Pour les personnes âgées ce déséquilibre e</w:t>
      </w:r>
      <w:r w:rsidR="007718B7">
        <w:rPr>
          <w:lang w:val="fr-FR"/>
        </w:rPr>
        <w:t>s</w:t>
      </w:r>
      <w:r>
        <w:rPr>
          <w:lang w:val="fr-FR"/>
        </w:rPr>
        <w:t>t généralement</w:t>
      </w:r>
      <w:r w:rsidR="000A23EC">
        <w:rPr>
          <w:lang w:val="fr-FR"/>
        </w:rPr>
        <w:t xml:space="preserve"> lié à des apports insuffisants</w:t>
      </w:r>
      <w:r w:rsidR="004903EA">
        <w:rPr>
          <w:lang w:val="fr-FR"/>
        </w:rPr>
        <w:t>,</w:t>
      </w:r>
      <w:r w:rsidR="000A23EC">
        <w:rPr>
          <w:lang w:val="fr-FR"/>
        </w:rPr>
        <w:t xml:space="preserve"> et il a été montré qu’a</w:t>
      </w:r>
      <w:r>
        <w:rPr>
          <w:lang w:val="fr-FR"/>
        </w:rPr>
        <w:t xml:space="preserve">u-delà </w:t>
      </w:r>
      <w:r w:rsidR="000A23EC">
        <w:rPr>
          <w:lang w:val="fr-FR"/>
        </w:rPr>
        <w:t>de 65 ans la dégradation du</w:t>
      </w:r>
      <w:r>
        <w:rPr>
          <w:lang w:val="fr-FR"/>
        </w:rPr>
        <w:t xml:space="preserve"> statut</w:t>
      </w:r>
      <w:r w:rsidR="000A23EC">
        <w:rPr>
          <w:lang w:val="fr-FR"/>
        </w:rPr>
        <w:t xml:space="preserve"> nutritionnel est souvent </w:t>
      </w:r>
      <w:proofErr w:type="spellStart"/>
      <w:r w:rsidR="001E41BA">
        <w:rPr>
          <w:lang w:val="fr-FR"/>
        </w:rPr>
        <w:t>prédictrice</w:t>
      </w:r>
      <w:proofErr w:type="spellEnd"/>
      <w:r>
        <w:rPr>
          <w:lang w:val="fr-FR"/>
        </w:rPr>
        <w:t xml:space="preserve"> de </w:t>
      </w:r>
      <w:r w:rsidR="000A23EC">
        <w:rPr>
          <w:lang w:val="fr-FR"/>
        </w:rPr>
        <w:t>décès prématurés [3]</w:t>
      </w:r>
      <w:r>
        <w:rPr>
          <w:lang w:val="fr-FR"/>
        </w:rPr>
        <w:t>.</w:t>
      </w:r>
      <w:r w:rsidR="000A23EC">
        <w:rPr>
          <w:lang w:val="fr-FR"/>
        </w:rPr>
        <w:t xml:space="preserve"> </w:t>
      </w:r>
      <w:r w:rsidR="001E599C">
        <w:rPr>
          <w:lang w:val="fr-FR"/>
        </w:rPr>
        <w:t>L’origine de cette malnutrition est multifactorielle</w:t>
      </w:r>
      <w:r w:rsidR="00B65ED1">
        <w:rPr>
          <w:lang w:val="fr-FR"/>
        </w:rPr>
        <w:t xml:space="preserve"> : diminution de capacité masticatoire, syndrome de la bouche sèche, diminution des perceptions gustatives, olfactives et visuelles, altération du contrôle central de la prise alimentaire, troubles </w:t>
      </w:r>
      <w:r w:rsidR="00B65ED1">
        <w:rPr>
          <w:lang w:val="fr-FR"/>
        </w:rPr>
        <w:lastRenderedPageBreak/>
        <w:t>psychologiques (dépression, apathie, déclins cognitif …)</w:t>
      </w:r>
      <w:r w:rsidR="000F0A51">
        <w:rPr>
          <w:lang w:val="fr-FR"/>
        </w:rPr>
        <w:t>, facteurs environnementaux (</w:t>
      </w:r>
      <w:r w:rsidR="00D13EB4">
        <w:rPr>
          <w:lang w:val="fr-FR"/>
        </w:rPr>
        <w:t xml:space="preserve">pauvreté, </w:t>
      </w:r>
      <w:r w:rsidR="000F0A51">
        <w:rPr>
          <w:lang w:val="fr-FR"/>
        </w:rPr>
        <w:t>solitude, isolement social, veuvage, changement d’environnement …)</w:t>
      </w:r>
      <w:r w:rsidR="002A67E4">
        <w:rPr>
          <w:lang w:val="fr-FR"/>
        </w:rPr>
        <w:t xml:space="preserve"> [4]</w:t>
      </w:r>
      <w:r w:rsidR="000F0A51">
        <w:rPr>
          <w:lang w:val="fr-FR"/>
        </w:rPr>
        <w:t>.</w:t>
      </w:r>
      <w:r w:rsidR="009263A1">
        <w:rPr>
          <w:lang w:val="fr-FR"/>
        </w:rPr>
        <w:t xml:space="preserve"> Les études épidémiologiques sur la malnutrition chez les personnes âgées montrent </w:t>
      </w:r>
      <w:r w:rsidR="001E599C">
        <w:rPr>
          <w:lang w:val="fr-FR"/>
        </w:rPr>
        <w:t>que 5%</w:t>
      </w:r>
      <w:r w:rsidR="009263A1">
        <w:rPr>
          <w:lang w:val="fr-FR"/>
        </w:rPr>
        <w:t xml:space="preserve"> de la population </w:t>
      </w:r>
      <w:r w:rsidR="001E599C">
        <w:rPr>
          <w:lang w:val="fr-FR"/>
        </w:rPr>
        <w:t xml:space="preserve">vivant à domicile </w:t>
      </w:r>
      <w:r w:rsidR="009263A1">
        <w:rPr>
          <w:lang w:val="fr-FR"/>
        </w:rPr>
        <w:t>e</w:t>
      </w:r>
      <w:r w:rsidR="007718B7">
        <w:rPr>
          <w:lang w:val="fr-FR"/>
        </w:rPr>
        <w:t>s</w:t>
      </w:r>
      <w:r w:rsidR="009263A1">
        <w:rPr>
          <w:lang w:val="fr-FR"/>
        </w:rPr>
        <w:t>t malnutrie</w:t>
      </w:r>
      <w:r w:rsidR="001E599C">
        <w:rPr>
          <w:lang w:val="fr-FR"/>
        </w:rPr>
        <w:t>, et que la malnutrition touche plus d’1/4 des personnes âgées vivant en institution</w:t>
      </w:r>
      <w:r w:rsidR="009263A1">
        <w:rPr>
          <w:lang w:val="fr-FR"/>
        </w:rPr>
        <w:t xml:space="preserve">  [4]. Etant donné son origine multifactorielle, </w:t>
      </w:r>
      <w:r w:rsidR="006913A1">
        <w:rPr>
          <w:lang w:val="fr-FR"/>
        </w:rPr>
        <w:t>le</w:t>
      </w:r>
      <w:r w:rsidR="009263A1">
        <w:rPr>
          <w:lang w:val="fr-FR"/>
        </w:rPr>
        <w:t xml:space="preserve"> traitement </w:t>
      </w:r>
      <w:r w:rsidR="006913A1">
        <w:rPr>
          <w:lang w:val="fr-FR"/>
        </w:rPr>
        <w:t xml:space="preserve">de la malnutrition </w:t>
      </w:r>
      <w:r w:rsidR="009263A1">
        <w:rPr>
          <w:lang w:val="fr-FR"/>
        </w:rPr>
        <w:t xml:space="preserve">implique une approche </w:t>
      </w:r>
      <w:r w:rsidR="006913A1">
        <w:rPr>
          <w:lang w:val="fr-FR"/>
        </w:rPr>
        <w:t>intégrée incluant</w:t>
      </w:r>
      <w:r w:rsidR="009263A1">
        <w:rPr>
          <w:lang w:val="fr-FR"/>
        </w:rPr>
        <w:t xml:space="preserve"> les aspects économiques et sociaux, </w:t>
      </w:r>
      <w:r w:rsidR="002E52B6">
        <w:rPr>
          <w:lang w:val="fr-FR"/>
        </w:rPr>
        <w:t>mais le point central demeure</w:t>
      </w:r>
      <w:r w:rsidR="007718B7">
        <w:rPr>
          <w:lang w:val="fr-FR"/>
        </w:rPr>
        <w:t xml:space="preserve"> cependant</w:t>
      </w:r>
      <w:r w:rsidR="002E52B6">
        <w:rPr>
          <w:lang w:val="fr-FR"/>
        </w:rPr>
        <w:t xml:space="preserve"> l’intervention </w:t>
      </w:r>
      <w:r w:rsidR="006913A1">
        <w:rPr>
          <w:lang w:val="fr-FR"/>
        </w:rPr>
        <w:t>nutritionnelle</w:t>
      </w:r>
      <w:r w:rsidR="002E52B6">
        <w:rPr>
          <w:lang w:val="fr-FR"/>
        </w:rPr>
        <w:t>.</w:t>
      </w:r>
      <w:r w:rsidR="00396DA0">
        <w:rPr>
          <w:lang w:val="fr-FR"/>
        </w:rPr>
        <w:t xml:space="preserve"> </w:t>
      </w:r>
    </w:p>
    <w:p w14:paraId="23CAD271" w14:textId="042717B4" w:rsidR="0090280E" w:rsidRDefault="006913A1" w:rsidP="00312ACF">
      <w:pPr>
        <w:spacing w:after="0" w:line="360" w:lineRule="auto"/>
        <w:rPr>
          <w:lang w:val="fr-FR"/>
        </w:rPr>
      </w:pPr>
      <w:r w:rsidRPr="006913A1">
        <w:rPr>
          <w:lang w:val="fr-FR"/>
        </w:rPr>
        <w:t>Aucun des nutriments traditionnellement pris en compte pour établ</w:t>
      </w:r>
      <w:r>
        <w:rPr>
          <w:lang w:val="fr-FR"/>
        </w:rPr>
        <w:t>ir un régime équilibré</w:t>
      </w:r>
      <w:r w:rsidRPr="006913A1">
        <w:rPr>
          <w:lang w:val="fr-FR"/>
        </w:rPr>
        <w:t xml:space="preserve"> n’est spécifique de la viande.</w:t>
      </w:r>
      <w:r>
        <w:rPr>
          <w:lang w:val="fr-FR"/>
        </w:rPr>
        <w:t xml:space="preserve"> A ce titre les produits carnés ne sont pas strictement indispensables dans notre alimentation. </w:t>
      </w:r>
      <w:r w:rsidR="00DC7BEF">
        <w:rPr>
          <w:lang w:val="fr-FR"/>
        </w:rPr>
        <w:t>Cependant i</w:t>
      </w:r>
      <w:r w:rsidR="009C4863">
        <w:rPr>
          <w:lang w:val="fr-FR"/>
        </w:rPr>
        <w:t>ls présentent un potentiel intéressant dans le développement de stratégies nutritionnelles adaptées aux personnes âgées.</w:t>
      </w:r>
      <w:r w:rsidR="009C4863" w:rsidRPr="006913A1">
        <w:rPr>
          <w:lang w:val="fr-FR"/>
        </w:rPr>
        <w:t xml:space="preserve"> </w:t>
      </w:r>
      <w:r w:rsidR="00E50519">
        <w:rPr>
          <w:lang w:val="fr-FR"/>
        </w:rPr>
        <w:t>Leurs</w:t>
      </w:r>
      <w:r w:rsidR="00954B6C">
        <w:rPr>
          <w:lang w:val="fr-FR"/>
        </w:rPr>
        <w:t xml:space="preserve"> atouts nutritionnels sont essentiellement une forte teneur en protéines de bonne qualité et des teneurs élevées en minéraux</w:t>
      </w:r>
      <w:r w:rsidR="00532370">
        <w:rPr>
          <w:lang w:val="fr-FR"/>
        </w:rPr>
        <w:t xml:space="preserve"> (fer, zinc, …)</w:t>
      </w:r>
      <w:r w:rsidR="00954B6C">
        <w:rPr>
          <w:lang w:val="fr-FR"/>
        </w:rPr>
        <w:t xml:space="preserve"> et vitamines du groupe B, notamment la vitamine B12, spécifique des produits animaux.</w:t>
      </w:r>
    </w:p>
    <w:p w14:paraId="36F7EDBA" w14:textId="77777777" w:rsidR="0090280E" w:rsidRDefault="00DC7BEF" w:rsidP="00312ACF">
      <w:pPr>
        <w:spacing w:after="0" w:line="360" w:lineRule="auto"/>
        <w:rPr>
          <w:lang w:val="fr-FR"/>
        </w:rPr>
      </w:pPr>
      <w:r>
        <w:rPr>
          <w:lang w:val="fr-FR"/>
        </w:rPr>
        <w:t>La viande est avant tout une excellente source de protéine</w:t>
      </w:r>
      <w:r w:rsidR="007718B7">
        <w:rPr>
          <w:lang w:val="fr-FR"/>
        </w:rPr>
        <w:t>s</w:t>
      </w:r>
      <w:r w:rsidRPr="00DC7BEF">
        <w:rPr>
          <w:lang w:val="fr-FR"/>
        </w:rPr>
        <w:t>. Avec le poisson, ce sont les aliments frais qui en contiennent le plus.</w:t>
      </w:r>
      <w:r>
        <w:rPr>
          <w:lang w:val="fr-FR"/>
        </w:rPr>
        <w:t xml:space="preserve"> </w:t>
      </w:r>
      <w:r w:rsidRPr="00DC7BEF">
        <w:rPr>
          <w:lang w:val="fr-FR"/>
        </w:rPr>
        <w:t xml:space="preserve">De plus, ces protéines sont particulièrement riches en acides aminés indispensables avec une répartition proche de celle du besoin de l’Homme, de l’enfant à l’adulte. Cela signifie que les acides aminés indispensables de la viande peuvent être utilisés avec une très grande efficacité pour accroître ou renouveler les protéines corporelles et couvrir la plupart des besoins. En outre </w:t>
      </w:r>
      <w:r w:rsidR="004903EA">
        <w:rPr>
          <w:lang w:val="fr-FR"/>
        </w:rPr>
        <w:t>la digestion</w:t>
      </w:r>
      <w:r w:rsidRPr="00DC7BEF">
        <w:rPr>
          <w:lang w:val="fr-FR"/>
        </w:rPr>
        <w:t xml:space="preserve"> des protéines carnées mesurée au niveau iléal est très élevée </w:t>
      </w:r>
      <w:r>
        <w:rPr>
          <w:lang w:val="fr-FR"/>
        </w:rPr>
        <w:t>[5]</w:t>
      </w:r>
      <w:r w:rsidRPr="00DC7BEF">
        <w:rPr>
          <w:lang w:val="fr-FR"/>
        </w:rPr>
        <w:t>. De ce fait, la viande, comme le poisson, les produits laitiers ou l’œuf, constitue une source de protéines alimentai</w:t>
      </w:r>
      <w:r w:rsidR="004903EA">
        <w:rPr>
          <w:lang w:val="fr-FR"/>
        </w:rPr>
        <w:t>res très facilement assimilable</w:t>
      </w:r>
      <w:r w:rsidRPr="00DC7BEF">
        <w:rPr>
          <w:lang w:val="fr-FR"/>
        </w:rPr>
        <w:t xml:space="preserve"> et util</w:t>
      </w:r>
      <w:r w:rsidR="004903EA">
        <w:rPr>
          <w:lang w:val="fr-FR"/>
        </w:rPr>
        <w:t>isée</w:t>
      </w:r>
      <w:r w:rsidRPr="00DC7BEF">
        <w:rPr>
          <w:lang w:val="fr-FR"/>
        </w:rPr>
        <w:t xml:space="preserve"> avec efficacité. Des quantités relativement modérées peuvent satisfaire la quasi-totalit</w:t>
      </w:r>
      <w:r w:rsidR="0060007C">
        <w:rPr>
          <w:lang w:val="fr-FR"/>
        </w:rPr>
        <w:t>é des besoins journaliers de l’h</w:t>
      </w:r>
      <w:r w:rsidRPr="00DC7BEF">
        <w:rPr>
          <w:lang w:val="fr-FR"/>
        </w:rPr>
        <w:t>omme adulte, en protéines et en acides aminés indispensables. De plus, les teneurs des viandes en certains acides aminés comme la lysine ou l’histidine qui sont plutôt supérieures à ce qui est nécessaire, permettent de rééquilibrer des régimes à base d’aliments moins bien pourvus en ces composés comme les céréales. Dans ce cas aussi, une faible quantit</w:t>
      </w:r>
      <w:r w:rsidR="0060007C">
        <w:rPr>
          <w:lang w:val="fr-FR"/>
        </w:rPr>
        <w:t>é de viande</w:t>
      </w:r>
      <w:r w:rsidRPr="00DC7BEF">
        <w:rPr>
          <w:lang w:val="fr-FR"/>
        </w:rPr>
        <w:t xml:space="preserve"> peut permettre de bonifier des protéines végétales dont l’équilibre en acides aminés est moins favorable.</w:t>
      </w:r>
      <w:r w:rsidR="004E7150">
        <w:rPr>
          <w:lang w:val="fr-FR"/>
        </w:rPr>
        <w:t xml:space="preserve"> </w:t>
      </w:r>
      <w:r w:rsidR="000B0554">
        <w:rPr>
          <w:lang w:val="fr-FR"/>
        </w:rPr>
        <w:t>Contrairement à des idées reçues</w:t>
      </w:r>
      <w:r w:rsidR="007718B7">
        <w:rPr>
          <w:lang w:val="fr-FR"/>
        </w:rPr>
        <w:t>,</w:t>
      </w:r>
      <w:r w:rsidR="000B0554">
        <w:rPr>
          <w:lang w:val="fr-FR"/>
        </w:rPr>
        <w:t xml:space="preserve"> le besoin en protéines ne diminue pas chez les personnes âgées, pour lesquels l’apport protéique optimal tend plutôt à augmenter</w:t>
      </w:r>
      <w:r w:rsidR="002940D7">
        <w:rPr>
          <w:lang w:val="fr-FR"/>
        </w:rPr>
        <w:t xml:space="preserve"> [6]</w:t>
      </w:r>
      <w:r w:rsidR="000B0554">
        <w:rPr>
          <w:lang w:val="fr-FR"/>
        </w:rPr>
        <w:t xml:space="preserve">. </w:t>
      </w:r>
      <w:r w:rsidR="004E7150">
        <w:rPr>
          <w:lang w:val="fr-FR"/>
        </w:rPr>
        <w:t>Le maintien de produits carnés dans l’alimentation des séniors est ainsi la garantie d’une bonne couverture des besoins de chacun des acides aminés indispensables.</w:t>
      </w:r>
    </w:p>
    <w:p w14:paraId="6067C6A5" w14:textId="77777777" w:rsidR="00DC7BEF" w:rsidRDefault="004E7150" w:rsidP="00312ACF">
      <w:pPr>
        <w:spacing w:after="0" w:line="360" w:lineRule="auto"/>
        <w:rPr>
          <w:lang w:val="fr-FR"/>
        </w:rPr>
      </w:pPr>
      <w:r>
        <w:rPr>
          <w:lang w:val="fr-FR"/>
        </w:rPr>
        <w:t>Le</w:t>
      </w:r>
      <w:r w:rsidR="008A39AA">
        <w:rPr>
          <w:lang w:val="fr-FR"/>
        </w:rPr>
        <w:t>s</w:t>
      </w:r>
      <w:r>
        <w:rPr>
          <w:lang w:val="fr-FR"/>
        </w:rPr>
        <w:t xml:space="preserve"> carences en vitamine B12 concernent environ 15% de la population des personnes </w:t>
      </w:r>
      <w:r w:rsidR="002940D7">
        <w:rPr>
          <w:lang w:val="fr-FR"/>
        </w:rPr>
        <w:t>âgées [7</w:t>
      </w:r>
      <w:r>
        <w:rPr>
          <w:lang w:val="fr-FR"/>
        </w:rPr>
        <w:t>]</w:t>
      </w:r>
      <w:r w:rsidR="0060007C">
        <w:rPr>
          <w:lang w:val="fr-FR"/>
        </w:rPr>
        <w:t>. Elles p</w:t>
      </w:r>
      <w:r w:rsidR="008A39AA">
        <w:rPr>
          <w:lang w:val="fr-FR"/>
        </w:rPr>
        <w:t xml:space="preserve">euvent s’expliquer par des altérations des mécanismes d’absorption de cette vitamine, mais aussi par </w:t>
      </w:r>
      <w:r w:rsidR="008A39AA">
        <w:rPr>
          <w:lang w:val="fr-FR"/>
        </w:rPr>
        <w:lastRenderedPageBreak/>
        <w:t xml:space="preserve">des apports insuffisants. La </w:t>
      </w:r>
      <w:r w:rsidR="00C56A4D">
        <w:rPr>
          <w:lang w:val="fr-FR"/>
        </w:rPr>
        <w:t>viande</w:t>
      </w:r>
      <w:r w:rsidR="008A39AA">
        <w:rPr>
          <w:lang w:val="fr-FR"/>
        </w:rPr>
        <w:t xml:space="preserve">, </w:t>
      </w:r>
      <w:r w:rsidR="00C56A4D">
        <w:rPr>
          <w:lang w:val="fr-FR"/>
        </w:rPr>
        <w:t xml:space="preserve">et plus particulièrement la viande de ruminants, </w:t>
      </w:r>
      <w:r w:rsidR="008A39AA">
        <w:rPr>
          <w:lang w:val="fr-FR"/>
        </w:rPr>
        <w:t xml:space="preserve">souvent écartée par les personnes âgées, constitue </w:t>
      </w:r>
      <w:r w:rsidR="00C56A4D">
        <w:rPr>
          <w:lang w:val="fr-FR"/>
        </w:rPr>
        <w:t xml:space="preserve">pourtant </w:t>
      </w:r>
      <w:r w:rsidR="008A39AA">
        <w:rPr>
          <w:lang w:val="fr-FR"/>
        </w:rPr>
        <w:t xml:space="preserve">un excellent </w:t>
      </w:r>
      <w:r w:rsidR="00C56A4D">
        <w:rPr>
          <w:lang w:val="fr-FR"/>
        </w:rPr>
        <w:t>vecteur</w:t>
      </w:r>
      <w:r w:rsidR="008A39AA">
        <w:rPr>
          <w:lang w:val="fr-FR"/>
        </w:rPr>
        <w:t xml:space="preserve"> de vitamine B12.</w:t>
      </w:r>
    </w:p>
    <w:p w14:paraId="083C8C20" w14:textId="2B665DAD" w:rsidR="00C56A4D" w:rsidRDefault="00C56A4D" w:rsidP="00312ACF">
      <w:pPr>
        <w:spacing w:after="0" w:line="360" w:lineRule="auto"/>
        <w:rPr>
          <w:lang w:val="fr-FR"/>
        </w:rPr>
      </w:pPr>
      <w:r>
        <w:rPr>
          <w:lang w:val="fr-FR"/>
        </w:rPr>
        <w:t xml:space="preserve">Principalement sous forme </w:t>
      </w:r>
      <w:proofErr w:type="spellStart"/>
      <w:r>
        <w:rPr>
          <w:lang w:val="fr-FR"/>
        </w:rPr>
        <w:t>héminique</w:t>
      </w:r>
      <w:proofErr w:type="spellEnd"/>
      <w:r>
        <w:rPr>
          <w:lang w:val="fr-FR"/>
        </w:rPr>
        <w:t>, le fer de la viande présente une biodisponibilité supérieure à celui des végétaux. De plus s</w:t>
      </w:r>
      <w:r w:rsidR="007718B7">
        <w:rPr>
          <w:lang w:val="fr-FR"/>
        </w:rPr>
        <w:t>a</w:t>
      </w:r>
      <w:r>
        <w:rPr>
          <w:lang w:val="fr-FR"/>
        </w:rPr>
        <w:t xml:space="preserve"> présence permet d’améliorer la </w:t>
      </w:r>
      <w:r w:rsidR="0054742C">
        <w:rPr>
          <w:lang w:val="fr-FR"/>
        </w:rPr>
        <w:t>biodisponibilité</w:t>
      </w:r>
      <w:r>
        <w:rPr>
          <w:lang w:val="fr-FR"/>
        </w:rPr>
        <w:t xml:space="preserve"> du fer non-</w:t>
      </w:r>
      <w:proofErr w:type="spellStart"/>
      <w:r>
        <w:rPr>
          <w:lang w:val="fr-FR"/>
        </w:rPr>
        <w:t>héminique</w:t>
      </w:r>
      <w:proofErr w:type="spellEnd"/>
      <w:r>
        <w:rPr>
          <w:lang w:val="fr-FR"/>
        </w:rPr>
        <w:t xml:space="preserve">. Aussi les populations végétariennes sont généralement caractérisées par un moins bon statut </w:t>
      </w:r>
      <w:r w:rsidRPr="001E599C">
        <w:rPr>
          <w:lang w:val="fr-FR"/>
        </w:rPr>
        <w:t>martial</w:t>
      </w:r>
      <w:r>
        <w:rPr>
          <w:lang w:val="fr-FR"/>
        </w:rPr>
        <w:t xml:space="preserve"> que </w:t>
      </w:r>
      <w:r w:rsidR="00AD368C">
        <w:rPr>
          <w:lang w:val="fr-FR"/>
        </w:rPr>
        <w:t>les omnivores</w:t>
      </w:r>
      <w:r>
        <w:rPr>
          <w:lang w:val="fr-FR"/>
        </w:rPr>
        <w:t>.</w:t>
      </w:r>
      <w:r w:rsidR="00AD368C">
        <w:rPr>
          <w:lang w:val="fr-FR"/>
        </w:rPr>
        <w:t xml:space="preserve"> En apportant fer et vitamine B12</w:t>
      </w:r>
      <w:r w:rsidR="0060007C">
        <w:rPr>
          <w:lang w:val="fr-FR"/>
        </w:rPr>
        <w:t>,</w:t>
      </w:r>
      <w:r w:rsidR="00AD368C">
        <w:rPr>
          <w:lang w:val="fr-FR"/>
        </w:rPr>
        <w:t xml:space="preserve"> la viande permet de réduire les risques d’anémie, trouble souvent observé chez les personnes âgées</w:t>
      </w:r>
      <w:r w:rsidR="0060007C">
        <w:rPr>
          <w:lang w:val="fr-FR"/>
        </w:rPr>
        <w:t>,</w:t>
      </w:r>
      <w:r w:rsidR="00AD368C">
        <w:rPr>
          <w:lang w:val="fr-FR"/>
        </w:rPr>
        <w:t xml:space="preserve"> et qui est positivement associé au risque de décès</w:t>
      </w:r>
      <w:r w:rsidR="00466D96">
        <w:rPr>
          <w:lang w:val="fr-FR"/>
        </w:rPr>
        <w:t xml:space="preserve"> </w:t>
      </w:r>
      <w:r w:rsidR="002940D7">
        <w:rPr>
          <w:lang w:val="fr-FR"/>
        </w:rPr>
        <w:t>[8</w:t>
      </w:r>
      <w:r w:rsidR="00466D96">
        <w:rPr>
          <w:lang w:val="fr-FR"/>
        </w:rPr>
        <w:t>]</w:t>
      </w:r>
      <w:r w:rsidR="00AD368C">
        <w:rPr>
          <w:lang w:val="fr-FR"/>
        </w:rPr>
        <w:t>.</w:t>
      </w:r>
    </w:p>
    <w:p w14:paraId="15D8557C" w14:textId="77777777" w:rsidR="0090280E" w:rsidRDefault="0090280E" w:rsidP="00312ACF">
      <w:pPr>
        <w:spacing w:after="0" w:line="360" w:lineRule="auto"/>
        <w:rPr>
          <w:lang w:val="fr-FR"/>
        </w:rPr>
      </w:pPr>
    </w:p>
    <w:p w14:paraId="27542FD2" w14:textId="77777777" w:rsidR="00513F69" w:rsidRPr="003A4C62" w:rsidRDefault="00995200" w:rsidP="00312ACF">
      <w:pPr>
        <w:spacing w:after="0" w:line="360" w:lineRule="auto"/>
        <w:rPr>
          <w:b/>
          <w:lang w:val="fr-FR"/>
        </w:rPr>
      </w:pPr>
      <w:proofErr w:type="spellStart"/>
      <w:r w:rsidRPr="003A4C62">
        <w:rPr>
          <w:b/>
          <w:lang w:val="fr-FR"/>
        </w:rPr>
        <w:t>Sarcopénie</w:t>
      </w:r>
      <w:proofErr w:type="spellEnd"/>
    </w:p>
    <w:p w14:paraId="63BB407C" w14:textId="68086905" w:rsidR="003171BF" w:rsidRDefault="003171BF" w:rsidP="00312ACF">
      <w:pPr>
        <w:spacing w:after="0" w:line="360" w:lineRule="auto"/>
        <w:rPr>
          <w:lang w:val="fr-FR"/>
        </w:rPr>
      </w:pPr>
      <w:r w:rsidRPr="0010190D">
        <w:rPr>
          <w:lang w:val="fr-FR"/>
        </w:rPr>
        <w:t>Le déclin progressif de la masse musculaire (</w:t>
      </w:r>
      <w:proofErr w:type="spellStart"/>
      <w:r w:rsidRPr="0010190D">
        <w:rPr>
          <w:lang w:val="fr-FR"/>
        </w:rPr>
        <w:t>sarcopénie</w:t>
      </w:r>
      <w:proofErr w:type="spellEnd"/>
      <w:r w:rsidRPr="0010190D">
        <w:rPr>
          <w:lang w:val="fr-FR"/>
        </w:rPr>
        <w:t xml:space="preserve">) est une des caractéristiques majeures du vieillissement. Elle s’accompagne généralement d’une altération de la fonction musculaire. Cette diminution de la masse musculaire est un processus physiologique inévitable qui survient même chez les sujets âgés en bonne santé, et qui peut avoir des conséquences graves puisqu’il existe une relation entre la </w:t>
      </w:r>
      <w:proofErr w:type="spellStart"/>
      <w:r w:rsidRPr="0010190D">
        <w:rPr>
          <w:lang w:val="fr-FR"/>
        </w:rPr>
        <w:t>sarcopénie</w:t>
      </w:r>
      <w:proofErr w:type="spellEnd"/>
      <w:r w:rsidRPr="0010190D">
        <w:rPr>
          <w:lang w:val="fr-FR"/>
        </w:rPr>
        <w:t>, et la perte d’indépendance, la survenue d’événements indésirables tels que chutes et fractures, et la moins bonne résistance aux ag</w:t>
      </w:r>
      <w:r w:rsidR="00532370">
        <w:rPr>
          <w:lang w:val="fr-FR"/>
        </w:rPr>
        <w:t>ressions d’ordre nutritionnel, infectieux</w:t>
      </w:r>
      <w:r w:rsidRPr="0010190D">
        <w:rPr>
          <w:lang w:val="fr-FR"/>
        </w:rPr>
        <w:t xml:space="preserve"> ou trauma</w:t>
      </w:r>
      <w:r w:rsidR="00532370">
        <w:rPr>
          <w:lang w:val="fr-FR"/>
        </w:rPr>
        <w:t>tique</w:t>
      </w:r>
      <w:r w:rsidRPr="0010190D">
        <w:rPr>
          <w:lang w:val="fr-FR"/>
        </w:rPr>
        <w:t xml:space="preserve"> (le muscle pouvant servir de réservoir d’acides </w:t>
      </w:r>
      <w:r w:rsidR="00F722A9">
        <w:rPr>
          <w:lang w:val="fr-FR"/>
        </w:rPr>
        <w:t>aminés dans ces situations). Aus</w:t>
      </w:r>
      <w:r w:rsidRPr="0010190D">
        <w:rPr>
          <w:lang w:val="fr-FR"/>
        </w:rPr>
        <w:t xml:space="preserve">si la </w:t>
      </w:r>
      <w:proofErr w:type="spellStart"/>
      <w:r w:rsidRPr="0010190D">
        <w:rPr>
          <w:lang w:val="fr-FR"/>
        </w:rPr>
        <w:t>sarcopénie</w:t>
      </w:r>
      <w:proofErr w:type="spellEnd"/>
      <w:r w:rsidRPr="0010190D">
        <w:rPr>
          <w:lang w:val="fr-FR"/>
        </w:rPr>
        <w:t xml:space="preserve"> est considérée comme un facteur d’accélération du vieillissement. </w:t>
      </w:r>
    </w:p>
    <w:p w14:paraId="21A5D3E7" w14:textId="3CECEB69" w:rsidR="00F722A9" w:rsidRDefault="00F722A9" w:rsidP="00312ACF">
      <w:pPr>
        <w:spacing w:after="0" w:line="360" w:lineRule="auto"/>
        <w:rPr>
          <w:lang w:val="fr-FR"/>
        </w:rPr>
      </w:pPr>
      <w:r>
        <w:rPr>
          <w:lang w:val="fr-FR"/>
        </w:rPr>
        <w:t xml:space="preserve">Selon les études, la prévalence de la </w:t>
      </w:r>
      <w:proofErr w:type="spellStart"/>
      <w:r>
        <w:rPr>
          <w:lang w:val="fr-FR"/>
        </w:rPr>
        <w:t>sarcopénie</w:t>
      </w:r>
      <w:proofErr w:type="spellEnd"/>
      <w:r>
        <w:rPr>
          <w:lang w:val="fr-FR"/>
        </w:rPr>
        <w:t xml:space="preserve">  au-delà de 60 ans est de 1-29% chez les personnes vivant </w:t>
      </w:r>
      <w:r w:rsidR="00C2081D">
        <w:rPr>
          <w:lang w:val="fr-FR"/>
        </w:rPr>
        <w:t>à domicile</w:t>
      </w:r>
      <w:r>
        <w:rPr>
          <w:lang w:val="fr-FR"/>
        </w:rPr>
        <w:t xml:space="preserve"> et de 14-33% chez les personnes vivant dans des </w:t>
      </w:r>
      <w:r w:rsidR="007D4649">
        <w:rPr>
          <w:lang w:val="fr-FR"/>
        </w:rPr>
        <w:t>unités</w:t>
      </w:r>
      <w:r>
        <w:rPr>
          <w:lang w:val="fr-FR"/>
        </w:rPr>
        <w:t xml:space="preserve"> de soins de longue durée [</w:t>
      </w:r>
      <w:r w:rsidR="00B31267">
        <w:rPr>
          <w:lang w:val="fr-FR"/>
        </w:rPr>
        <w:t>9</w:t>
      </w:r>
      <w:r>
        <w:rPr>
          <w:lang w:val="fr-FR"/>
        </w:rPr>
        <w:t>].</w:t>
      </w:r>
    </w:p>
    <w:p w14:paraId="71BF0C3F" w14:textId="203DD3CF" w:rsidR="00995200" w:rsidRDefault="007D4649" w:rsidP="00312ACF">
      <w:pPr>
        <w:spacing w:after="0" w:line="360" w:lineRule="auto"/>
        <w:rPr>
          <w:lang w:val="fr-FR"/>
        </w:rPr>
      </w:pPr>
      <w:r w:rsidRPr="007D4649">
        <w:rPr>
          <w:lang w:val="fr-FR"/>
        </w:rPr>
        <w:t xml:space="preserve">Les mécanismes impliqués dans le développement de la </w:t>
      </w:r>
      <w:proofErr w:type="spellStart"/>
      <w:r w:rsidRPr="007D4649">
        <w:rPr>
          <w:lang w:val="fr-FR"/>
        </w:rPr>
        <w:t>sarcopénie</w:t>
      </w:r>
      <w:proofErr w:type="spellEnd"/>
      <w:r w:rsidRPr="007D4649">
        <w:rPr>
          <w:lang w:val="fr-FR"/>
        </w:rPr>
        <w:t xml:space="preserve"> so</w:t>
      </w:r>
      <w:r w:rsidR="0060007C">
        <w:rPr>
          <w:lang w:val="fr-FR"/>
        </w:rPr>
        <w:t>nt multiples</w:t>
      </w:r>
      <w:r w:rsidRPr="007D4649">
        <w:rPr>
          <w:lang w:val="fr-FR"/>
        </w:rPr>
        <w:t>, mais ont tous pour conséquence un déséquilibre entre la synthèse et la dégradation des protéine</w:t>
      </w:r>
      <w:r>
        <w:rPr>
          <w:lang w:val="fr-FR"/>
        </w:rPr>
        <w:t>s musculaires</w:t>
      </w:r>
      <w:r w:rsidRPr="007D4649">
        <w:rPr>
          <w:lang w:val="fr-FR"/>
        </w:rPr>
        <w:t>. Ce déséquilibre peut en partie s’expliquer par une diminution de la réponse anabolique liée à la prise ali</w:t>
      </w:r>
      <w:r>
        <w:rPr>
          <w:lang w:val="fr-FR"/>
        </w:rPr>
        <w:t xml:space="preserve">mentaire. En effet, </w:t>
      </w:r>
      <w:r w:rsidRPr="007D4649">
        <w:rPr>
          <w:lang w:val="fr-FR"/>
        </w:rPr>
        <w:t xml:space="preserve">chez les sujets âgés, l’installation </w:t>
      </w:r>
      <w:r w:rsidR="00C2081D" w:rsidRPr="007D4649">
        <w:rPr>
          <w:lang w:val="fr-FR"/>
        </w:rPr>
        <w:t>d</w:t>
      </w:r>
      <w:r w:rsidR="00C2081D">
        <w:rPr>
          <w:lang w:val="fr-FR"/>
        </w:rPr>
        <w:t>e cette</w:t>
      </w:r>
      <w:r w:rsidR="00C2081D" w:rsidRPr="007D4649">
        <w:rPr>
          <w:lang w:val="fr-FR"/>
        </w:rPr>
        <w:t xml:space="preserve"> </w:t>
      </w:r>
      <w:r w:rsidRPr="007D4649">
        <w:rPr>
          <w:lang w:val="fr-FR"/>
        </w:rPr>
        <w:t>‘résistance anabolique’ aux effets des nutriments et hormones se traduit par une élévation du seuil de stimulation de l’anabolisme protéique musculair</w:t>
      </w:r>
      <w:r w:rsidR="00D10BBD">
        <w:rPr>
          <w:lang w:val="fr-FR"/>
        </w:rPr>
        <w:t>e</w:t>
      </w:r>
      <w:r w:rsidR="00B31267">
        <w:rPr>
          <w:lang w:val="fr-FR"/>
        </w:rPr>
        <w:t xml:space="preserve"> [10]</w:t>
      </w:r>
      <w:r w:rsidR="00D10BBD">
        <w:rPr>
          <w:lang w:val="fr-FR"/>
        </w:rPr>
        <w:t>. L</w:t>
      </w:r>
      <w:r w:rsidRPr="007D4649">
        <w:rPr>
          <w:lang w:val="fr-FR"/>
        </w:rPr>
        <w:t xml:space="preserve">a synthèse protéique demeure </w:t>
      </w:r>
      <w:r w:rsidR="00D10BBD">
        <w:rPr>
          <w:lang w:val="fr-FR"/>
        </w:rPr>
        <w:t xml:space="preserve">cependant </w:t>
      </w:r>
      <w:r w:rsidRPr="007D4649">
        <w:rPr>
          <w:lang w:val="fr-FR"/>
        </w:rPr>
        <w:t xml:space="preserve">stimulable mais avec un apport supérieur en stimuli. Pour retrouver, ou du moins améliorer l’anabolisme musculaire postprandial chez la personne âgée, </w:t>
      </w:r>
      <w:r w:rsidR="0054742C">
        <w:rPr>
          <w:lang w:val="fr-FR"/>
        </w:rPr>
        <w:t>l</w:t>
      </w:r>
      <w:r>
        <w:rPr>
          <w:lang w:val="fr-FR"/>
        </w:rPr>
        <w:t xml:space="preserve">es stratégies nutritionnelles </w:t>
      </w:r>
      <w:r w:rsidR="0054742C">
        <w:rPr>
          <w:lang w:val="fr-FR"/>
        </w:rPr>
        <w:t>développées vont donc consister à</w:t>
      </w:r>
      <w:r w:rsidRPr="007D4649">
        <w:rPr>
          <w:lang w:val="fr-FR"/>
        </w:rPr>
        <w:t xml:space="preserve"> optimiser la cinétique d’appa</w:t>
      </w:r>
      <w:r>
        <w:rPr>
          <w:lang w:val="fr-FR"/>
        </w:rPr>
        <w:t>rition des acides aminés lors des</w:t>
      </w:r>
      <w:r w:rsidRPr="007D4649">
        <w:rPr>
          <w:lang w:val="fr-FR"/>
        </w:rPr>
        <w:t xml:space="preserve"> repas, de façon à dépasser le seuil de stimulation. Pour </w:t>
      </w:r>
      <w:r w:rsidR="0054742C">
        <w:rPr>
          <w:lang w:val="fr-FR"/>
        </w:rPr>
        <w:t xml:space="preserve">cela </w:t>
      </w:r>
      <w:r w:rsidR="001F069F">
        <w:rPr>
          <w:lang w:val="fr-FR"/>
        </w:rPr>
        <w:t>il est recommandé d’</w:t>
      </w:r>
      <w:r w:rsidR="0054742C">
        <w:rPr>
          <w:lang w:val="fr-FR"/>
        </w:rPr>
        <w:t xml:space="preserve">assurer un apport minimum de 25-30g </w:t>
      </w:r>
      <w:r w:rsidR="001F069F">
        <w:rPr>
          <w:lang w:val="fr-FR"/>
        </w:rPr>
        <w:t>de protéines p</w:t>
      </w:r>
      <w:r w:rsidR="0060007C">
        <w:rPr>
          <w:lang w:val="fr-FR"/>
        </w:rPr>
        <w:t>ar repas [11]</w:t>
      </w:r>
      <w:r w:rsidR="001F069F">
        <w:rPr>
          <w:lang w:val="fr-FR"/>
        </w:rPr>
        <w:t xml:space="preserve"> et</w:t>
      </w:r>
      <w:r w:rsidRPr="007D4649">
        <w:rPr>
          <w:lang w:val="fr-FR"/>
        </w:rPr>
        <w:t xml:space="preserve"> </w:t>
      </w:r>
      <w:r w:rsidR="001F069F">
        <w:rPr>
          <w:lang w:val="fr-FR"/>
        </w:rPr>
        <w:t>de préférer</w:t>
      </w:r>
      <w:r w:rsidRPr="007D4649">
        <w:rPr>
          <w:lang w:val="fr-FR"/>
        </w:rPr>
        <w:t xml:space="preserve"> des protéines rapidement digérées</w:t>
      </w:r>
      <w:r w:rsidR="001F069F">
        <w:rPr>
          <w:lang w:val="fr-FR"/>
        </w:rPr>
        <w:t xml:space="preserve"> [12]</w:t>
      </w:r>
      <w:r w:rsidRPr="007D4649">
        <w:rPr>
          <w:lang w:val="fr-FR"/>
        </w:rPr>
        <w:t xml:space="preserve">. </w:t>
      </w:r>
      <w:r w:rsidR="00647B07" w:rsidRPr="00647B07">
        <w:rPr>
          <w:lang w:val="fr-FR"/>
        </w:rPr>
        <w:t xml:space="preserve">Le concept de protéines « lentes » et « rapides » découle d’études sur les protéines laitières, les caséines étant plus lentement digérées que les protéines du lactosérum. </w:t>
      </w:r>
      <w:r w:rsidR="00435FA6">
        <w:rPr>
          <w:lang w:val="fr-FR"/>
        </w:rPr>
        <w:t>Bien que p</w:t>
      </w:r>
      <w:r w:rsidR="00647B07" w:rsidRPr="00647B07">
        <w:rPr>
          <w:lang w:val="fr-FR"/>
        </w:rPr>
        <w:t>eu de données so</w:t>
      </w:r>
      <w:r w:rsidR="001E599C">
        <w:rPr>
          <w:lang w:val="fr-FR"/>
        </w:rPr>
        <w:t>ie</w:t>
      </w:r>
      <w:r w:rsidR="00647B07" w:rsidRPr="00647B07">
        <w:rPr>
          <w:lang w:val="fr-FR"/>
        </w:rPr>
        <w:t xml:space="preserve">nt </w:t>
      </w:r>
      <w:r w:rsidR="00C2081D">
        <w:rPr>
          <w:lang w:val="fr-FR"/>
        </w:rPr>
        <w:t xml:space="preserve">actuellement </w:t>
      </w:r>
      <w:r w:rsidR="00647B07" w:rsidRPr="00647B07">
        <w:rPr>
          <w:lang w:val="fr-FR"/>
        </w:rPr>
        <w:t>disponibles sur les protéines carnées</w:t>
      </w:r>
      <w:r w:rsidR="00435FA6">
        <w:rPr>
          <w:lang w:val="fr-FR"/>
        </w:rPr>
        <w:t>, il semble que</w:t>
      </w:r>
      <w:r w:rsidR="00647B07" w:rsidRPr="00647B07">
        <w:rPr>
          <w:lang w:val="fr-FR"/>
        </w:rPr>
        <w:t xml:space="preserve"> la </w:t>
      </w:r>
      <w:r w:rsidR="00647B07" w:rsidRPr="00647B07">
        <w:rPr>
          <w:lang w:val="fr-FR"/>
        </w:rPr>
        <w:lastRenderedPageBreak/>
        <w:t>viande puisse être considérée comme une source de protéi</w:t>
      </w:r>
      <w:r w:rsidR="00647B07">
        <w:rPr>
          <w:lang w:val="fr-FR"/>
        </w:rPr>
        <w:t xml:space="preserve">nes à digestion rapide [13]. </w:t>
      </w:r>
      <w:r w:rsidR="00647B07" w:rsidRPr="00647B07">
        <w:rPr>
          <w:lang w:val="fr-FR"/>
        </w:rPr>
        <w:t>Il faut cependant noter qu’une baisse importante de l’efficacité masticatoire, accompagnée d’une déglutition de morceaux de viande moins déstructurés, peut ralentir l’apparition des acides a</w:t>
      </w:r>
      <w:r w:rsidR="00647B07">
        <w:rPr>
          <w:lang w:val="fr-FR"/>
        </w:rPr>
        <w:t>minés dans le sang</w:t>
      </w:r>
      <w:r w:rsidR="00647B07" w:rsidRPr="00647B07">
        <w:rPr>
          <w:lang w:val="fr-FR"/>
        </w:rPr>
        <w:t>. Ce ralentissement est dommageable pour les personnes âgées dans la mesure où il s’accompagne d’une moins bonne utilisation des acides aminés absorbés pour la synthèse protéique postprandiale</w:t>
      </w:r>
      <w:r w:rsidR="00647B07">
        <w:rPr>
          <w:lang w:val="fr-FR"/>
        </w:rPr>
        <w:t xml:space="preserve"> [13]</w:t>
      </w:r>
      <w:r w:rsidR="00647B07" w:rsidRPr="00647B07">
        <w:rPr>
          <w:lang w:val="fr-FR"/>
        </w:rPr>
        <w:t>.</w:t>
      </w:r>
      <w:r w:rsidR="00EA6132" w:rsidRPr="00EA6132">
        <w:rPr>
          <w:lang w:val="fr-FR"/>
        </w:rPr>
        <w:t xml:space="preserve"> </w:t>
      </w:r>
      <w:r w:rsidR="00EA6132">
        <w:rPr>
          <w:lang w:val="fr-FR"/>
        </w:rPr>
        <w:t>Le hachage de la viande peut permettre de compenser la baisse d’efficacité masticatoire, et</w:t>
      </w:r>
      <w:r w:rsidR="00EA6132" w:rsidRPr="00EA6132">
        <w:rPr>
          <w:lang w:val="fr-FR"/>
        </w:rPr>
        <w:t xml:space="preserve"> il a été mon</w:t>
      </w:r>
      <w:r w:rsidR="00D81502">
        <w:rPr>
          <w:lang w:val="fr-FR"/>
        </w:rPr>
        <w:t xml:space="preserve">tré qu’il </w:t>
      </w:r>
      <w:r w:rsidR="00EA6132" w:rsidRPr="00EA6132">
        <w:rPr>
          <w:lang w:val="fr-FR"/>
        </w:rPr>
        <w:t xml:space="preserve">accélère la vitesse de digestion et améliore l’assimilation des protéines </w:t>
      </w:r>
      <w:r w:rsidR="00D81502">
        <w:rPr>
          <w:lang w:val="fr-FR"/>
        </w:rPr>
        <w:t xml:space="preserve"> de la viande chez les personnes âgées </w:t>
      </w:r>
      <w:r w:rsidR="00EA6132">
        <w:rPr>
          <w:lang w:val="fr-FR"/>
        </w:rPr>
        <w:t>[14]</w:t>
      </w:r>
      <w:r w:rsidR="00EA6132" w:rsidRPr="00EA6132">
        <w:rPr>
          <w:lang w:val="fr-FR"/>
        </w:rPr>
        <w:t>. De même, la vitesse de digestion peut être modulée par la cuisson, en jouant sur le couple temps</w:t>
      </w:r>
      <w:r w:rsidR="00C2081D">
        <w:rPr>
          <w:lang w:val="fr-FR"/>
        </w:rPr>
        <w:t>/</w:t>
      </w:r>
      <w:r w:rsidR="00EA6132" w:rsidRPr="00EA6132">
        <w:rPr>
          <w:lang w:val="fr-FR"/>
        </w:rPr>
        <w:t>température</w:t>
      </w:r>
      <w:r w:rsidR="00EA6132">
        <w:rPr>
          <w:lang w:val="fr-FR"/>
        </w:rPr>
        <w:t xml:space="preserve"> [15]</w:t>
      </w:r>
      <w:r w:rsidR="00435FA6">
        <w:rPr>
          <w:lang w:val="fr-FR"/>
        </w:rPr>
        <w:t>. C</w:t>
      </w:r>
      <w:r w:rsidR="00EA6132" w:rsidRPr="00EA6132">
        <w:rPr>
          <w:lang w:val="fr-FR"/>
        </w:rPr>
        <w:t xml:space="preserve">es différences de vitesse générées par la cuisson </w:t>
      </w:r>
      <w:r w:rsidR="00435FA6">
        <w:rPr>
          <w:lang w:val="fr-FR"/>
        </w:rPr>
        <w:t>so</w:t>
      </w:r>
      <w:r w:rsidR="00C2081D">
        <w:rPr>
          <w:lang w:val="fr-FR"/>
        </w:rPr>
        <w:t>nt</w:t>
      </w:r>
      <w:r w:rsidR="00C2081D" w:rsidRPr="00EA6132">
        <w:rPr>
          <w:lang w:val="fr-FR"/>
        </w:rPr>
        <w:t xml:space="preserve"> </w:t>
      </w:r>
      <w:r w:rsidR="00EA6132" w:rsidRPr="00EA6132">
        <w:rPr>
          <w:lang w:val="fr-FR"/>
        </w:rPr>
        <w:t xml:space="preserve">suffisantes pour entrainer des différences d’assimilation des protéines chez les personnes âgées. </w:t>
      </w:r>
    </w:p>
    <w:p w14:paraId="4945CA17" w14:textId="40C16841" w:rsidR="00995200" w:rsidRDefault="003A4C62" w:rsidP="00312ACF">
      <w:pPr>
        <w:spacing w:after="0" w:line="360" w:lineRule="auto"/>
        <w:rPr>
          <w:lang w:val="fr-FR"/>
        </w:rPr>
      </w:pPr>
      <w:r>
        <w:rPr>
          <w:lang w:val="fr-FR"/>
        </w:rPr>
        <w:t xml:space="preserve">Enfin la viande est caractérisée par des teneurs élevées en créatine, </w:t>
      </w:r>
      <w:proofErr w:type="spellStart"/>
      <w:r>
        <w:rPr>
          <w:lang w:val="fr-FR"/>
        </w:rPr>
        <w:t>carnitine</w:t>
      </w:r>
      <w:proofErr w:type="spellEnd"/>
      <w:r>
        <w:rPr>
          <w:lang w:val="fr-FR"/>
        </w:rPr>
        <w:t xml:space="preserve">, </w:t>
      </w:r>
      <w:r w:rsidR="004E3E88">
        <w:rPr>
          <w:lang w:val="fr-FR"/>
        </w:rPr>
        <w:t>acide linoléique conjugué (</w:t>
      </w:r>
      <w:proofErr w:type="spellStart"/>
      <w:r w:rsidR="004E3E88">
        <w:rPr>
          <w:lang w:val="fr-FR"/>
        </w:rPr>
        <w:t>CLA</w:t>
      </w:r>
      <w:proofErr w:type="spellEnd"/>
      <w:r w:rsidR="004E3E88">
        <w:rPr>
          <w:lang w:val="fr-FR"/>
        </w:rPr>
        <w:t xml:space="preserve">) et </w:t>
      </w:r>
      <w:proofErr w:type="spellStart"/>
      <w:r w:rsidR="004E3E88">
        <w:rPr>
          <w:lang w:val="fr-FR"/>
        </w:rPr>
        <w:t>carnosine</w:t>
      </w:r>
      <w:proofErr w:type="spellEnd"/>
      <w:r w:rsidR="00C2081D">
        <w:rPr>
          <w:lang w:val="fr-FR"/>
        </w:rPr>
        <w:t xml:space="preserve">, </w:t>
      </w:r>
      <w:r>
        <w:rPr>
          <w:lang w:val="fr-FR"/>
        </w:rPr>
        <w:t xml:space="preserve"> molécules indispensables au bon fonctionnement musculaire</w:t>
      </w:r>
      <w:r w:rsidR="004E3E88">
        <w:rPr>
          <w:lang w:val="fr-FR"/>
        </w:rPr>
        <w:t xml:space="preserve"> et potentiellement intéressant</w:t>
      </w:r>
      <w:r w:rsidR="0060007C">
        <w:rPr>
          <w:lang w:val="fr-FR"/>
        </w:rPr>
        <w:t>es</w:t>
      </w:r>
      <w:r w:rsidR="004E3E88">
        <w:rPr>
          <w:lang w:val="fr-FR"/>
        </w:rPr>
        <w:t xml:space="preserve"> pour prévenir la </w:t>
      </w:r>
      <w:proofErr w:type="spellStart"/>
      <w:r w:rsidR="004E3E88">
        <w:rPr>
          <w:lang w:val="fr-FR"/>
        </w:rPr>
        <w:t>sarcopénie</w:t>
      </w:r>
      <w:proofErr w:type="spellEnd"/>
      <w:r w:rsidR="004E3E88">
        <w:rPr>
          <w:lang w:val="fr-FR"/>
        </w:rPr>
        <w:t xml:space="preserve"> [16].</w:t>
      </w:r>
      <w:r w:rsidR="00974FAE">
        <w:rPr>
          <w:lang w:val="fr-FR"/>
        </w:rPr>
        <w:t xml:space="preserve"> Aussi </w:t>
      </w:r>
      <w:r w:rsidR="00606E36">
        <w:rPr>
          <w:lang w:val="fr-FR"/>
        </w:rPr>
        <w:t>le maintien</w:t>
      </w:r>
      <w:r w:rsidR="00974FAE">
        <w:rPr>
          <w:lang w:val="fr-FR"/>
        </w:rPr>
        <w:t xml:space="preserve"> d’une consommation </w:t>
      </w:r>
      <w:r w:rsidR="00606E36">
        <w:rPr>
          <w:lang w:val="fr-FR"/>
        </w:rPr>
        <w:t xml:space="preserve">de viande 5 fois par semaine (environ 120 g </w:t>
      </w:r>
      <w:r w:rsidR="001E599C">
        <w:rPr>
          <w:lang w:val="fr-FR"/>
        </w:rPr>
        <w:t>de viande (</w:t>
      </w:r>
      <w:r w:rsidR="00606E36">
        <w:rPr>
          <w:lang w:val="fr-FR"/>
        </w:rPr>
        <w:t>30g de protéine</w:t>
      </w:r>
      <w:r w:rsidR="001E599C">
        <w:rPr>
          <w:lang w:val="fr-FR"/>
        </w:rPr>
        <w:t>)</w:t>
      </w:r>
      <w:r w:rsidR="00606E36">
        <w:rPr>
          <w:lang w:val="fr-FR"/>
        </w:rPr>
        <w:t xml:space="preserve"> /</w:t>
      </w:r>
      <w:r w:rsidR="001E599C">
        <w:rPr>
          <w:lang w:val="fr-FR"/>
        </w:rPr>
        <w:t>prise</w:t>
      </w:r>
      <w:r w:rsidR="00606E36">
        <w:rPr>
          <w:lang w:val="fr-FR"/>
        </w:rPr>
        <w:t>) est recommandé chez les personnes âgées [16].</w:t>
      </w:r>
    </w:p>
    <w:p w14:paraId="1566C247" w14:textId="77777777" w:rsidR="00995200" w:rsidRDefault="00995200" w:rsidP="00312ACF">
      <w:pPr>
        <w:spacing w:after="0" w:line="360" w:lineRule="auto"/>
        <w:rPr>
          <w:lang w:val="fr-FR"/>
        </w:rPr>
      </w:pPr>
    </w:p>
    <w:p w14:paraId="2237E32E" w14:textId="77777777" w:rsidR="00B871FB" w:rsidRDefault="00606E36" w:rsidP="00312ACF">
      <w:pPr>
        <w:spacing w:after="0" w:line="360" w:lineRule="auto"/>
        <w:rPr>
          <w:lang w:val="fr-FR"/>
        </w:rPr>
      </w:pPr>
      <w:r>
        <w:rPr>
          <w:lang w:val="fr-FR"/>
        </w:rPr>
        <w:t>En conclusion, la présence de viande sans excès dans l’alimentation des séniors permet de limiter considérablement les risques de carences en vitamines B12, minéraux (Fer, Zinc) et acides aminés indispensables. Sa forte teneur en protéine</w:t>
      </w:r>
      <w:r w:rsidR="00C2081D">
        <w:rPr>
          <w:lang w:val="fr-FR"/>
        </w:rPr>
        <w:t>s</w:t>
      </w:r>
      <w:r>
        <w:rPr>
          <w:lang w:val="fr-FR"/>
        </w:rPr>
        <w:t xml:space="preserve"> et sa vitesse de digestion élevée en font également un aliment de choix dans les stratégies nutritionnelles permettant de limiter la fonte musculaire au cours du vieillissement.</w:t>
      </w:r>
      <w:r w:rsidR="00C21597">
        <w:rPr>
          <w:lang w:val="fr-FR"/>
        </w:rPr>
        <w:t xml:space="preserve"> </w:t>
      </w:r>
      <w:r w:rsidR="000A1622">
        <w:rPr>
          <w:lang w:val="fr-FR"/>
        </w:rPr>
        <w:t>Pourtant, l</w:t>
      </w:r>
      <w:r w:rsidR="00C21597">
        <w:rPr>
          <w:lang w:val="fr-FR"/>
        </w:rPr>
        <w:t>a baisse d’efficac</w:t>
      </w:r>
      <w:r w:rsidR="000A1622">
        <w:rPr>
          <w:lang w:val="fr-FR"/>
        </w:rPr>
        <w:t>ité masticatoire et</w:t>
      </w:r>
      <w:r w:rsidR="00C21597">
        <w:rPr>
          <w:lang w:val="fr-FR"/>
        </w:rPr>
        <w:t xml:space="preserve"> </w:t>
      </w:r>
      <w:r w:rsidR="000A1622">
        <w:rPr>
          <w:lang w:val="fr-FR"/>
        </w:rPr>
        <w:t xml:space="preserve">le moindre appétit pour ces produits (notamment pour la viande rouge) entraine généralement une baisse de consommation de viande chez les personnes âgées. </w:t>
      </w:r>
      <w:r w:rsidR="00A06C7F">
        <w:rPr>
          <w:lang w:val="fr-FR"/>
        </w:rPr>
        <w:t xml:space="preserve">Le maintien des produits </w:t>
      </w:r>
      <w:r w:rsidR="0060007C">
        <w:rPr>
          <w:lang w:val="fr-FR"/>
        </w:rPr>
        <w:t xml:space="preserve">carnés </w:t>
      </w:r>
      <w:r w:rsidR="00A06C7F">
        <w:rPr>
          <w:lang w:val="fr-FR"/>
        </w:rPr>
        <w:t>dans l</w:t>
      </w:r>
      <w:r w:rsidR="0060007C">
        <w:rPr>
          <w:lang w:val="fr-FR"/>
        </w:rPr>
        <w:t xml:space="preserve">eur </w:t>
      </w:r>
      <w:r w:rsidR="00A06C7F">
        <w:rPr>
          <w:lang w:val="fr-FR"/>
        </w:rPr>
        <w:t>alimentation passe à la fois par</w:t>
      </w:r>
      <w:r w:rsidR="000A1622">
        <w:rPr>
          <w:lang w:val="fr-FR"/>
        </w:rPr>
        <w:t xml:space="preserve"> </w:t>
      </w:r>
      <w:r w:rsidR="0060007C">
        <w:rPr>
          <w:lang w:val="fr-FR"/>
        </w:rPr>
        <w:t>la diffusion de messages clair</w:t>
      </w:r>
      <w:r w:rsidR="00A06C7F">
        <w:rPr>
          <w:lang w:val="fr-FR"/>
        </w:rPr>
        <w:t>s sur</w:t>
      </w:r>
      <w:r w:rsidR="000A1622">
        <w:rPr>
          <w:lang w:val="fr-FR"/>
        </w:rPr>
        <w:t xml:space="preserve"> l’intérêt </w:t>
      </w:r>
      <w:r w:rsidR="00A06C7F">
        <w:rPr>
          <w:lang w:val="fr-FR"/>
        </w:rPr>
        <w:t>nutritionnel des viandes</w:t>
      </w:r>
      <w:r w:rsidR="000A1622">
        <w:rPr>
          <w:lang w:val="fr-FR"/>
        </w:rPr>
        <w:t xml:space="preserve">, </w:t>
      </w:r>
      <w:r w:rsidR="00A06C7F">
        <w:rPr>
          <w:lang w:val="fr-FR"/>
        </w:rPr>
        <w:t xml:space="preserve">et par </w:t>
      </w:r>
      <w:r w:rsidR="000A1622">
        <w:rPr>
          <w:lang w:val="fr-FR"/>
        </w:rPr>
        <w:t xml:space="preserve">le développement de produits </w:t>
      </w:r>
      <w:r w:rsidR="00A06C7F">
        <w:rPr>
          <w:lang w:val="fr-FR"/>
        </w:rPr>
        <w:t xml:space="preserve">adaptés à leur goût et </w:t>
      </w:r>
      <w:r w:rsidR="0060007C">
        <w:rPr>
          <w:lang w:val="fr-FR"/>
        </w:rPr>
        <w:t xml:space="preserve">à </w:t>
      </w:r>
      <w:r w:rsidR="00A06C7F">
        <w:rPr>
          <w:lang w:val="fr-FR"/>
        </w:rPr>
        <w:t>leur capacité masticatoire.</w:t>
      </w:r>
    </w:p>
    <w:p w14:paraId="551316D4" w14:textId="77777777" w:rsidR="00A06C7F" w:rsidRDefault="00A06C7F" w:rsidP="00312ACF">
      <w:pPr>
        <w:spacing w:after="0" w:line="360" w:lineRule="auto"/>
        <w:rPr>
          <w:lang w:val="fr-FR"/>
        </w:rPr>
      </w:pPr>
    </w:p>
    <w:p w14:paraId="585FA8EB" w14:textId="77777777" w:rsidR="00FD486E" w:rsidRPr="00FD486E" w:rsidRDefault="00FD486E" w:rsidP="00FD486E">
      <w:pPr>
        <w:spacing w:line="360" w:lineRule="auto"/>
        <w:rPr>
          <w:lang w:val="fr-FR"/>
        </w:rPr>
      </w:pPr>
      <w:r w:rsidRPr="00FD486E">
        <w:rPr>
          <w:lang w:val="fr-FR"/>
        </w:rPr>
        <w:t>Références</w:t>
      </w:r>
    </w:p>
    <w:p w14:paraId="68E01A68" w14:textId="77777777" w:rsidR="0010190D" w:rsidRDefault="0010190D" w:rsidP="00513F69">
      <w:pPr>
        <w:pStyle w:val="Paragraphedeliste"/>
        <w:numPr>
          <w:ilvl w:val="0"/>
          <w:numId w:val="1"/>
        </w:numPr>
        <w:spacing w:line="360" w:lineRule="auto"/>
      </w:pPr>
      <w:r w:rsidRPr="0010190D">
        <w:t xml:space="preserve">European Commission: </w:t>
      </w:r>
      <w:proofErr w:type="gramStart"/>
      <w:r w:rsidRPr="0010190D">
        <w:t>Eurostat :</w:t>
      </w:r>
      <w:proofErr w:type="gramEnd"/>
      <w:r w:rsidRPr="0010190D">
        <w:t xml:space="preserve"> Population structure and ageing. 201</w:t>
      </w:r>
      <w:r w:rsidR="00513F69">
        <w:t>5</w:t>
      </w:r>
      <w:r w:rsidRPr="0010190D">
        <w:t>. Publication Office of the European Union.</w:t>
      </w:r>
      <w:r w:rsidR="00513F69" w:rsidRPr="00513F69">
        <w:t xml:space="preserve"> </w:t>
      </w:r>
      <w:hyperlink r:id="rId9" w:history="1">
        <w:r w:rsidR="001805A8" w:rsidRPr="00862ECD">
          <w:rPr>
            <w:rStyle w:val="Lienhypertexte"/>
          </w:rPr>
          <w:t>http://ec.europa.eu/eurostat/statistics-explained/index.php/Population_structure_and_ageing</w:t>
        </w:r>
      </w:hyperlink>
    </w:p>
    <w:p w14:paraId="7861FC37" w14:textId="77777777" w:rsidR="001805A8" w:rsidRPr="0010190D" w:rsidRDefault="001805A8" w:rsidP="00513F69">
      <w:pPr>
        <w:pStyle w:val="Paragraphedeliste"/>
        <w:numPr>
          <w:ilvl w:val="0"/>
          <w:numId w:val="1"/>
        </w:numPr>
        <w:spacing w:line="360" w:lineRule="auto"/>
      </w:pPr>
      <w:r>
        <w:t xml:space="preserve">Global Burden Disease 2013 DALYs and HALE Collaborators. Global, regional, and national disability-adjusted life years (DALYs) for 306 diseases and injuries and healthy life expectancy </w:t>
      </w:r>
      <w:r>
        <w:lastRenderedPageBreak/>
        <w:t xml:space="preserve">(HALE) for 188 countries, 1990-2013: quantifying the epidemiological transition. </w:t>
      </w:r>
      <w:r w:rsidRPr="00FD0B91">
        <w:rPr>
          <w:i/>
        </w:rPr>
        <w:t>Lancet</w:t>
      </w:r>
      <w:r>
        <w:t>. 2015</w:t>
      </w:r>
      <w:proofErr w:type="gramStart"/>
      <w:r>
        <w:t>;</w:t>
      </w:r>
      <w:r w:rsidRPr="00637CFD">
        <w:rPr>
          <w:u w:val="single"/>
        </w:rPr>
        <w:t>386</w:t>
      </w:r>
      <w:r>
        <w:t>:2145</w:t>
      </w:r>
      <w:proofErr w:type="gramEnd"/>
      <w:r>
        <w:t>-91.</w:t>
      </w:r>
    </w:p>
    <w:p w14:paraId="6215D485" w14:textId="77777777" w:rsidR="001805A8" w:rsidRDefault="009A0454" w:rsidP="001805A8">
      <w:pPr>
        <w:pStyle w:val="Paragraphedeliste"/>
        <w:numPr>
          <w:ilvl w:val="0"/>
          <w:numId w:val="1"/>
        </w:numPr>
        <w:spacing w:line="360" w:lineRule="auto"/>
      </w:pPr>
      <w:proofErr w:type="spellStart"/>
      <w:r>
        <w:t>Soderston</w:t>
      </w:r>
      <w:proofErr w:type="spellEnd"/>
      <w:r>
        <w:t xml:space="preserve"> L, </w:t>
      </w:r>
      <w:proofErr w:type="spellStart"/>
      <w:r>
        <w:t>Rosenbald</w:t>
      </w:r>
      <w:proofErr w:type="spellEnd"/>
      <w:r>
        <w:t xml:space="preserve"> A, </w:t>
      </w:r>
      <w:proofErr w:type="spellStart"/>
      <w:r>
        <w:t>Adolfsson</w:t>
      </w:r>
      <w:proofErr w:type="spellEnd"/>
      <w:r>
        <w:t xml:space="preserve"> ET, </w:t>
      </w:r>
      <w:proofErr w:type="spellStart"/>
      <w:r>
        <w:t>Saletti</w:t>
      </w:r>
      <w:proofErr w:type="spellEnd"/>
      <w:r>
        <w:t xml:space="preserve"> A, </w:t>
      </w:r>
      <w:proofErr w:type="spellStart"/>
      <w:r>
        <w:t>BergkvistL</w:t>
      </w:r>
      <w:proofErr w:type="spellEnd"/>
      <w:r>
        <w:t xml:space="preserve">. Nutritional status </w:t>
      </w:r>
      <w:r w:rsidR="00BC59F5">
        <w:t>predicts preterm death in older people</w:t>
      </w:r>
      <w:r w:rsidR="00A3252E">
        <w:t xml:space="preserve">: a prospective cohort study. </w:t>
      </w:r>
      <w:r w:rsidR="00A3252E" w:rsidRPr="00A3252E">
        <w:rPr>
          <w:i/>
        </w:rPr>
        <w:t>Clin</w:t>
      </w:r>
      <w:r w:rsidR="00FD0B91">
        <w:rPr>
          <w:i/>
        </w:rPr>
        <w:t>ical</w:t>
      </w:r>
      <w:r w:rsidR="00A3252E" w:rsidRPr="00A3252E">
        <w:rPr>
          <w:i/>
        </w:rPr>
        <w:t xml:space="preserve"> Nutr</w:t>
      </w:r>
      <w:r w:rsidR="00FD0B91">
        <w:rPr>
          <w:i/>
        </w:rPr>
        <w:t>ition</w:t>
      </w:r>
      <w:r w:rsidR="001805A8">
        <w:t>. 2014</w:t>
      </w:r>
      <w:proofErr w:type="gramStart"/>
      <w:r w:rsidR="001805A8">
        <w:t>;</w:t>
      </w:r>
      <w:r w:rsidR="001805A8" w:rsidRPr="00637CFD">
        <w:rPr>
          <w:u w:val="single"/>
        </w:rPr>
        <w:t>33</w:t>
      </w:r>
      <w:r w:rsidR="001805A8">
        <w:t>:354</w:t>
      </w:r>
      <w:proofErr w:type="gramEnd"/>
      <w:r w:rsidR="001805A8">
        <w:t>-</w:t>
      </w:r>
      <w:r w:rsidR="00A3252E">
        <w:t>59.</w:t>
      </w:r>
      <w:r w:rsidR="001805A8" w:rsidRPr="001805A8">
        <w:t xml:space="preserve"> </w:t>
      </w:r>
    </w:p>
    <w:p w14:paraId="7A86ECF9" w14:textId="77777777" w:rsidR="001805A8" w:rsidRDefault="001805A8" w:rsidP="001805A8">
      <w:pPr>
        <w:pStyle w:val="Paragraphedeliste"/>
        <w:numPr>
          <w:ilvl w:val="0"/>
          <w:numId w:val="1"/>
        </w:numPr>
        <w:spacing w:line="360" w:lineRule="auto"/>
      </w:pPr>
      <w:proofErr w:type="spellStart"/>
      <w:r w:rsidRPr="0010190D">
        <w:t>Rémond</w:t>
      </w:r>
      <w:proofErr w:type="spellEnd"/>
      <w:r w:rsidRPr="0010190D">
        <w:t xml:space="preserve"> D, </w:t>
      </w:r>
      <w:proofErr w:type="spellStart"/>
      <w:r w:rsidRPr="0010190D">
        <w:t>Shahar</w:t>
      </w:r>
      <w:proofErr w:type="spellEnd"/>
      <w:r w:rsidRPr="0010190D">
        <w:t xml:space="preserve"> </w:t>
      </w:r>
      <w:proofErr w:type="spellStart"/>
      <w:r w:rsidRPr="0010190D">
        <w:t>DR</w:t>
      </w:r>
      <w:proofErr w:type="spellEnd"/>
      <w:r w:rsidRPr="0010190D">
        <w:t xml:space="preserve">, </w:t>
      </w:r>
      <w:proofErr w:type="spellStart"/>
      <w:r w:rsidRPr="0010190D">
        <w:t>Gille</w:t>
      </w:r>
      <w:proofErr w:type="spellEnd"/>
      <w:r w:rsidRPr="0010190D">
        <w:t xml:space="preserve"> D, Pinto P, </w:t>
      </w:r>
      <w:proofErr w:type="spellStart"/>
      <w:r w:rsidRPr="0010190D">
        <w:t>Kachal</w:t>
      </w:r>
      <w:proofErr w:type="spellEnd"/>
      <w:r w:rsidRPr="0010190D">
        <w:t xml:space="preserve"> J, </w:t>
      </w:r>
      <w:proofErr w:type="spellStart"/>
      <w:r w:rsidRPr="0010190D">
        <w:t>PeyronMA</w:t>
      </w:r>
      <w:proofErr w:type="spellEnd"/>
      <w:r w:rsidRPr="0010190D">
        <w:t xml:space="preserve">, </w:t>
      </w:r>
      <w:proofErr w:type="spellStart"/>
      <w:r w:rsidRPr="0010190D">
        <w:t>Nunes</w:t>
      </w:r>
      <w:proofErr w:type="spellEnd"/>
      <w:r w:rsidRPr="0010190D">
        <w:t xml:space="preserve"> Dos Santos C, Walther B, </w:t>
      </w:r>
      <w:proofErr w:type="spellStart"/>
      <w:r w:rsidRPr="0010190D">
        <w:t>Bord</w:t>
      </w:r>
      <w:r w:rsidRPr="001805A8">
        <w:t>oni</w:t>
      </w:r>
      <w:proofErr w:type="spellEnd"/>
      <w:r w:rsidRPr="001805A8">
        <w:t xml:space="preserve"> A, </w:t>
      </w:r>
      <w:proofErr w:type="spellStart"/>
      <w:r w:rsidRPr="001805A8">
        <w:t>Du</w:t>
      </w:r>
      <w:r w:rsidRPr="008B54D9">
        <w:t>pont</w:t>
      </w:r>
      <w:proofErr w:type="spellEnd"/>
      <w:r w:rsidRPr="008B54D9">
        <w:t xml:space="preserve"> D, Tomas L, </w:t>
      </w:r>
      <w:proofErr w:type="spellStart"/>
      <w:r w:rsidRPr="008B54D9">
        <w:t>Vergères</w:t>
      </w:r>
      <w:proofErr w:type="spellEnd"/>
      <w:r w:rsidRPr="008B54D9">
        <w:t xml:space="preserve"> G. Understanding the gastrointestinal tract of the elderly to develop dietary solutions that prevent malnutrition. </w:t>
      </w:r>
      <w:proofErr w:type="spellStart"/>
      <w:r w:rsidRPr="0010190D">
        <w:rPr>
          <w:i/>
        </w:rPr>
        <w:t>Oncotarget</w:t>
      </w:r>
      <w:proofErr w:type="spellEnd"/>
      <w:r w:rsidRPr="0010190D">
        <w:t>. 2015</w:t>
      </w:r>
      <w:proofErr w:type="gramStart"/>
      <w:r w:rsidRPr="0010190D">
        <w:t>;</w:t>
      </w:r>
      <w:r w:rsidRPr="0010190D">
        <w:rPr>
          <w:u w:val="single"/>
        </w:rPr>
        <w:t>6</w:t>
      </w:r>
      <w:proofErr w:type="gramEnd"/>
      <w:r w:rsidRPr="0010190D">
        <w:t>(16):13858-98.</w:t>
      </w:r>
    </w:p>
    <w:p w14:paraId="253DF38F" w14:textId="77777777" w:rsidR="009A0454" w:rsidRDefault="002940D7" w:rsidP="002940D7">
      <w:pPr>
        <w:pStyle w:val="Paragraphedeliste"/>
        <w:numPr>
          <w:ilvl w:val="0"/>
          <w:numId w:val="1"/>
        </w:numPr>
        <w:spacing w:line="360" w:lineRule="auto"/>
      </w:pPr>
      <w:proofErr w:type="spellStart"/>
      <w:r w:rsidRPr="002940D7">
        <w:t>Oberli</w:t>
      </w:r>
      <w:proofErr w:type="spellEnd"/>
      <w:r w:rsidRPr="002940D7">
        <w:t xml:space="preserve"> M, </w:t>
      </w:r>
      <w:proofErr w:type="spellStart"/>
      <w:r w:rsidRPr="002940D7">
        <w:t>Marsset-Baglieri</w:t>
      </w:r>
      <w:proofErr w:type="spellEnd"/>
      <w:r w:rsidRPr="002940D7">
        <w:t xml:space="preserve"> A, </w:t>
      </w:r>
      <w:proofErr w:type="spellStart"/>
      <w:r w:rsidRPr="002940D7">
        <w:t>Airinei</w:t>
      </w:r>
      <w:proofErr w:type="spellEnd"/>
      <w:r w:rsidRPr="002940D7">
        <w:t xml:space="preserve"> G, Santé-</w:t>
      </w:r>
      <w:proofErr w:type="spellStart"/>
      <w:r w:rsidRPr="002940D7">
        <w:t>Lhoutellier</w:t>
      </w:r>
      <w:proofErr w:type="spellEnd"/>
      <w:r w:rsidRPr="002940D7">
        <w:t xml:space="preserve"> V, </w:t>
      </w:r>
      <w:proofErr w:type="spellStart"/>
      <w:r w:rsidRPr="002940D7">
        <w:t>Khodorova</w:t>
      </w:r>
      <w:proofErr w:type="spellEnd"/>
      <w:r w:rsidRPr="002940D7">
        <w:t xml:space="preserve"> N, </w:t>
      </w:r>
      <w:proofErr w:type="spellStart"/>
      <w:r w:rsidRPr="002940D7">
        <w:t>Rémond</w:t>
      </w:r>
      <w:proofErr w:type="spellEnd"/>
      <w:r w:rsidRPr="002940D7">
        <w:t xml:space="preserve"> D, Foucault-</w:t>
      </w:r>
      <w:proofErr w:type="spellStart"/>
      <w:r w:rsidRPr="002940D7">
        <w:t>Simonin</w:t>
      </w:r>
      <w:proofErr w:type="spellEnd"/>
      <w:r w:rsidRPr="002940D7">
        <w:t xml:space="preserve"> A, </w:t>
      </w:r>
      <w:proofErr w:type="spellStart"/>
      <w:r w:rsidRPr="002940D7">
        <w:t>Piedcoq</w:t>
      </w:r>
      <w:proofErr w:type="spellEnd"/>
      <w:r w:rsidRPr="002940D7">
        <w:t xml:space="preserve"> J, Tomé D, </w:t>
      </w:r>
      <w:proofErr w:type="spellStart"/>
      <w:r w:rsidRPr="002940D7">
        <w:t>Fromentin</w:t>
      </w:r>
      <w:proofErr w:type="spellEnd"/>
      <w:r w:rsidRPr="002940D7">
        <w:t xml:space="preserve"> G, </w:t>
      </w:r>
      <w:proofErr w:type="spellStart"/>
      <w:r w:rsidRPr="002940D7">
        <w:t>Benamouzig</w:t>
      </w:r>
      <w:proofErr w:type="spellEnd"/>
      <w:r w:rsidRPr="002940D7">
        <w:t xml:space="preserve"> R, </w:t>
      </w:r>
      <w:proofErr w:type="spellStart"/>
      <w:r w:rsidRPr="002940D7">
        <w:t>Gaudichon</w:t>
      </w:r>
      <w:proofErr w:type="spellEnd"/>
      <w:r w:rsidRPr="002940D7">
        <w:t xml:space="preserve"> C.</w:t>
      </w:r>
      <w:r>
        <w:t xml:space="preserve"> H</w:t>
      </w:r>
      <w:r w:rsidRPr="002940D7">
        <w:t xml:space="preserve">igh true </w:t>
      </w:r>
      <w:proofErr w:type="spellStart"/>
      <w:r w:rsidRPr="002940D7">
        <w:t>ileal</w:t>
      </w:r>
      <w:proofErr w:type="spellEnd"/>
      <w:r w:rsidRPr="002940D7">
        <w:t xml:space="preserve"> digestibility but not postprandial utilization of nitrogen from bovine meat protein in humans is moderately decreased by high-temperature, long-duration cooking.</w:t>
      </w:r>
      <w:r>
        <w:t xml:space="preserve"> </w:t>
      </w:r>
      <w:r w:rsidRPr="002940D7">
        <w:rPr>
          <w:i/>
        </w:rPr>
        <w:t>Journal of Nutrition</w:t>
      </w:r>
      <w:r>
        <w:t>. 2015</w:t>
      </w:r>
      <w:proofErr w:type="gramStart"/>
      <w:r w:rsidRPr="002940D7">
        <w:t>;</w:t>
      </w:r>
      <w:r w:rsidRPr="00637CFD">
        <w:rPr>
          <w:u w:val="single"/>
        </w:rPr>
        <w:t>145</w:t>
      </w:r>
      <w:proofErr w:type="gramEnd"/>
      <w:r w:rsidRPr="00637CFD">
        <w:t>(10)</w:t>
      </w:r>
      <w:r w:rsidRPr="002940D7">
        <w:t>:2221-8</w:t>
      </w:r>
      <w:r>
        <w:t>.</w:t>
      </w:r>
    </w:p>
    <w:p w14:paraId="54B58C64" w14:textId="77777777" w:rsidR="002940D7" w:rsidRDefault="002940D7" w:rsidP="002940D7">
      <w:pPr>
        <w:pStyle w:val="Paragraphedeliste"/>
        <w:numPr>
          <w:ilvl w:val="0"/>
          <w:numId w:val="1"/>
        </w:numPr>
        <w:spacing w:line="360" w:lineRule="auto"/>
      </w:pPr>
      <w:r w:rsidRPr="002940D7">
        <w:t xml:space="preserve">Pedersen AN, </w:t>
      </w:r>
      <w:proofErr w:type="spellStart"/>
      <w:r w:rsidRPr="002940D7">
        <w:t>Cederholm</w:t>
      </w:r>
      <w:proofErr w:type="spellEnd"/>
      <w:r w:rsidRPr="002940D7">
        <w:t xml:space="preserve"> T.</w:t>
      </w:r>
      <w:r>
        <w:t xml:space="preserve"> </w:t>
      </w:r>
      <w:r w:rsidRPr="002940D7">
        <w:t xml:space="preserve">Health effects of protein intake in healthy elderly populations: a systematic literature review. </w:t>
      </w:r>
      <w:r w:rsidRPr="002940D7">
        <w:rPr>
          <w:i/>
        </w:rPr>
        <w:t>Food and Nutrition Research</w:t>
      </w:r>
      <w:r>
        <w:t>. 2014</w:t>
      </w:r>
      <w:proofErr w:type="gramStart"/>
      <w:r>
        <w:t>;</w:t>
      </w:r>
      <w:r w:rsidRPr="00637CFD">
        <w:rPr>
          <w:u w:val="single"/>
        </w:rPr>
        <w:t>58</w:t>
      </w:r>
      <w:r>
        <w:t>:</w:t>
      </w:r>
      <w:r w:rsidRPr="002940D7">
        <w:t>23364</w:t>
      </w:r>
      <w:proofErr w:type="gramEnd"/>
      <w:r w:rsidRPr="002940D7">
        <w:t>.</w:t>
      </w:r>
    </w:p>
    <w:p w14:paraId="53D7B131" w14:textId="77777777" w:rsidR="004E7150" w:rsidRDefault="004E7150" w:rsidP="008B54D9">
      <w:pPr>
        <w:pStyle w:val="Paragraphedeliste"/>
        <w:numPr>
          <w:ilvl w:val="0"/>
          <w:numId w:val="1"/>
        </w:numPr>
        <w:spacing w:line="360" w:lineRule="auto"/>
      </w:pPr>
      <w:proofErr w:type="spellStart"/>
      <w:r>
        <w:t>Lindenbaum</w:t>
      </w:r>
      <w:proofErr w:type="spellEnd"/>
      <w:r>
        <w:t xml:space="preserve"> J, Rosenberg JH, Wilson PW, </w:t>
      </w:r>
      <w:proofErr w:type="spellStart"/>
      <w:r>
        <w:t>Stabler</w:t>
      </w:r>
      <w:proofErr w:type="spellEnd"/>
      <w:r>
        <w:t xml:space="preserve"> SP, Allen RH. </w:t>
      </w:r>
      <w:r w:rsidR="0095645D">
        <w:t>Prevalence of co</w:t>
      </w:r>
      <w:r>
        <w:t xml:space="preserve">balamin </w:t>
      </w:r>
      <w:r w:rsidR="0095645D">
        <w:t>deficiency</w:t>
      </w:r>
      <w:r>
        <w:t xml:space="preserve"> in the Framingham elderly population. </w:t>
      </w:r>
      <w:r w:rsidRPr="00792924">
        <w:rPr>
          <w:i/>
        </w:rPr>
        <w:t>Am</w:t>
      </w:r>
      <w:r w:rsidR="00C47740" w:rsidRPr="00792924">
        <w:rPr>
          <w:i/>
        </w:rPr>
        <w:t>erican</w:t>
      </w:r>
      <w:r w:rsidRPr="00792924">
        <w:rPr>
          <w:i/>
        </w:rPr>
        <w:t xml:space="preserve"> J</w:t>
      </w:r>
      <w:r w:rsidR="00C47740" w:rsidRPr="00792924">
        <w:rPr>
          <w:i/>
        </w:rPr>
        <w:t>ournal of</w:t>
      </w:r>
      <w:r w:rsidRPr="00792924">
        <w:rPr>
          <w:i/>
        </w:rPr>
        <w:t xml:space="preserve"> Clin</w:t>
      </w:r>
      <w:r w:rsidR="00C47740" w:rsidRPr="00792924">
        <w:rPr>
          <w:i/>
        </w:rPr>
        <w:t>ical</w:t>
      </w:r>
      <w:r w:rsidRPr="00792924">
        <w:rPr>
          <w:i/>
        </w:rPr>
        <w:t xml:space="preserve"> Nutr</w:t>
      </w:r>
      <w:r w:rsidR="00C47740" w:rsidRPr="00792924">
        <w:rPr>
          <w:i/>
        </w:rPr>
        <w:t>ition</w:t>
      </w:r>
      <w:r>
        <w:t>. 1994</w:t>
      </w:r>
      <w:proofErr w:type="gramStart"/>
      <w:r>
        <w:t>;</w:t>
      </w:r>
      <w:r w:rsidRPr="00637CFD">
        <w:rPr>
          <w:u w:val="single"/>
        </w:rPr>
        <w:t>60</w:t>
      </w:r>
      <w:r>
        <w:t>:2</w:t>
      </w:r>
      <w:proofErr w:type="gramEnd"/>
      <w:r>
        <w:t>-11.</w:t>
      </w:r>
    </w:p>
    <w:p w14:paraId="14B58EFA" w14:textId="77777777" w:rsidR="00466D96" w:rsidRDefault="00466D96" w:rsidP="008B54D9">
      <w:pPr>
        <w:pStyle w:val="Paragraphedeliste"/>
        <w:numPr>
          <w:ilvl w:val="0"/>
          <w:numId w:val="1"/>
        </w:numPr>
        <w:spacing w:line="360" w:lineRule="auto"/>
      </w:pPr>
      <w:r>
        <w:t xml:space="preserve">Andres E, </w:t>
      </w:r>
      <w:proofErr w:type="spellStart"/>
      <w:r>
        <w:t>Serraj</w:t>
      </w:r>
      <w:proofErr w:type="spellEnd"/>
      <w:r>
        <w:t xml:space="preserve"> K, </w:t>
      </w:r>
      <w:proofErr w:type="spellStart"/>
      <w:r>
        <w:t>Federi</w:t>
      </w:r>
      <w:r w:rsidR="0095645D">
        <w:t>ci</w:t>
      </w:r>
      <w:proofErr w:type="spellEnd"/>
      <w:r w:rsidR="0095645D">
        <w:t xml:space="preserve"> L, Vogel T, </w:t>
      </w:r>
      <w:proofErr w:type="spellStart"/>
      <w:r w:rsidR="0095645D">
        <w:t>Kaltenbach</w:t>
      </w:r>
      <w:proofErr w:type="spellEnd"/>
      <w:r w:rsidR="0095645D">
        <w:t xml:space="preserve"> G. Ane</w:t>
      </w:r>
      <w:r>
        <w:t xml:space="preserve">mia in elderly patients: new insight into an old disorder. </w:t>
      </w:r>
      <w:r w:rsidRPr="00792924">
        <w:rPr>
          <w:i/>
        </w:rPr>
        <w:t>Geriatr</w:t>
      </w:r>
      <w:r w:rsidR="00792924">
        <w:rPr>
          <w:i/>
        </w:rPr>
        <w:t>ics and</w:t>
      </w:r>
      <w:r w:rsidR="00C47740" w:rsidRPr="00792924">
        <w:rPr>
          <w:i/>
        </w:rPr>
        <w:t xml:space="preserve"> Ge</w:t>
      </w:r>
      <w:r w:rsidRPr="00792924">
        <w:rPr>
          <w:i/>
        </w:rPr>
        <w:t>rontol</w:t>
      </w:r>
      <w:r w:rsidR="00C47740" w:rsidRPr="00792924">
        <w:rPr>
          <w:i/>
        </w:rPr>
        <w:t>ogy</w:t>
      </w:r>
      <w:r w:rsidRPr="00792924">
        <w:rPr>
          <w:i/>
        </w:rPr>
        <w:t xml:space="preserve"> Int</w:t>
      </w:r>
      <w:r w:rsidR="00C47740" w:rsidRPr="00792924">
        <w:rPr>
          <w:i/>
        </w:rPr>
        <w:t>ernational</w:t>
      </w:r>
      <w:r>
        <w:t>. 2013</w:t>
      </w:r>
      <w:proofErr w:type="gramStart"/>
      <w:r>
        <w:t>;</w:t>
      </w:r>
      <w:r w:rsidRPr="00637CFD">
        <w:rPr>
          <w:u w:val="single"/>
        </w:rPr>
        <w:t>13</w:t>
      </w:r>
      <w:r>
        <w:t>:519</w:t>
      </w:r>
      <w:proofErr w:type="gramEnd"/>
      <w:r>
        <w:t>-527.</w:t>
      </w:r>
    </w:p>
    <w:p w14:paraId="143ACF0F" w14:textId="77777777" w:rsidR="00F722A9" w:rsidRDefault="00F722A9" w:rsidP="00F722A9">
      <w:pPr>
        <w:pStyle w:val="Paragraphedeliste"/>
        <w:numPr>
          <w:ilvl w:val="0"/>
          <w:numId w:val="1"/>
        </w:numPr>
        <w:spacing w:line="360" w:lineRule="auto"/>
      </w:pPr>
      <w:r w:rsidRPr="00F722A9">
        <w:t>Cruz-</w:t>
      </w:r>
      <w:proofErr w:type="spellStart"/>
      <w:r w:rsidRPr="00F722A9">
        <w:t>Jentoft</w:t>
      </w:r>
      <w:proofErr w:type="spellEnd"/>
      <w:r w:rsidRPr="00F722A9">
        <w:t xml:space="preserve"> AJ, </w:t>
      </w:r>
      <w:proofErr w:type="spellStart"/>
      <w:r w:rsidRPr="00F722A9">
        <w:t>Landi</w:t>
      </w:r>
      <w:proofErr w:type="spellEnd"/>
      <w:r w:rsidRPr="00F722A9">
        <w:t xml:space="preserve"> F, Schneider SM, </w:t>
      </w:r>
      <w:proofErr w:type="spellStart"/>
      <w:r w:rsidRPr="00F722A9">
        <w:t>Zúñiga</w:t>
      </w:r>
      <w:proofErr w:type="spellEnd"/>
      <w:r w:rsidRPr="00F722A9">
        <w:t xml:space="preserve"> C, Arai H, </w:t>
      </w:r>
      <w:proofErr w:type="spellStart"/>
      <w:r w:rsidRPr="00F722A9">
        <w:t>Boirie</w:t>
      </w:r>
      <w:proofErr w:type="spellEnd"/>
      <w:r w:rsidRPr="00F722A9">
        <w:t xml:space="preserve"> Y, Chen LK, Fielding RA, Martin FC, Michel JP, </w:t>
      </w:r>
      <w:proofErr w:type="spellStart"/>
      <w:r w:rsidRPr="00F722A9">
        <w:t>Sieber</w:t>
      </w:r>
      <w:proofErr w:type="spellEnd"/>
      <w:r w:rsidRPr="00F722A9">
        <w:t xml:space="preserve"> C, Stout JR, </w:t>
      </w:r>
      <w:proofErr w:type="spellStart"/>
      <w:r w:rsidRPr="00F722A9">
        <w:t>Studenski</w:t>
      </w:r>
      <w:proofErr w:type="spellEnd"/>
      <w:r w:rsidRPr="00F722A9">
        <w:t xml:space="preserve"> SA, </w:t>
      </w:r>
      <w:proofErr w:type="spellStart"/>
      <w:r w:rsidRPr="00F722A9">
        <w:t>Vellas</w:t>
      </w:r>
      <w:proofErr w:type="spellEnd"/>
      <w:r w:rsidRPr="00F722A9">
        <w:t xml:space="preserve"> B, Woo J, Zamboni M, </w:t>
      </w:r>
      <w:proofErr w:type="spellStart"/>
      <w:r w:rsidRPr="00F722A9">
        <w:t>Cederholm</w:t>
      </w:r>
      <w:proofErr w:type="spellEnd"/>
      <w:r w:rsidRPr="00F722A9">
        <w:t xml:space="preserve"> T.</w:t>
      </w:r>
      <w:r>
        <w:t xml:space="preserve"> </w:t>
      </w:r>
      <w:r w:rsidRPr="00F722A9">
        <w:t>Prevalence of and interventions for sarcopenia in ageing adults: a systematic review. Report of the International Sarcopenia Initiative (EWGSOP and IWGS).</w:t>
      </w:r>
      <w:r>
        <w:t xml:space="preserve"> </w:t>
      </w:r>
      <w:r w:rsidR="0095645D" w:rsidRPr="0095645D">
        <w:rPr>
          <w:i/>
        </w:rPr>
        <w:t>Age and Ageing</w:t>
      </w:r>
      <w:r w:rsidR="0095645D">
        <w:t>. 2014</w:t>
      </w:r>
      <w:proofErr w:type="gramStart"/>
      <w:r w:rsidR="0095645D">
        <w:t>;</w:t>
      </w:r>
      <w:r w:rsidR="0095645D" w:rsidRPr="00637CFD">
        <w:rPr>
          <w:u w:val="single"/>
        </w:rPr>
        <w:t>43</w:t>
      </w:r>
      <w:r w:rsidR="0095645D">
        <w:t>:748</w:t>
      </w:r>
      <w:proofErr w:type="gramEnd"/>
      <w:r w:rsidR="0095645D">
        <w:t>-759.</w:t>
      </w:r>
    </w:p>
    <w:p w14:paraId="2F263BCE" w14:textId="77777777" w:rsidR="001F069F" w:rsidRDefault="001F069F" w:rsidP="001F069F">
      <w:pPr>
        <w:pStyle w:val="Paragraphedeliste"/>
        <w:numPr>
          <w:ilvl w:val="0"/>
          <w:numId w:val="1"/>
        </w:numPr>
        <w:spacing w:line="360" w:lineRule="auto"/>
      </w:pPr>
      <w:proofErr w:type="spellStart"/>
      <w:r w:rsidRPr="001F069F">
        <w:t>Dardevet</w:t>
      </w:r>
      <w:proofErr w:type="spellEnd"/>
      <w:r w:rsidRPr="001F069F">
        <w:t xml:space="preserve"> D, </w:t>
      </w:r>
      <w:proofErr w:type="spellStart"/>
      <w:r w:rsidRPr="001F069F">
        <w:t>Rémond</w:t>
      </w:r>
      <w:proofErr w:type="spellEnd"/>
      <w:r w:rsidRPr="001F069F">
        <w:t xml:space="preserve"> D, </w:t>
      </w:r>
      <w:proofErr w:type="spellStart"/>
      <w:r w:rsidRPr="001F069F">
        <w:t>Peyron</w:t>
      </w:r>
      <w:proofErr w:type="spellEnd"/>
      <w:r w:rsidRPr="001F069F">
        <w:t xml:space="preserve"> MA, </w:t>
      </w:r>
      <w:proofErr w:type="spellStart"/>
      <w:r w:rsidRPr="001F069F">
        <w:t>Papet</w:t>
      </w:r>
      <w:proofErr w:type="spellEnd"/>
      <w:r w:rsidRPr="001F069F">
        <w:t xml:space="preserve"> I, </w:t>
      </w:r>
      <w:proofErr w:type="spellStart"/>
      <w:r w:rsidRPr="001F069F">
        <w:t>Savary-Auzeloux</w:t>
      </w:r>
      <w:proofErr w:type="spellEnd"/>
      <w:r w:rsidRPr="001F069F">
        <w:t xml:space="preserve"> I, </w:t>
      </w:r>
      <w:proofErr w:type="spellStart"/>
      <w:r w:rsidRPr="001F069F">
        <w:t>Mosoni</w:t>
      </w:r>
      <w:proofErr w:type="spellEnd"/>
      <w:r w:rsidRPr="001F069F">
        <w:t xml:space="preserve"> L. Muscle wasting and resistance of muscle anabolism: the "anabolic threshold concept" for adapted nutritional strategies during sarcopenia.</w:t>
      </w:r>
      <w:r>
        <w:t xml:space="preserve"> </w:t>
      </w:r>
      <w:r w:rsidRPr="001F069F">
        <w:t>Scientific</w:t>
      </w:r>
      <w:r>
        <w:t xml:space="preserve"> </w:t>
      </w:r>
      <w:r w:rsidRPr="001F069F">
        <w:t>World</w:t>
      </w:r>
      <w:r>
        <w:t xml:space="preserve"> </w:t>
      </w:r>
      <w:r w:rsidRPr="001F069F">
        <w:t>Journal. 2012</w:t>
      </w:r>
      <w:proofErr w:type="gramStart"/>
      <w:r w:rsidRPr="001F069F">
        <w:t>;</w:t>
      </w:r>
      <w:r w:rsidRPr="00637CFD">
        <w:rPr>
          <w:u w:val="single"/>
        </w:rPr>
        <w:t>2012</w:t>
      </w:r>
      <w:r w:rsidRPr="001F069F">
        <w:t>:269531</w:t>
      </w:r>
      <w:proofErr w:type="gramEnd"/>
      <w:r w:rsidRPr="001F069F">
        <w:t>.</w:t>
      </w:r>
    </w:p>
    <w:p w14:paraId="68D12101" w14:textId="77777777" w:rsidR="001F069F" w:rsidRDefault="001F069F" w:rsidP="001F069F">
      <w:pPr>
        <w:pStyle w:val="Paragraphedeliste"/>
        <w:numPr>
          <w:ilvl w:val="0"/>
          <w:numId w:val="1"/>
        </w:numPr>
        <w:spacing w:line="360" w:lineRule="auto"/>
      </w:pPr>
      <w:proofErr w:type="spellStart"/>
      <w:r w:rsidRPr="001F069F">
        <w:t>Paddon</w:t>
      </w:r>
      <w:proofErr w:type="spellEnd"/>
      <w:r w:rsidRPr="001F069F">
        <w:t xml:space="preserve">-Jones D, Campbell WW, Jacques PF, </w:t>
      </w:r>
      <w:proofErr w:type="spellStart"/>
      <w:r w:rsidRPr="001F069F">
        <w:t>Kritchevsky</w:t>
      </w:r>
      <w:proofErr w:type="spellEnd"/>
      <w:r w:rsidRPr="001F069F">
        <w:t xml:space="preserve"> SB, Moore LL, Rodriguez NR, van Loon LJ.</w:t>
      </w:r>
      <w:r>
        <w:t xml:space="preserve"> </w:t>
      </w:r>
      <w:r w:rsidRPr="001F069F">
        <w:t xml:space="preserve">Protein and healthy aging. </w:t>
      </w:r>
      <w:r w:rsidRPr="001F069F">
        <w:rPr>
          <w:i/>
        </w:rPr>
        <w:t>American Journal of Clinical Nutrition</w:t>
      </w:r>
      <w:r w:rsidRPr="001F069F">
        <w:t>.</w:t>
      </w:r>
      <w:r>
        <w:t xml:space="preserve"> 2015</w:t>
      </w:r>
      <w:proofErr w:type="gramStart"/>
      <w:r>
        <w:t>;</w:t>
      </w:r>
      <w:r w:rsidRPr="00637CFD">
        <w:rPr>
          <w:u w:val="single"/>
        </w:rPr>
        <w:t>101</w:t>
      </w:r>
      <w:r>
        <w:t>:1339S</w:t>
      </w:r>
      <w:proofErr w:type="gramEnd"/>
      <w:r>
        <w:t>-45S.</w:t>
      </w:r>
    </w:p>
    <w:p w14:paraId="39EC1508" w14:textId="77777777" w:rsidR="001F069F" w:rsidRDefault="000C52B9" w:rsidP="000C52B9">
      <w:pPr>
        <w:pStyle w:val="Paragraphedeliste"/>
        <w:numPr>
          <w:ilvl w:val="0"/>
          <w:numId w:val="1"/>
        </w:numPr>
        <w:spacing w:line="360" w:lineRule="auto"/>
      </w:pPr>
      <w:proofErr w:type="spellStart"/>
      <w:r w:rsidRPr="000C52B9">
        <w:t>Dangin</w:t>
      </w:r>
      <w:proofErr w:type="spellEnd"/>
      <w:r w:rsidRPr="000C52B9">
        <w:t xml:space="preserve"> M, </w:t>
      </w:r>
      <w:proofErr w:type="spellStart"/>
      <w:r w:rsidRPr="000C52B9">
        <w:t>Guillet</w:t>
      </w:r>
      <w:proofErr w:type="spellEnd"/>
      <w:r w:rsidRPr="000C52B9">
        <w:t xml:space="preserve"> C, Garcia-</w:t>
      </w:r>
      <w:proofErr w:type="spellStart"/>
      <w:r w:rsidRPr="000C52B9">
        <w:t>Rodenas</w:t>
      </w:r>
      <w:proofErr w:type="spellEnd"/>
      <w:r w:rsidRPr="000C52B9">
        <w:t xml:space="preserve"> C, </w:t>
      </w:r>
      <w:proofErr w:type="spellStart"/>
      <w:r w:rsidRPr="000C52B9">
        <w:t>Gachon</w:t>
      </w:r>
      <w:proofErr w:type="spellEnd"/>
      <w:r w:rsidRPr="000C52B9">
        <w:t xml:space="preserve"> P, </w:t>
      </w:r>
      <w:proofErr w:type="spellStart"/>
      <w:r w:rsidRPr="000C52B9">
        <w:t>Bouteloup-Demange</w:t>
      </w:r>
      <w:proofErr w:type="spellEnd"/>
      <w:r w:rsidRPr="000C52B9">
        <w:t xml:space="preserve"> C, </w:t>
      </w:r>
      <w:proofErr w:type="spellStart"/>
      <w:r w:rsidRPr="000C52B9">
        <w:t>Reiffers-Magnani</w:t>
      </w:r>
      <w:proofErr w:type="spellEnd"/>
      <w:r w:rsidRPr="000C52B9">
        <w:t xml:space="preserve"> K, </w:t>
      </w:r>
      <w:proofErr w:type="spellStart"/>
      <w:r w:rsidRPr="000C52B9">
        <w:t>Fauquant</w:t>
      </w:r>
      <w:proofErr w:type="spellEnd"/>
      <w:r w:rsidRPr="000C52B9">
        <w:t xml:space="preserve"> J, </w:t>
      </w:r>
      <w:proofErr w:type="spellStart"/>
      <w:r w:rsidRPr="000C52B9">
        <w:t>Ballèvre</w:t>
      </w:r>
      <w:proofErr w:type="spellEnd"/>
      <w:r w:rsidRPr="000C52B9">
        <w:t xml:space="preserve"> O, </w:t>
      </w:r>
      <w:proofErr w:type="spellStart"/>
      <w:r w:rsidRPr="000C52B9">
        <w:t>Beaufrère</w:t>
      </w:r>
      <w:proofErr w:type="spellEnd"/>
      <w:r w:rsidRPr="000C52B9">
        <w:t xml:space="preserve"> B. The rate of protein digestion affects protein gain differently during aging in humans. </w:t>
      </w:r>
      <w:r w:rsidRPr="000C52B9">
        <w:rPr>
          <w:i/>
        </w:rPr>
        <w:t>Journal of Physiology</w:t>
      </w:r>
      <w:r>
        <w:t>. 2003</w:t>
      </w:r>
      <w:proofErr w:type="gramStart"/>
      <w:r>
        <w:t>;</w:t>
      </w:r>
      <w:r w:rsidRPr="00637CFD">
        <w:rPr>
          <w:u w:val="single"/>
        </w:rPr>
        <w:t>549</w:t>
      </w:r>
      <w:r w:rsidRPr="000C52B9">
        <w:t>:635</w:t>
      </w:r>
      <w:proofErr w:type="gramEnd"/>
      <w:r w:rsidRPr="000C52B9">
        <w:t>-44.</w:t>
      </w:r>
    </w:p>
    <w:p w14:paraId="30EF9C70" w14:textId="77777777" w:rsidR="00EA6132" w:rsidRDefault="00EA6132" w:rsidP="00EA6132">
      <w:pPr>
        <w:pStyle w:val="Paragraphedeliste"/>
        <w:numPr>
          <w:ilvl w:val="0"/>
          <w:numId w:val="1"/>
        </w:numPr>
        <w:spacing w:line="360" w:lineRule="auto"/>
      </w:pPr>
      <w:proofErr w:type="spellStart"/>
      <w:r w:rsidRPr="00EA6132">
        <w:lastRenderedPageBreak/>
        <w:t>Rémond</w:t>
      </w:r>
      <w:proofErr w:type="spellEnd"/>
      <w:r w:rsidRPr="00EA6132">
        <w:t xml:space="preserve"> D, </w:t>
      </w:r>
      <w:proofErr w:type="spellStart"/>
      <w:r w:rsidRPr="00EA6132">
        <w:t>Machebeuf</w:t>
      </w:r>
      <w:proofErr w:type="spellEnd"/>
      <w:r w:rsidRPr="00EA6132">
        <w:t xml:space="preserve"> M, </w:t>
      </w:r>
      <w:proofErr w:type="spellStart"/>
      <w:r w:rsidRPr="00EA6132">
        <w:t>Yven</w:t>
      </w:r>
      <w:proofErr w:type="spellEnd"/>
      <w:r w:rsidRPr="00EA6132">
        <w:t xml:space="preserve"> C, </w:t>
      </w:r>
      <w:proofErr w:type="spellStart"/>
      <w:r w:rsidRPr="00EA6132">
        <w:t>Buffière</w:t>
      </w:r>
      <w:proofErr w:type="spellEnd"/>
      <w:r w:rsidRPr="00EA6132">
        <w:t xml:space="preserve"> C, </w:t>
      </w:r>
      <w:proofErr w:type="spellStart"/>
      <w:r w:rsidRPr="00EA6132">
        <w:t>Mioche</w:t>
      </w:r>
      <w:proofErr w:type="spellEnd"/>
      <w:r w:rsidRPr="00EA6132">
        <w:t xml:space="preserve"> L, </w:t>
      </w:r>
      <w:proofErr w:type="spellStart"/>
      <w:r w:rsidRPr="00EA6132">
        <w:t>Mosoni</w:t>
      </w:r>
      <w:proofErr w:type="spellEnd"/>
      <w:r w:rsidRPr="00EA6132">
        <w:t xml:space="preserve"> L, </w:t>
      </w:r>
      <w:proofErr w:type="spellStart"/>
      <w:r w:rsidRPr="00EA6132">
        <w:t>Patureau-Mirand</w:t>
      </w:r>
      <w:proofErr w:type="spellEnd"/>
      <w:r w:rsidRPr="00EA6132">
        <w:t xml:space="preserve"> P. Postprandial whole-body protein metabolism after a meat meal is influenced by chewing efficiency in elderly </w:t>
      </w:r>
      <w:r>
        <w:t xml:space="preserve">subjects. </w:t>
      </w:r>
      <w:r w:rsidRPr="00694B02">
        <w:rPr>
          <w:i/>
        </w:rPr>
        <w:t>American Journal of Clinical Nutrition</w:t>
      </w:r>
      <w:r>
        <w:t>. 2007</w:t>
      </w:r>
      <w:proofErr w:type="gramStart"/>
      <w:r>
        <w:t>;</w:t>
      </w:r>
      <w:r w:rsidRPr="00EA6132">
        <w:rPr>
          <w:u w:val="single"/>
        </w:rPr>
        <w:t>85</w:t>
      </w:r>
      <w:r>
        <w:t>:</w:t>
      </w:r>
      <w:r w:rsidRPr="00EA6132">
        <w:t>1286</w:t>
      </w:r>
      <w:proofErr w:type="gramEnd"/>
      <w:r w:rsidRPr="00EA6132">
        <w:t>-1292.</w:t>
      </w:r>
    </w:p>
    <w:p w14:paraId="735147EE" w14:textId="77777777" w:rsidR="00637CFD" w:rsidRDefault="00637CFD" w:rsidP="00637CFD">
      <w:pPr>
        <w:pStyle w:val="Paragraphedeliste"/>
        <w:numPr>
          <w:ilvl w:val="0"/>
          <w:numId w:val="1"/>
        </w:numPr>
        <w:spacing w:line="360" w:lineRule="auto"/>
      </w:pPr>
      <w:proofErr w:type="spellStart"/>
      <w:r w:rsidRPr="00637CFD">
        <w:t>Pennings</w:t>
      </w:r>
      <w:proofErr w:type="spellEnd"/>
      <w:r w:rsidRPr="00637CFD">
        <w:t xml:space="preserve"> B, </w:t>
      </w:r>
      <w:proofErr w:type="spellStart"/>
      <w:r w:rsidRPr="00637CFD">
        <w:t>Groen</w:t>
      </w:r>
      <w:proofErr w:type="spellEnd"/>
      <w:r w:rsidRPr="00637CFD">
        <w:t xml:space="preserve"> BB, van </w:t>
      </w:r>
      <w:proofErr w:type="spellStart"/>
      <w:r w:rsidRPr="00637CFD">
        <w:t>Dijk</w:t>
      </w:r>
      <w:proofErr w:type="spellEnd"/>
      <w:r w:rsidRPr="00637CFD">
        <w:t xml:space="preserve"> </w:t>
      </w:r>
      <w:proofErr w:type="spellStart"/>
      <w:r w:rsidRPr="00637CFD">
        <w:t>JW</w:t>
      </w:r>
      <w:proofErr w:type="spellEnd"/>
      <w:r w:rsidRPr="00637CFD">
        <w:t xml:space="preserve">, de Lange A, </w:t>
      </w:r>
      <w:proofErr w:type="spellStart"/>
      <w:r w:rsidRPr="00637CFD">
        <w:t>Kiskini</w:t>
      </w:r>
      <w:proofErr w:type="spellEnd"/>
      <w:r w:rsidRPr="00637CFD">
        <w:t xml:space="preserve"> A, </w:t>
      </w:r>
      <w:proofErr w:type="spellStart"/>
      <w:r w:rsidRPr="00637CFD">
        <w:t>Kuklinski</w:t>
      </w:r>
      <w:proofErr w:type="spellEnd"/>
      <w:r w:rsidRPr="00637CFD">
        <w:t xml:space="preserve"> M, </w:t>
      </w:r>
      <w:proofErr w:type="spellStart"/>
      <w:r w:rsidRPr="00637CFD">
        <w:t>Senden</w:t>
      </w:r>
      <w:proofErr w:type="spellEnd"/>
      <w:r w:rsidRPr="00637CFD">
        <w:t xml:space="preserve"> JM, van Loon LJ. Minced beef is more rapidly digested and absorbed than beef steak, resulting in greater postprandial protein retention in older men. </w:t>
      </w:r>
      <w:r w:rsidRPr="00694B02">
        <w:rPr>
          <w:i/>
        </w:rPr>
        <w:t>Am</w:t>
      </w:r>
      <w:r w:rsidR="00694B02" w:rsidRPr="00694B02">
        <w:rPr>
          <w:i/>
        </w:rPr>
        <w:t>erican</w:t>
      </w:r>
      <w:r w:rsidRPr="00694B02">
        <w:rPr>
          <w:i/>
        </w:rPr>
        <w:t xml:space="preserve"> J</w:t>
      </w:r>
      <w:r w:rsidR="00694B02" w:rsidRPr="00694B02">
        <w:rPr>
          <w:i/>
        </w:rPr>
        <w:t>ournal of</w:t>
      </w:r>
      <w:r w:rsidRPr="00694B02">
        <w:rPr>
          <w:i/>
        </w:rPr>
        <w:t xml:space="preserve"> Clin</w:t>
      </w:r>
      <w:r w:rsidR="00694B02" w:rsidRPr="00694B02">
        <w:rPr>
          <w:i/>
        </w:rPr>
        <w:t>ical</w:t>
      </w:r>
      <w:r w:rsidRPr="00694B02">
        <w:rPr>
          <w:i/>
        </w:rPr>
        <w:t xml:space="preserve"> Nutr</w:t>
      </w:r>
      <w:r w:rsidR="00694B02" w:rsidRPr="00694B02">
        <w:rPr>
          <w:i/>
        </w:rPr>
        <w:t>ition</w:t>
      </w:r>
      <w:r w:rsidR="00694B02">
        <w:t>. 2013</w:t>
      </w:r>
      <w:proofErr w:type="gramStart"/>
      <w:r w:rsidRPr="00637CFD">
        <w:t>;</w:t>
      </w:r>
      <w:r w:rsidRPr="00694B02">
        <w:rPr>
          <w:u w:val="single"/>
        </w:rPr>
        <w:t>98</w:t>
      </w:r>
      <w:proofErr w:type="gramEnd"/>
      <w:r w:rsidRPr="00637CFD">
        <w:t>(1):121-8.</w:t>
      </w:r>
    </w:p>
    <w:p w14:paraId="10416E19" w14:textId="77777777" w:rsidR="00694B02" w:rsidRDefault="00694B02" w:rsidP="00694B02">
      <w:pPr>
        <w:pStyle w:val="Paragraphedeliste"/>
        <w:numPr>
          <w:ilvl w:val="0"/>
          <w:numId w:val="1"/>
        </w:numPr>
        <w:spacing w:line="360" w:lineRule="auto"/>
      </w:pPr>
      <w:proofErr w:type="spellStart"/>
      <w:r w:rsidRPr="00694B02">
        <w:t>Bax</w:t>
      </w:r>
      <w:proofErr w:type="spellEnd"/>
      <w:r w:rsidRPr="00694B02">
        <w:t xml:space="preserve"> ML, </w:t>
      </w:r>
      <w:proofErr w:type="spellStart"/>
      <w:r w:rsidRPr="00694B02">
        <w:t>Buffière</w:t>
      </w:r>
      <w:proofErr w:type="spellEnd"/>
      <w:r w:rsidRPr="00694B02">
        <w:t xml:space="preserve"> C, </w:t>
      </w:r>
      <w:proofErr w:type="spellStart"/>
      <w:r w:rsidRPr="00694B02">
        <w:t>Hafnaoui</w:t>
      </w:r>
      <w:proofErr w:type="spellEnd"/>
      <w:r w:rsidRPr="00694B02">
        <w:t xml:space="preserve"> N, </w:t>
      </w:r>
      <w:proofErr w:type="spellStart"/>
      <w:r w:rsidRPr="00694B02">
        <w:t>Gaudichon</w:t>
      </w:r>
      <w:proofErr w:type="spellEnd"/>
      <w:r w:rsidRPr="00694B02">
        <w:t xml:space="preserve"> C, </w:t>
      </w:r>
      <w:proofErr w:type="spellStart"/>
      <w:r w:rsidRPr="00694B02">
        <w:t>Savary-Auzeloux</w:t>
      </w:r>
      <w:proofErr w:type="spellEnd"/>
      <w:r w:rsidRPr="00694B02">
        <w:t xml:space="preserve"> I, </w:t>
      </w:r>
      <w:proofErr w:type="spellStart"/>
      <w:r w:rsidRPr="00694B02">
        <w:t>Dardevet</w:t>
      </w:r>
      <w:proofErr w:type="spellEnd"/>
      <w:r w:rsidRPr="00694B02">
        <w:t xml:space="preserve"> D, Santé-</w:t>
      </w:r>
      <w:proofErr w:type="spellStart"/>
      <w:r w:rsidRPr="00694B02">
        <w:t>Lhoutellier</w:t>
      </w:r>
      <w:proofErr w:type="spellEnd"/>
      <w:r w:rsidRPr="00694B02">
        <w:t xml:space="preserve"> V, </w:t>
      </w:r>
      <w:proofErr w:type="spellStart"/>
      <w:r w:rsidRPr="00694B02">
        <w:t>Rémond</w:t>
      </w:r>
      <w:proofErr w:type="spellEnd"/>
      <w:r w:rsidRPr="00694B02">
        <w:t xml:space="preserve"> D. Effects of meat cooking, and of ingested amount, on protein digestion speed and entry of residual proteins into the colon: a study in </w:t>
      </w:r>
      <w:proofErr w:type="spellStart"/>
      <w:r w:rsidRPr="00694B02">
        <w:t>minipigs</w:t>
      </w:r>
      <w:proofErr w:type="spellEnd"/>
      <w:r w:rsidRPr="00694B02">
        <w:t>.</w:t>
      </w:r>
      <w:r>
        <w:t xml:space="preserve"> </w:t>
      </w:r>
      <w:proofErr w:type="spellStart"/>
      <w:r>
        <w:t>PLoS</w:t>
      </w:r>
      <w:proofErr w:type="spellEnd"/>
      <w:r>
        <w:t xml:space="preserve"> One. 2013</w:t>
      </w:r>
      <w:proofErr w:type="gramStart"/>
      <w:r w:rsidRPr="00694B02">
        <w:t>;</w:t>
      </w:r>
      <w:r w:rsidRPr="00694B02">
        <w:rPr>
          <w:u w:val="single"/>
        </w:rPr>
        <w:t>8</w:t>
      </w:r>
      <w:proofErr w:type="gramEnd"/>
      <w:r w:rsidRPr="00694B02">
        <w:t>(4):e61252.</w:t>
      </w:r>
    </w:p>
    <w:p w14:paraId="392979A4" w14:textId="77777777" w:rsidR="00D72C79" w:rsidRPr="00D72C79" w:rsidRDefault="00D72C79" w:rsidP="00D72C79">
      <w:pPr>
        <w:pStyle w:val="Paragraphedeliste"/>
        <w:numPr>
          <w:ilvl w:val="0"/>
          <w:numId w:val="1"/>
        </w:numPr>
        <w:spacing w:line="360" w:lineRule="auto"/>
      </w:pPr>
      <w:proofErr w:type="spellStart"/>
      <w:r w:rsidRPr="00D72C79">
        <w:t>Rondanelli</w:t>
      </w:r>
      <w:proofErr w:type="spellEnd"/>
      <w:r w:rsidRPr="00D72C79">
        <w:t xml:space="preserve"> M, </w:t>
      </w:r>
      <w:proofErr w:type="spellStart"/>
      <w:r w:rsidRPr="00D72C79">
        <w:t>Perna</w:t>
      </w:r>
      <w:proofErr w:type="spellEnd"/>
      <w:r w:rsidRPr="00D72C79">
        <w:t xml:space="preserve"> S, </w:t>
      </w:r>
      <w:proofErr w:type="spellStart"/>
      <w:r w:rsidRPr="00D72C79">
        <w:t>Faliva</w:t>
      </w:r>
      <w:proofErr w:type="spellEnd"/>
      <w:r w:rsidRPr="00D72C79">
        <w:t xml:space="preserve"> MA, </w:t>
      </w:r>
      <w:proofErr w:type="spellStart"/>
      <w:r w:rsidRPr="00D72C79">
        <w:t>Peroni</w:t>
      </w:r>
      <w:proofErr w:type="spellEnd"/>
      <w:r w:rsidRPr="00D72C79">
        <w:t xml:space="preserve"> G, </w:t>
      </w:r>
      <w:proofErr w:type="spellStart"/>
      <w:r w:rsidRPr="00D72C79">
        <w:t>Infantino</w:t>
      </w:r>
      <w:proofErr w:type="spellEnd"/>
      <w:r w:rsidRPr="00D72C79">
        <w:t xml:space="preserve"> V, </w:t>
      </w:r>
      <w:proofErr w:type="spellStart"/>
      <w:r w:rsidRPr="00D72C79">
        <w:t>Pozzi</w:t>
      </w:r>
      <w:proofErr w:type="spellEnd"/>
      <w:r w:rsidRPr="00D72C79">
        <w:t xml:space="preserve"> R. </w:t>
      </w:r>
      <w:r>
        <w:t>N</w:t>
      </w:r>
      <w:r w:rsidRPr="00D72C79">
        <w:t>ovel insights on intake of meat and prevention of sarcopenia: all reasons for an adequate consumption.</w:t>
      </w:r>
      <w:r>
        <w:t xml:space="preserve"> </w:t>
      </w:r>
      <w:r w:rsidRPr="00D72C79">
        <w:rPr>
          <w:i/>
        </w:rPr>
        <w:t xml:space="preserve">Nutrition </w:t>
      </w:r>
      <w:proofErr w:type="spellStart"/>
      <w:r w:rsidRPr="00D72C79">
        <w:rPr>
          <w:i/>
        </w:rPr>
        <w:t>Hospitalaria</w:t>
      </w:r>
      <w:proofErr w:type="spellEnd"/>
      <w:r>
        <w:t>. 2015</w:t>
      </w:r>
      <w:proofErr w:type="gramStart"/>
      <w:r w:rsidRPr="00D72C79">
        <w:t>;</w:t>
      </w:r>
      <w:r w:rsidRPr="00D72C79">
        <w:rPr>
          <w:u w:val="single"/>
        </w:rPr>
        <w:t>32</w:t>
      </w:r>
      <w:proofErr w:type="gramEnd"/>
      <w:r>
        <w:t>(</w:t>
      </w:r>
      <w:r w:rsidRPr="00D72C79">
        <w:t>5):2136-2143.</w:t>
      </w:r>
    </w:p>
    <w:sectPr w:rsidR="00D72C79" w:rsidRPr="00D72C79">
      <w:footerReference w:type="default" r:id="rId10"/>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087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86BC0" w14:textId="77777777" w:rsidR="00E875DD" w:rsidRDefault="00E875DD" w:rsidP="00EA6400">
      <w:pPr>
        <w:spacing w:after="0" w:line="240" w:lineRule="auto"/>
      </w:pPr>
      <w:r>
        <w:separator/>
      </w:r>
    </w:p>
  </w:endnote>
  <w:endnote w:type="continuationSeparator" w:id="0">
    <w:p w14:paraId="6FE504CB" w14:textId="77777777" w:rsidR="00E875DD" w:rsidRDefault="00E875DD" w:rsidP="00EA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8342"/>
      <w:docPartObj>
        <w:docPartGallery w:val="Page Numbers (Bottom of Page)"/>
        <w:docPartUnique/>
      </w:docPartObj>
    </w:sdtPr>
    <w:sdtEndPr/>
    <w:sdtContent>
      <w:p w14:paraId="7B97C57E" w14:textId="77777777" w:rsidR="00EA6400" w:rsidRDefault="00EA6400">
        <w:pPr>
          <w:pStyle w:val="Pieddepage"/>
          <w:jc w:val="center"/>
        </w:pPr>
        <w:r>
          <w:fldChar w:fldCharType="begin"/>
        </w:r>
        <w:r>
          <w:instrText>PAGE   \* MERGEFORMAT</w:instrText>
        </w:r>
        <w:r>
          <w:fldChar w:fldCharType="separate"/>
        </w:r>
        <w:r w:rsidR="001A4E43" w:rsidRPr="001A4E43">
          <w:rPr>
            <w:noProof/>
            <w:lang w:val="fr-FR"/>
          </w:rPr>
          <w:t>1</w:t>
        </w:r>
        <w:r>
          <w:fldChar w:fldCharType="end"/>
        </w:r>
      </w:p>
    </w:sdtContent>
  </w:sdt>
  <w:p w14:paraId="08806006" w14:textId="77777777" w:rsidR="00EA6400" w:rsidRDefault="00EA64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F6C1" w14:textId="77777777" w:rsidR="00E875DD" w:rsidRDefault="00E875DD" w:rsidP="00EA6400">
      <w:pPr>
        <w:spacing w:after="0" w:line="240" w:lineRule="auto"/>
      </w:pPr>
      <w:r>
        <w:separator/>
      </w:r>
    </w:p>
  </w:footnote>
  <w:footnote w:type="continuationSeparator" w:id="0">
    <w:p w14:paraId="657E8734" w14:textId="77777777" w:rsidR="00E875DD" w:rsidRDefault="00E875DD" w:rsidP="00EA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009"/>
    <w:multiLevelType w:val="hybridMultilevel"/>
    <w:tmpl w:val="74960E90"/>
    <w:lvl w:ilvl="0" w:tplc="68C8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dardevet">
    <w15:presenceInfo w15:providerId="AD" w15:userId="S-1-5-21-3569255166-3711921035-3486062074-26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B8"/>
    <w:rsid w:val="00037FEA"/>
    <w:rsid w:val="000A1622"/>
    <w:rsid w:val="000A23EC"/>
    <w:rsid w:val="000B0554"/>
    <w:rsid w:val="000C52B9"/>
    <w:rsid w:val="000F0A51"/>
    <w:rsid w:val="0010190D"/>
    <w:rsid w:val="001805A8"/>
    <w:rsid w:val="001A3F16"/>
    <w:rsid w:val="001A4E43"/>
    <w:rsid w:val="001C4E6F"/>
    <w:rsid w:val="001D5BC9"/>
    <w:rsid w:val="001E41BA"/>
    <w:rsid w:val="001E599C"/>
    <w:rsid w:val="001F069F"/>
    <w:rsid w:val="00212DC0"/>
    <w:rsid w:val="0021441B"/>
    <w:rsid w:val="002940D7"/>
    <w:rsid w:val="002A67E4"/>
    <w:rsid w:val="002E52B6"/>
    <w:rsid w:val="00312ACF"/>
    <w:rsid w:val="003171BF"/>
    <w:rsid w:val="00396DA0"/>
    <w:rsid w:val="003A4C62"/>
    <w:rsid w:val="003B7638"/>
    <w:rsid w:val="003C425B"/>
    <w:rsid w:val="003D6744"/>
    <w:rsid w:val="00435BFE"/>
    <w:rsid w:val="00435FA6"/>
    <w:rsid w:val="00466D96"/>
    <w:rsid w:val="00484C11"/>
    <w:rsid w:val="004903EA"/>
    <w:rsid w:val="004A3E75"/>
    <w:rsid w:val="004D03A3"/>
    <w:rsid w:val="004E3E88"/>
    <w:rsid w:val="004E7150"/>
    <w:rsid w:val="00513F69"/>
    <w:rsid w:val="0052417C"/>
    <w:rsid w:val="00532370"/>
    <w:rsid w:val="0054742C"/>
    <w:rsid w:val="005615BF"/>
    <w:rsid w:val="005F4F35"/>
    <w:rsid w:val="005F58DF"/>
    <w:rsid w:val="0060007C"/>
    <w:rsid w:val="00606E36"/>
    <w:rsid w:val="006070BB"/>
    <w:rsid w:val="00630C26"/>
    <w:rsid w:val="00633791"/>
    <w:rsid w:val="00637CFD"/>
    <w:rsid w:val="00647B07"/>
    <w:rsid w:val="00674362"/>
    <w:rsid w:val="00675A97"/>
    <w:rsid w:val="0068555B"/>
    <w:rsid w:val="006913A1"/>
    <w:rsid w:val="00694B02"/>
    <w:rsid w:val="00697EF1"/>
    <w:rsid w:val="006C0EAB"/>
    <w:rsid w:val="00737AF1"/>
    <w:rsid w:val="007718B7"/>
    <w:rsid w:val="00792924"/>
    <w:rsid w:val="007B1835"/>
    <w:rsid w:val="007D4649"/>
    <w:rsid w:val="0080319B"/>
    <w:rsid w:val="00894C68"/>
    <w:rsid w:val="008A39AA"/>
    <w:rsid w:val="008B54D9"/>
    <w:rsid w:val="008F3F07"/>
    <w:rsid w:val="008F5D3B"/>
    <w:rsid w:val="008F636F"/>
    <w:rsid w:val="0090280E"/>
    <w:rsid w:val="009052E4"/>
    <w:rsid w:val="00911B23"/>
    <w:rsid w:val="009263A1"/>
    <w:rsid w:val="00934F92"/>
    <w:rsid w:val="00954B6C"/>
    <w:rsid w:val="00955AB8"/>
    <w:rsid w:val="0095645D"/>
    <w:rsid w:val="00974FAE"/>
    <w:rsid w:val="00995200"/>
    <w:rsid w:val="009A0454"/>
    <w:rsid w:val="009A2A80"/>
    <w:rsid w:val="009C4863"/>
    <w:rsid w:val="009D5F11"/>
    <w:rsid w:val="009E3719"/>
    <w:rsid w:val="00A06C7F"/>
    <w:rsid w:val="00A3252E"/>
    <w:rsid w:val="00A75711"/>
    <w:rsid w:val="00AD368C"/>
    <w:rsid w:val="00B1292F"/>
    <w:rsid w:val="00B31267"/>
    <w:rsid w:val="00B402FF"/>
    <w:rsid w:val="00B65ED1"/>
    <w:rsid w:val="00B871FB"/>
    <w:rsid w:val="00BA1B3E"/>
    <w:rsid w:val="00BC59F5"/>
    <w:rsid w:val="00BC7D93"/>
    <w:rsid w:val="00BD7699"/>
    <w:rsid w:val="00C17DAF"/>
    <w:rsid w:val="00C2081D"/>
    <w:rsid w:val="00C21597"/>
    <w:rsid w:val="00C47740"/>
    <w:rsid w:val="00C52C63"/>
    <w:rsid w:val="00C56A4D"/>
    <w:rsid w:val="00CA13D3"/>
    <w:rsid w:val="00CA3879"/>
    <w:rsid w:val="00CA591D"/>
    <w:rsid w:val="00CE6D87"/>
    <w:rsid w:val="00CF2CE2"/>
    <w:rsid w:val="00D07295"/>
    <w:rsid w:val="00D10BBD"/>
    <w:rsid w:val="00D13EB4"/>
    <w:rsid w:val="00D72C79"/>
    <w:rsid w:val="00D81502"/>
    <w:rsid w:val="00DC2B48"/>
    <w:rsid w:val="00DC7BEF"/>
    <w:rsid w:val="00DD1F2F"/>
    <w:rsid w:val="00DD50A5"/>
    <w:rsid w:val="00DE5FA1"/>
    <w:rsid w:val="00E012C3"/>
    <w:rsid w:val="00E22E70"/>
    <w:rsid w:val="00E50519"/>
    <w:rsid w:val="00E875DD"/>
    <w:rsid w:val="00E93B8D"/>
    <w:rsid w:val="00EA6132"/>
    <w:rsid w:val="00EA6400"/>
    <w:rsid w:val="00ED181C"/>
    <w:rsid w:val="00EF564D"/>
    <w:rsid w:val="00F722A9"/>
    <w:rsid w:val="00FB25EC"/>
    <w:rsid w:val="00FC0769"/>
    <w:rsid w:val="00FD0B91"/>
    <w:rsid w:val="00FD486E"/>
    <w:rsid w:val="00FE7CB7"/>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AB8"/>
    <w:rPr>
      <w:color w:val="0000FF" w:themeColor="hyperlink"/>
      <w:u w:val="single"/>
    </w:rPr>
  </w:style>
  <w:style w:type="paragraph" w:styleId="Textedebulles">
    <w:name w:val="Balloon Text"/>
    <w:basedOn w:val="Normal"/>
    <w:link w:val="TextedebullesCar"/>
    <w:uiPriority w:val="99"/>
    <w:semiHidden/>
    <w:unhideWhenUsed/>
    <w:rsid w:val="00DE5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A1"/>
    <w:rPr>
      <w:rFonts w:ascii="Tahoma" w:hAnsi="Tahoma" w:cs="Tahoma"/>
      <w:sz w:val="16"/>
      <w:szCs w:val="16"/>
    </w:rPr>
  </w:style>
  <w:style w:type="paragraph" w:styleId="Paragraphedeliste">
    <w:name w:val="List Paragraph"/>
    <w:basedOn w:val="Normal"/>
    <w:uiPriority w:val="34"/>
    <w:qFormat/>
    <w:rsid w:val="0021441B"/>
    <w:pPr>
      <w:ind w:left="720"/>
      <w:contextualSpacing/>
    </w:pPr>
  </w:style>
  <w:style w:type="paragraph" w:styleId="En-tte">
    <w:name w:val="header"/>
    <w:basedOn w:val="Normal"/>
    <w:link w:val="En-tteCar"/>
    <w:uiPriority w:val="99"/>
    <w:unhideWhenUsed/>
    <w:rsid w:val="00EA6400"/>
    <w:pPr>
      <w:tabs>
        <w:tab w:val="center" w:pos="4703"/>
        <w:tab w:val="right" w:pos="9406"/>
      </w:tabs>
      <w:spacing w:after="0" w:line="240" w:lineRule="auto"/>
    </w:pPr>
  </w:style>
  <w:style w:type="character" w:customStyle="1" w:styleId="En-tteCar">
    <w:name w:val="En-tête Car"/>
    <w:basedOn w:val="Policepardfaut"/>
    <w:link w:val="En-tte"/>
    <w:uiPriority w:val="99"/>
    <w:rsid w:val="00EA6400"/>
  </w:style>
  <w:style w:type="paragraph" w:styleId="Pieddepage">
    <w:name w:val="footer"/>
    <w:basedOn w:val="Normal"/>
    <w:link w:val="PieddepageCar"/>
    <w:uiPriority w:val="99"/>
    <w:unhideWhenUsed/>
    <w:rsid w:val="00EA64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A6400"/>
  </w:style>
  <w:style w:type="character" w:styleId="Marquedecommentaire">
    <w:name w:val="annotation reference"/>
    <w:basedOn w:val="Policepardfaut"/>
    <w:uiPriority w:val="99"/>
    <w:semiHidden/>
    <w:unhideWhenUsed/>
    <w:rsid w:val="007718B7"/>
    <w:rPr>
      <w:sz w:val="16"/>
      <w:szCs w:val="16"/>
    </w:rPr>
  </w:style>
  <w:style w:type="paragraph" w:styleId="Commentaire">
    <w:name w:val="annotation text"/>
    <w:basedOn w:val="Normal"/>
    <w:link w:val="CommentaireCar"/>
    <w:uiPriority w:val="99"/>
    <w:semiHidden/>
    <w:unhideWhenUsed/>
    <w:rsid w:val="007718B7"/>
    <w:pPr>
      <w:spacing w:line="240" w:lineRule="auto"/>
    </w:pPr>
    <w:rPr>
      <w:sz w:val="20"/>
      <w:szCs w:val="20"/>
    </w:rPr>
  </w:style>
  <w:style w:type="character" w:customStyle="1" w:styleId="CommentaireCar">
    <w:name w:val="Commentaire Car"/>
    <w:basedOn w:val="Policepardfaut"/>
    <w:link w:val="Commentaire"/>
    <w:uiPriority w:val="99"/>
    <w:semiHidden/>
    <w:rsid w:val="007718B7"/>
    <w:rPr>
      <w:sz w:val="20"/>
      <w:szCs w:val="20"/>
    </w:rPr>
  </w:style>
  <w:style w:type="paragraph" w:styleId="Objetducommentaire">
    <w:name w:val="annotation subject"/>
    <w:basedOn w:val="Commentaire"/>
    <w:next w:val="Commentaire"/>
    <w:link w:val="ObjetducommentaireCar"/>
    <w:uiPriority w:val="99"/>
    <w:semiHidden/>
    <w:unhideWhenUsed/>
    <w:rsid w:val="007718B7"/>
    <w:rPr>
      <w:b/>
      <w:bCs/>
    </w:rPr>
  </w:style>
  <w:style w:type="character" w:customStyle="1" w:styleId="ObjetducommentaireCar">
    <w:name w:val="Objet du commentaire Car"/>
    <w:basedOn w:val="CommentaireCar"/>
    <w:link w:val="Objetducommentaire"/>
    <w:uiPriority w:val="99"/>
    <w:semiHidden/>
    <w:rsid w:val="007718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AB8"/>
    <w:rPr>
      <w:color w:val="0000FF" w:themeColor="hyperlink"/>
      <w:u w:val="single"/>
    </w:rPr>
  </w:style>
  <w:style w:type="paragraph" w:styleId="Textedebulles">
    <w:name w:val="Balloon Text"/>
    <w:basedOn w:val="Normal"/>
    <w:link w:val="TextedebullesCar"/>
    <w:uiPriority w:val="99"/>
    <w:semiHidden/>
    <w:unhideWhenUsed/>
    <w:rsid w:val="00DE5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A1"/>
    <w:rPr>
      <w:rFonts w:ascii="Tahoma" w:hAnsi="Tahoma" w:cs="Tahoma"/>
      <w:sz w:val="16"/>
      <w:szCs w:val="16"/>
    </w:rPr>
  </w:style>
  <w:style w:type="paragraph" w:styleId="Paragraphedeliste">
    <w:name w:val="List Paragraph"/>
    <w:basedOn w:val="Normal"/>
    <w:uiPriority w:val="34"/>
    <w:qFormat/>
    <w:rsid w:val="0021441B"/>
    <w:pPr>
      <w:ind w:left="720"/>
      <w:contextualSpacing/>
    </w:pPr>
  </w:style>
  <w:style w:type="paragraph" w:styleId="En-tte">
    <w:name w:val="header"/>
    <w:basedOn w:val="Normal"/>
    <w:link w:val="En-tteCar"/>
    <w:uiPriority w:val="99"/>
    <w:unhideWhenUsed/>
    <w:rsid w:val="00EA6400"/>
    <w:pPr>
      <w:tabs>
        <w:tab w:val="center" w:pos="4703"/>
        <w:tab w:val="right" w:pos="9406"/>
      </w:tabs>
      <w:spacing w:after="0" w:line="240" w:lineRule="auto"/>
    </w:pPr>
  </w:style>
  <w:style w:type="character" w:customStyle="1" w:styleId="En-tteCar">
    <w:name w:val="En-tête Car"/>
    <w:basedOn w:val="Policepardfaut"/>
    <w:link w:val="En-tte"/>
    <w:uiPriority w:val="99"/>
    <w:rsid w:val="00EA6400"/>
  </w:style>
  <w:style w:type="paragraph" w:styleId="Pieddepage">
    <w:name w:val="footer"/>
    <w:basedOn w:val="Normal"/>
    <w:link w:val="PieddepageCar"/>
    <w:uiPriority w:val="99"/>
    <w:unhideWhenUsed/>
    <w:rsid w:val="00EA64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A6400"/>
  </w:style>
  <w:style w:type="character" w:styleId="Marquedecommentaire">
    <w:name w:val="annotation reference"/>
    <w:basedOn w:val="Policepardfaut"/>
    <w:uiPriority w:val="99"/>
    <w:semiHidden/>
    <w:unhideWhenUsed/>
    <w:rsid w:val="007718B7"/>
    <w:rPr>
      <w:sz w:val="16"/>
      <w:szCs w:val="16"/>
    </w:rPr>
  </w:style>
  <w:style w:type="paragraph" w:styleId="Commentaire">
    <w:name w:val="annotation text"/>
    <w:basedOn w:val="Normal"/>
    <w:link w:val="CommentaireCar"/>
    <w:uiPriority w:val="99"/>
    <w:semiHidden/>
    <w:unhideWhenUsed/>
    <w:rsid w:val="007718B7"/>
    <w:pPr>
      <w:spacing w:line="240" w:lineRule="auto"/>
    </w:pPr>
    <w:rPr>
      <w:sz w:val="20"/>
      <w:szCs w:val="20"/>
    </w:rPr>
  </w:style>
  <w:style w:type="character" w:customStyle="1" w:styleId="CommentaireCar">
    <w:name w:val="Commentaire Car"/>
    <w:basedOn w:val="Policepardfaut"/>
    <w:link w:val="Commentaire"/>
    <w:uiPriority w:val="99"/>
    <w:semiHidden/>
    <w:rsid w:val="007718B7"/>
    <w:rPr>
      <w:sz w:val="20"/>
      <w:szCs w:val="20"/>
    </w:rPr>
  </w:style>
  <w:style w:type="paragraph" w:styleId="Objetducommentaire">
    <w:name w:val="annotation subject"/>
    <w:basedOn w:val="Commentaire"/>
    <w:next w:val="Commentaire"/>
    <w:link w:val="ObjetducommentaireCar"/>
    <w:uiPriority w:val="99"/>
    <w:semiHidden/>
    <w:unhideWhenUsed/>
    <w:rsid w:val="007718B7"/>
    <w:rPr>
      <w:b/>
      <w:bCs/>
    </w:rPr>
  </w:style>
  <w:style w:type="character" w:customStyle="1" w:styleId="ObjetducommentaireCar">
    <w:name w:val="Objet du commentaire Car"/>
    <w:basedOn w:val="CommentaireCar"/>
    <w:link w:val="Objetducommentaire"/>
    <w:uiPriority w:val="99"/>
    <w:semiHidden/>
    <w:rsid w:val="00771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remond@clermont.inra.f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statistics-explained/index.php/Population_structure_and_ageing"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12579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jdemaison</cp:lastModifiedBy>
  <cp:revision>2</cp:revision>
  <cp:lastPrinted>2016-02-05T09:18:00Z</cp:lastPrinted>
  <dcterms:created xsi:type="dcterms:W3CDTF">2016-05-23T11:41:00Z</dcterms:created>
  <dcterms:modified xsi:type="dcterms:W3CDTF">2016-05-23T11:41:00Z</dcterms:modified>
</cp:coreProperties>
</file>