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19" w:rsidRPr="00961E19" w:rsidRDefault="00961E19" w:rsidP="000F7775">
      <w:pPr>
        <w:pStyle w:val="En-tte"/>
        <w:jc w:val="both"/>
        <w:rPr>
          <w:b/>
          <w:szCs w:val="24"/>
          <w:lang w:val="en-GB"/>
        </w:rPr>
      </w:pPr>
      <w:bookmarkStart w:id="0" w:name="_GoBack"/>
      <w:bookmarkEnd w:id="0"/>
      <w:r w:rsidRPr="00961E19">
        <w:rPr>
          <w:b/>
          <w:szCs w:val="24"/>
          <w:lang w:val="en-GB"/>
        </w:rPr>
        <w:t xml:space="preserve">SINGLE NUCLEOTIDE POLYMORPHISMS INVOLVED IN CHYLOMICRON METABOLISM PLAY A SIGNIFICANT ROLE IN </w:t>
      </w:r>
      <w:r w:rsidR="0099536E">
        <w:rPr>
          <w:b/>
          <w:szCs w:val="24"/>
          <w:lang w:val="en-GB"/>
        </w:rPr>
        <w:t xml:space="preserve">THE </w:t>
      </w:r>
      <w:r w:rsidRPr="00961E19">
        <w:rPr>
          <w:b/>
          <w:szCs w:val="24"/>
          <w:lang w:val="en-GB"/>
        </w:rPr>
        <w:t>INTERINDIVIDUAL VARIABILITY OF LUTEIN BIOAVAILABILITY.</w:t>
      </w:r>
    </w:p>
    <w:p w:rsidR="00D33FC4" w:rsidRDefault="00D33FC4" w:rsidP="00D0710E">
      <w:pPr>
        <w:jc w:val="center"/>
        <w:rPr>
          <w:rFonts w:ascii="Times New Roman" w:hAnsi="Times New Roman"/>
        </w:rPr>
      </w:pPr>
    </w:p>
    <w:p w:rsidR="00961E19" w:rsidRDefault="00385767" w:rsidP="003A55E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a</w:t>
      </w:r>
      <w:proofErr w:type="gramEnd"/>
      <w:r w:rsidR="003A55E2" w:rsidRPr="001527E6">
        <w:rPr>
          <w:rFonts w:ascii="Times New Roman" w:hAnsi="Times New Roman"/>
          <w:sz w:val="22"/>
          <w:szCs w:val="22"/>
        </w:rPr>
        <w:t xml:space="preserve"> </w:t>
      </w:r>
      <w:r w:rsidR="00961E19">
        <w:rPr>
          <w:rFonts w:ascii="Times New Roman" w:hAnsi="Times New Roman"/>
          <w:sz w:val="22"/>
          <w:szCs w:val="22"/>
        </w:rPr>
        <w:t>Patrick Borel</w:t>
      </w:r>
      <w:r w:rsidR="00161DB8" w:rsidRPr="001527E6">
        <w:rPr>
          <w:rFonts w:ascii="Times New Roman" w:hAnsi="Times New Roman"/>
          <w:sz w:val="22"/>
          <w:szCs w:val="22"/>
          <w:vertAlign w:val="superscript"/>
        </w:rPr>
        <w:t>1</w:t>
      </w:r>
      <w:r w:rsidR="00D33FC4" w:rsidRPr="00D33FC4">
        <w:rPr>
          <w:rFonts w:ascii="Times New Roman" w:hAnsi="Times New Roman"/>
          <w:sz w:val="22"/>
          <w:szCs w:val="22"/>
        </w:rPr>
        <w:t>,</w:t>
      </w:r>
      <w:r w:rsidR="00D33F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a</w:t>
      </w:r>
      <w:r w:rsidR="003A55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961E19">
        <w:rPr>
          <w:rFonts w:ascii="Times New Roman" w:hAnsi="Times New Roman"/>
          <w:sz w:val="22"/>
          <w:szCs w:val="22"/>
        </w:rPr>
        <w:t>Charles</w:t>
      </w:r>
      <w:r w:rsidR="00AB5E26" w:rsidRPr="00D33F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E19">
        <w:rPr>
          <w:rFonts w:ascii="Times New Roman" w:hAnsi="Times New Roman"/>
          <w:sz w:val="22"/>
          <w:szCs w:val="22"/>
        </w:rPr>
        <w:t>Desmarchelier</w:t>
      </w:r>
      <w:proofErr w:type="spellEnd"/>
      <w:r w:rsidR="00D33FC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vertAlign w:val="superscript"/>
        </w:rPr>
        <w:t>a</w:t>
      </w:r>
      <w:r w:rsidR="003A55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961E19">
        <w:rPr>
          <w:rFonts w:ascii="Times New Roman" w:hAnsi="Times New Roman"/>
          <w:sz w:val="22"/>
          <w:szCs w:val="22"/>
        </w:rPr>
        <w:t>Marion</w:t>
      </w:r>
      <w:r w:rsidR="00D33F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E19">
        <w:rPr>
          <w:rFonts w:ascii="Times New Roman" w:hAnsi="Times New Roman"/>
          <w:sz w:val="22"/>
          <w:szCs w:val="22"/>
        </w:rPr>
        <w:t>Nowicki</w:t>
      </w:r>
      <w:proofErr w:type="spellEnd"/>
      <w:r w:rsidR="00D33FC4">
        <w:rPr>
          <w:rFonts w:ascii="Times New Roman" w:hAnsi="Times New Roman"/>
          <w:sz w:val="22"/>
          <w:szCs w:val="22"/>
        </w:rPr>
        <w:t xml:space="preserve">, </w:t>
      </w:r>
      <w:r w:rsidR="00961E19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  <w:vertAlign w:val="superscript"/>
        </w:rPr>
        <w:t>a</w:t>
      </w:r>
      <w:r w:rsidR="003A55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="00961E19">
        <w:rPr>
          <w:rFonts w:ascii="Times New Roman" w:hAnsi="Times New Roman"/>
          <w:sz w:val="22"/>
          <w:szCs w:val="22"/>
        </w:rPr>
        <w:t>Romain</w:t>
      </w:r>
      <w:proofErr w:type="spellEnd"/>
      <w:r w:rsidR="00AB5E26" w:rsidRPr="00D33F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E19">
        <w:rPr>
          <w:rFonts w:ascii="Times New Roman" w:hAnsi="Times New Roman"/>
          <w:sz w:val="22"/>
          <w:szCs w:val="22"/>
        </w:rPr>
        <w:t>Bott</w:t>
      </w:r>
      <w:proofErr w:type="spellEnd"/>
    </w:p>
    <w:p w:rsidR="00873EB7" w:rsidRDefault="00873EB7" w:rsidP="003A55E2">
      <w:pPr>
        <w:rPr>
          <w:rFonts w:ascii="Times New Roman" w:hAnsi="Times New Roman"/>
          <w:sz w:val="22"/>
          <w:szCs w:val="22"/>
        </w:rPr>
      </w:pPr>
    </w:p>
    <w:p w:rsidR="00AB5E26" w:rsidRPr="00385767" w:rsidRDefault="003A55E2" w:rsidP="003A55E2">
      <w:pPr>
        <w:rPr>
          <w:rFonts w:ascii="Times New Roman" w:hAnsi="Times New Roman"/>
          <w:i/>
          <w:sz w:val="22"/>
          <w:szCs w:val="22"/>
        </w:rPr>
      </w:pPr>
      <w:r w:rsidRPr="00385767">
        <w:rPr>
          <w:rFonts w:ascii="Times New Roman" w:hAnsi="Times New Roman"/>
          <w:i/>
          <w:sz w:val="22"/>
          <w:szCs w:val="22"/>
          <w:vertAlign w:val="superscript"/>
        </w:rPr>
        <w:t xml:space="preserve">a </w:t>
      </w:r>
      <w:r w:rsidR="00385767">
        <w:rPr>
          <w:rFonts w:ascii="Times New Roman" w:hAnsi="Times New Roman"/>
          <w:i/>
          <w:sz w:val="22"/>
          <w:szCs w:val="22"/>
        </w:rPr>
        <w:t>Bio</w:t>
      </w:r>
      <w:r w:rsidR="0099536E">
        <w:rPr>
          <w:rFonts w:ascii="Times New Roman" w:hAnsi="Times New Roman"/>
          <w:i/>
          <w:sz w:val="22"/>
          <w:szCs w:val="22"/>
        </w:rPr>
        <w:t xml:space="preserve">availability of micronutrients </w:t>
      </w:r>
      <w:r w:rsidR="00385767">
        <w:rPr>
          <w:rFonts w:ascii="Times New Roman" w:hAnsi="Times New Roman"/>
          <w:i/>
          <w:sz w:val="22"/>
          <w:szCs w:val="22"/>
        </w:rPr>
        <w:t xml:space="preserve">team, </w:t>
      </w:r>
      <w:r w:rsidR="00385767" w:rsidRPr="00385767">
        <w:rPr>
          <w:rFonts w:ascii="Times New Roman" w:hAnsi="Times New Roman"/>
          <w:i/>
          <w:sz w:val="22"/>
          <w:szCs w:val="22"/>
        </w:rPr>
        <w:t xml:space="preserve">Laboratory of Nutrition, Obesity and Risk of Thrombosis, </w:t>
      </w:r>
      <w:r w:rsidR="00873EB7" w:rsidRPr="00385767">
        <w:rPr>
          <w:rFonts w:ascii="Times New Roman" w:hAnsi="Times New Roman"/>
          <w:i/>
          <w:sz w:val="22"/>
          <w:szCs w:val="22"/>
        </w:rPr>
        <w:t>INRA, UMR INRA1260</w:t>
      </w:r>
      <w:r w:rsidR="00161DB8" w:rsidRPr="00385767">
        <w:rPr>
          <w:rFonts w:ascii="Times New Roman" w:hAnsi="Times New Roman"/>
          <w:i/>
          <w:sz w:val="22"/>
          <w:szCs w:val="22"/>
        </w:rPr>
        <w:t xml:space="preserve">, </w:t>
      </w:r>
      <w:r w:rsidR="00873EB7" w:rsidRPr="00385767">
        <w:rPr>
          <w:rFonts w:ascii="Times New Roman" w:hAnsi="Times New Roman"/>
          <w:i/>
          <w:sz w:val="22"/>
          <w:szCs w:val="22"/>
        </w:rPr>
        <w:t xml:space="preserve">INSERM, UMR_S 1062, </w:t>
      </w:r>
      <w:r w:rsidR="00385767" w:rsidRPr="00385767">
        <w:rPr>
          <w:rFonts w:ascii="Times New Roman" w:hAnsi="Times New Roman"/>
          <w:i/>
          <w:sz w:val="22"/>
          <w:szCs w:val="22"/>
        </w:rPr>
        <w:t>Aix-Marseille University</w:t>
      </w:r>
      <w:r w:rsidR="00873EB7" w:rsidRPr="00385767">
        <w:rPr>
          <w:rFonts w:ascii="Times New Roman" w:hAnsi="Times New Roman"/>
          <w:i/>
          <w:sz w:val="22"/>
          <w:szCs w:val="22"/>
        </w:rPr>
        <w:t>, Marseille</w:t>
      </w:r>
      <w:r w:rsidR="00161DB8" w:rsidRPr="00385767">
        <w:rPr>
          <w:rFonts w:ascii="Times New Roman" w:hAnsi="Times New Roman"/>
          <w:i/>
          <w:sz w:val="22"/>
          <w:szCs w:val="22"/>
        </w:rPr>
        <w:t xml:space="preserve">, </w:t>
      </w:r>
      <w:r w:rsidR="00873EB7" w:rsidRPr="00385767">
        <w:rPr>
          <w:rFonts w:ascii="Times New Roman" w:hAnsi="Times New Roman"/>
          <w:i/>
          <w:sz w:val="22"/>
          <w:szCs w:val="22"/>
        </w:rPr>
        <w:t>France</w:t>
      </w:r>
      <w:r w:rsidRPr="00385767">
        <w:rPr>
          <w:rFonts w:ascii="Times New Roman" w:hAnsi="Times New Roman"/>
          <w:i/>
          <w:sz w:val="22"/>
          <w:szCs w:val="22"/>
        </w:rPr>
        <w:t xml:space="preserve"> (</w:t>
      </w:r>
      <w:r w:rsidR="00385767" w:rsidRPr="00385767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385767">
        <w:rPr>
          <w:rFonts w:ascii="Times New Roman" w:hAnsi="Times New Roman"/>
          <w:i/>
          <w:sz w:val="22"/>
          <w:szCs w:val="22"/>
        </w:rPr>
        <w:t xml:space="preserve">e-mail: </w:t>
      </w:r>
      <w:r w:rsidR="00873EB7" w:rsidRPr="00385767">
        <w:rPr>
          <w:rFonts w:ascii="Times New Roman" w:hAnsi="Times New Roman"/>
          <w:i/>
          <w:sz w:val="22"/>
          <w:szCs w:val="22"/>
        </w:rPr>
        <w:t>Patrick.Borel@univ-amu.fr</w:t>
      </w:r>
      <w:r w:rsidRPr="00385767">
        <w:rPr>
          <w:rFonts w:ascii="Times New Roman" w:hAnsi="Times New Roman"/>
          <w:i/>
          <w:sz w:val="22"/>
          <w:szCs w:val="22"/>
        </w:rPr>
        <w:t>)</w:t>
      </w:r>
      <w:r w:rsidR="00873EB7" w:rsidRPr="00385767">
        <w:rPr>
          <w:rFonts w:ascii="Times New Roman" w:hAnsi="Times New Roman"/>
          <w:i/>
          <w:sz w:val="22"/>
          <w:szCs w:val="22"/>
        </w:rPr>
        <w:t>.</w:t>
      </w:r>
    </w:p>
    <w:p w:rsidR="002B03DB" w:rsidRPr="00385767" w:rsidRDefault="002B03DB" w:rsidP="00CE7686">
      <w:pPr>
        <w:jc w:val="both"/>
        <w:rPr>
          <w:rFonts w:ascii="Times New Roman" w:hAnsi="Times New Roman"/>
          <w:sz w:val="22"/>
          <w:szCs w:val="22"/>
        </w:rPr>
      </w:pPr>
    </w:p>
    <w:p w:rsidR="00CD6998" w:rsidRPr="00385767" w:rsidRDefault="00CD6998" w:rsidP="00CE7686">
      <w:pPr>
        <w:jc w:val="both"/>
        <w:rPr>
          <w:rFonts w:ascii="Times New Roman" w:hAnsi="Times New Roman"/>
          <w:sz w:val="22"/>
          <w:szCs w:val="22"/>
        </w:rPr>
        <w:sectPr w:rsidR="00CD6998" w:rsidRPr="00385767" w:rsidSect="00D33FC4">
          <w:pgSz w:w="11907" w:h="16840" w:code="9"/>
          <w:pgMar w:top="1418" w:right="1134" w:bottom="1418" w:left="1134" w:header="720" w:footer="720" w:gutter="0"/>
          <w:cols w:space="720"/>
          <w:docGrid w:linePitch="360"/>
        </w:sectPr>
      </w:pPr>
    </w:p>
    <w:p w:rsidR="00CF4970" w:rsidRPr="00CF4970" w:rsidRDefault="00CF4970" w:rsidP="00CF4970">
      <w:pPr>
        <w:suppressLineNumbers/>
        <w:jc w:val="both"/>
        <w:rPr>
          <w:rFonts w:ascii="Times New Roman" w:hAnsi="Times New Roman"/>
          <w:sz w:val="22"/>
          <w:szCs w:val="22"/>
        </w:rPr>
      </w:pPr>
      <w:r w:rsidRPr="00CF4970">
        <w:rPr>
          <w:rFonts w:ascii="Times New Roman" w:hAnsi="Times New Roman"/>
          <w:b/>
          <w:sz w:val="22"/>
          <w:szCs w:val="22"/>
        </w:rPr>
        <w:lastRenderedPageBreak/>
        <w:t>Context –</w:t>
      </w:r>
      <w:r w:rsidRPr="00CF4970">
        <w:rPr>
          <w:rFonts w:ascii="Times New Roman" w:hAnsi="Times New Roman"/>
          <w:sz w:val="22"/>
          <w:szCs w:val="22"/>
        </w:rPr>
        <w:t xml:space="preserve"> Newly absorbed lutein (LUT) is transported to the liver </w:t>
      </w:r>
      <w:r w:rsidRPr="00CF4970">
        <w:rPr>
          <w:rFonts w:ascii="Times New Roman" w:hAnsi="Times New Roman"/>
          <w:i/>
          <w:sz w:val="22"/>
          <w:szCs w:val="22"/>
        </w:rPr>
        <w:t>via</w:t>
      </w:r>
      <w:r w:rsidRPr="00CF4970">
        <w:rPr>
          <w:rFonts w:ascii="Times New Roman" w:hAnsi="Times New Roman"/>
          <w:sz w:val="22"/>
          <w:szCs w:val="22"/>
        </w:rPr>
        <w:t xml:space="preserve"> triacylglycerol (TG)-rich lipoproteins called chylomicrons (CM). We have recently identified </w:t>
      </w:r>
      <w:r w:rsidRPr="00CF4970">
        <w:rPr>
          <w:rFonts w:ascii="Times New Roman" w:hAnsi="Times New Roman"/>
          <w:sz w:val="22"/>
          <w:szCs w:val="22"/>
          <w:lang w:val="en-GB"/>
        </w:rPr>
        <w:t>a combination of single nucleotide polymorphisms (SNPs)</w:t>
      </w:r>
      <w:r w:rsidR="0099536E">
        <w:rPr>
          <w:rFonts w:ascii="Times New Roman" w:hAnsi="Times New Roman"/>
          <w:sz w:val="22"/>
          <w:szCs w:val="22"/>
          <w:lang w:val="en-GB"/>
        </w:rPr>
        <w:t xml:space="preserve">, which were located in or near genes involved in TG metabolism, and 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9536E">
        <w:rPr>
          <w:rFonts w:ascii="Times New Roman" w:hAnsi="Times New Roman"/>
          <w:sz w:val="22"/>
          <w:szCs w:val="22"/>
          <w:lang w:val="en-GB"/>
        </w:rPr>
        <w:t xml:space="preserve">that </w:t>
      </w:r>
      <w:r w:rsidRPr="00CF4970">
        <w:rPr>
          <w:rFonts w:ascii="Times New Roman" w:hAnsi="Times New Roman"/>
          <w:sz w:val="22"/>
          <w:szCs w:val="22"/>
          <w:lang w:val="en-GB"/>
        </w:rPr>
        <w:t>explain</w:t>
      </w:r>
      <w:r w:rsidR="0099536E">
        <w:rPr>
          <w:rFonts w:ascii="Times New Roman" w:hAnsi="Times New Roman"/>
          <w:sz w:val="22"/>
          <w:szCs w:val="22"/>
          <w:lang w:val="en-GB"/>
        </w:rPr>
        <w:t>s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 a significant part of </w:t>
      </w:r>
      <w:r w:rsidR="0099536E">
        <w:rPr>
          <w:rFonts w:ascii="Times New Roman" w:hAnsi="Times New Roman"/>
          <w:sz w:val="22"/>
          <w:szCs w:val="22"/>
          <w:lang w:val="en-GB"/>
        </w:rPr>
        <w:t xml:space="preserve">the </w:t>
      </w:r>
      <w:proofErr w:type="spellStart"/>
      <w:r w:rsidRPr="00CF4970">
        <w:rPr>
          <w:rFonts w:ascii="Times New Roman" w:hAnsi="Times New Roman"/>
          <w:sz w:val="22"/>
          <w:szCs w:val="22"/>
        </w:rPr>
        <w:t>interindividual</w:t>
      </w:r>
      <w:proofErr w:type="spellEnd"/>
      <w:r w:rsidRPr="00CF4970">
        <w:rPr>
          <w:rFonts w:ascii="Times New Roman" w:hAnsi="Times New Roman"/>
          <w:sz w:val="22"/>
          <w:szCs w:val="22"/>
        </w:rPr>
        <w:t xml:space="preserve"> 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variability in </w:t>
      </w:r>
      <w:r w:rsidR="0099536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postprandial CM TG response to dietary fat </w: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begin"/>
      </w:r>
      <w:r w:rsidRPr="00CF4970">
        <w:rPr>
          <w:rFonts w:ascii="Times New Roman" w:hAnsi="Times New Roman"/>
          <w:sz w:val="22"/>
          <w:szCs w:val="22"/>
          <w:lang w:val="en-GB"/>
        </w:rPr>
        <w:instrText xml:space="preserve"> ADDIN EN.CITE &lt;EndNote&gt;&lt;Cite&gt;&lt;Author&gt;Desmarchelier&lt;/Author&gt;&lt;Year&gt;2014&lt;/Year&gt;&lt;RecNum&gt;17435&lt;/RecNum&gt;&lt;DisplayText&gt;(1)&lt;/DisplayText&gt;&lt;record&gt;&lt;rec-number&gt;17435&lt;/rec-number&gt;&lt;foreign-keys&gt;&lt;key app="EN" db-id="9dw9xz2s2p2txmetssqx2wfl50dp0sr9a9wv" timestamp="0"&gt;17435&lt;/key&gt;&lt;/foreign-keys&gt;&lt;ref-type name="Journal Article"&gt;17&lt;/ref-type&gt;&lt;contributors&gt;&lt;authors&gt;&lt;author&gt;Desmarchelier, C.&lt;/author&gt;&lt;author&gt;Martin, J.C.&lt;/author&gt;&lt;author&gt;Planells, R.&lt;/author&gt;&lt;author&gt;Gastaldi, M.&lt;/author&gt;&lt;author&gt;Nowicki, M.&lt;/author&gt;&lt;author&gt;Goncalves, A.&lt;/author&gt;&lt;author&gt;Valero, R.&lt;/author&gt;&lt;author&gt;Lairon, D.&lt;/author&gt;&lt;author&gt;Borel, P.&lt;/author&gt;&lt;/authors&gt;&lt;/contributors&gt;&lt;titles&gt;&lt;title&gt;The postprandial chylomicron triacylglycerol response to dietary fat in healthy male adults is significantly explained by a combination of single nucleotide polymorphisms in genes involved in triacylglycerol metabolism&lt;/title&gt;&lt;secondary-title&gt;J Clin Endocr Metab&lt;/secondary-title&gt;&lt;/titles&gt;&lt;periodical&gt;&lt;full-title&gt;J Clin Endocr Metab&lt;/full-title&gt;&lt;/periodical&gt;&lt;pages&gt;DOI: http://dx.doi.org/10.1210/jc.2013-3962&lt;/pages&gt;&lt;volume&gt;Jan 13:jc20133962. [Epub ahead of print]&lt;/volume&gt;&lt;dates&gt;&lt;year&gt;2014&lt;/year&gt;&lt;/dates&gt;&lt;urls&gt;&lt;/urls&gt;&lt;/record&gt;&lt;/Cite&gt;&lt;/EndNote&gt;</w:instrTex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CF4970">
        <w:rPr>
          <w:rFonts w:ascii="Times New Roman" w:hAnsi="Times New Roman"/>
          <w:noProof/>
          <w:sz w:val="22"/>
          <w:szCs w:val="22"/>
          <w:lang w:val="en-GB"/>
        </w:rPr>
        <w:t>(</w:t>
      </w:r>
      <w:hyperlink w:anchor="_ENREF_1" w:tooltip="Desmarchelier, 2014 #17435" w:history="1">
        <w:r w:rsidRPr="00CF4970">
          <w:rPr>
            <w:rFonts w:ascii="Times New Roman" w:hAnsi="Times New Roman"/>
            <w:noProof/>
            <w:sz w:val="22"/>
            <w:szCs w:val="22"/>
            <w:lang w:val="en-GB"/>
          </w:rPr>
          <w:t>1</w:t>
        </w:r>
      </w:hyperlink>
      <w:r w:rsidRPr="00CF4970">
        <w:rPr>
          <w:rFonts w:ascii="Times New Roman" w:hAnsi="Times New Roman"/>
          <w:noProof/>
          <w:sz w:val="22"/>
          <w:szCs w:val="22"/>
          <w:lang w:val="en-GB"/>
        </w:rPr>
        <w:t>)</w: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end"/>
      </w:r>
      <w:r w:rsidRPr="00CF4970">
        <w:rPr>
          <w:rFonts w:ascii="Times New Roman" w:hAnsi="Times New Roman"/>
          <w:sz w:val="22"/>
          <w:szCs w:val="22"/>
          <w:lang w:val="en-GB"/>
        </w:rPr>
        <w:t>.</w:t>
      </w:r>
    </w:p>
    <w:p w:rsidR="0099536E" w:rsidRDefault="00CF4970" w:rsidP="00CF4970">
      <w:pPr>
        <w:suppressLineNumbers/>
        <w:jc w:val="both"/>
        <w:rPr>
          <w:rFonts w:ascii="Times New Roman" w:hAnsi="Times New Roman"/>
          <w:sz w:val="22"/>
          <w:szCs w:val="22"/>
        </w:rPr>
      </w:pPr>
      <w:r w:rsidRPr="00CF4970">
        <w:rPr>
          <w:rFonts w:ascii="Times New Roman" w:hAnsi="Times New Roman"/>
          <w:b/>
          <w:sz w:val="22"/>
          <w:szCs w:val="22"/>
        </w:rPr>
        <w:t>Objective –</w:t>
      </w:r>
      <w:r w:rsidRPr="00CF4970">
        <w:rPr>
          <w:rFonts w:ascii="Times New Roman" w:hAnsi="Times New Roman"/>
          <w:sz w:val="22"/>
          <w:szCs w:val="22"/>
        </w:rPr>
        <w:t xml:space="preserve"> To assess whether these </w:t>
      </w:r>
      <w:r w:rsidR="0099536E">
        <w:rPr>
          <w:rFonts w:ascii="Times New Roman" w:hAnsi="Times New Roman"/>
          <w:sz w:val="22"/>
          <w:szCs w:val="22"/>
        </w:rPr>
        <w:t>genes</w:t>
      </w:r>
      <w:r w:rsidRPr="00CF4970">
        <w:rPr>
          <w:rFonts w:ascii="Times New Roman" w:hAnsi="Times New Roman"/>
          <w:sz w:val="22"/>
          <w:szCs w:val="22"/>
        </w:rPr>
        <w:t xml:space="preserve"> are also </w:t>
      </w:r>
      <w:r w:rsidR="0099536E">
        <w:rPr>
          <w:rFonts w:ascii="Times New Roman" w:hAnsi="Times New Roman"/>
          <w:sz w:val="22"/>
          <w:szCs w:val="22"/>
        </w:rPr>
        <w:t>involved in LUT bioavailability.</w:t>
      </w:r>
    </w:p>
    <w:p w:rsidR="00CF4970" w:rsidRPr="00CF4970" w:rsidRDefault="00CF4970" w:rsidP="00CF4970">
      <w:pPr>
        <w:suppressLineNumbers/>
        <w:jc w:val="both"/>
        <w:rPr>
          <w:rFonts w:ascii="Times New Roman" w:hAnsi="Times New Roman"/>
          <w:sz w:val="22"/>
          <w:szCs w:val="22"/>
          <w:lang w:val="en-GB"/>
        </w:rPr>
      </w:pPr>
      <w:r w:rsidRPr="00CF4970">
        <w:rPr>
          <w:rFonts w:ascii="Times New Roman" w:hAnsi="Times New Roman"/>
          <w:b/>
          <w:sz w:val="22"/>
          <w:szCs w:val="22"/>
        </w:rPr>
        <w:t xml:space="preserve">Participants and </w:t>
      </w:r>
      <w:r w:rsidRPr="00CF4970">
        <w:rPr>
          <w:rFonts w:ascii="Times New Roman" w:hAnsi="Times New Roman"/>
          <w:b/>
          <w:sz w:val="22"/>
          <w:szCs w:val="22"/>
          <w:lang w:val="en-GB"/>
        </w:rPr>
        <w:t>Methods -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 Thirty-nine healthy male volunteers, who participated in the study on the CM TG response </w: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begin"/>
      </w:r>
      <w:r w:rsidRPr="00CF4970">
        <w:rPr>
          <w:rFonts w:ascii="Times New Roman" w:hAnsi="Times New Roman"/>
          <w:sz w:val="22"/>
          <w:szCs w:val="22"/>
          <w:lang w:val="en-GB"/>
        </w:rPr>
        <w:instrText xml:space="preserve"> ADDIN EN.CITE &lt;EndNote&gt;&lt;Cite&gt;&lt;Author&gt;Desmarchelier&lt;/Author&gt;&lt;Year&gt;2014&lt;/Year&gt;&lt;RecNum&gt;17435&lt;/RecNum&gt;&lt;DisplayText&gt;(1)&lt;/DisplayText&gt;&lt;record&gt;&lt;rec-number&gt;17435&lt;/rec-number&gt;&lt;foreign-keys&gt;&lt;key app="EN" db-id="9dw9xz2s2p2txmetssqx2wfl50dp0sr9a9wv" timestamp="0"&gt;17435&lt;/key&gt;&lt;/foreign-keys&gt;&lt;ref-type name="Journal Article"&gt;17&lt;/ref-type&gt;&lt;contributors&gt;&lt;authors&gt;&lt;author&gt;Desmarchelier, C.&lt;/author&gt;&lt;author&gt;Martin, J.C.&lt;/author&gt;&lt;author&gt;Planells, R.&lt;/author&gt;&lt;author&gt;Gastaldi, M.&lt;/author&gt;&lt;author&gt;Nowicki, M.&lt;/author&gt;&lt;author&gt;Goncalves, A.&lt;/author&gt;&lt;author&gt;Valero, R.&lt;/author&gt;&lt;author&gt;Lairon, D.&lt;/author&gt;&lt;author&gt;Borel, P.&lt;/author&gt;&lt;/authors&gt;&lt;/contributors&gt;&lt;titles&gt;&lt;title&gt;The postprandial chylomicron triacylglycerol response to dietary fat in healthy male adults is significantly explained by a combination of single nucleotide polymorphisms in genes involved in triacylglycerol metabolism&lt;/title&gt;&lt;secondary-title&gt;J Clin Endocr Metab&lt;/secondary-title&gt;&lt;/titles&gt;&lt;periodical&gt;&lt;full-title&gt;J Clin Endocr Metab&lt;/full-title&gt;&lt;/periodical&gt;&lt;pages&gt;DOI: http://dx.doi.org/10.1210/jc.2013-3962&lt;/pages&gt;&lt;volume&gt;Jan 13:jc20133962. [Epub ahead of print]&lt;/volume&gt;&lt;dates&gt;&lt;year&gt;2014&lt;/year&gt;&lt;/dates&gt;&lt;urls&gt;&lt;/urls&gt;&lt;/record&gt;&lt;/Cite&gt;&lt;/EndNote&gt;</w:instrTex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CF4970">
        <w:rPr>
          <w:rFonts w:ascii="Times New Roman" w:hAnsi="Times New Roman"/>
          <w:noProof/>
          <w:sz w:val="22"/>
          <w:szCs w:val="22"/>
          <w:lang w:val="en-GB"/>
        </w:rPr>
        <w:t>(</w:t>
      </w:r>
      <w:hyperlink w:anchor="_ENREF_1" w:tooltip="Desmarchelier, 2014 #17435" w:history="1">
        <w:r w:rsidRPr="00CF4970">
          <w:rPr>
            <w:rFonts w:ascii="Times New Roman" w:hAnsi="Times New Roman"/>
            <w:noProof/>
            <w:sz w:val="22"/>
            <w:szCs w:val="22"/>
            <w:lang w:val="en-GB"/>
          </w:rPr>
          <w:t>1</w:t>
        </w:r>
      </w:hyperlink>
      <w:r w:rsidRPr="00CF4970">
        <w:rPr>
          <w:rFonts w:ascii="Times New Roman" w:hAnsi="Times New Roman"/>
          <w:noProof/>
          <w:sz w:val="22"/>
          <w:szCs w:val="22"/>
          <w:lang w:val="en-GB"/>
        </w:rPr>
        <w:t>)</w:t>
      </w:r>
      <w:r w:rsidRPr="00CF4970">
        <w:rPr>
          <w:rFonts w:ascii="Times New Roman" w:hAnsi="Times New Roman"/>
          <w:sz w:val="22"/>
          <w:szCs w:val="22"/>
          <w:lang w:val="en-GB"/>
        </w:rPr>
        <w:fldChar w:fldCharType="end"/>
      </w:r>
      <w:r w:rsidRPr="00CF4970">
        <w:rPr>
          <w:rFonts w:ascii="Times New Roman" w:hAnsi="Times New Roman"/>
          <w:sz w:val="22"/>
          <w:szCs w:val="22"/>
          <w:lang w:val="en-GB"/>
        </w:rPr>
        <w:t>, consumed</w:t>
      </w:r>
      <w:r w:rsidRPr="00CF4970">
        <w:rPr>
          <w:rFonts w:ascii="Times New Roman" w:hAnsi="Times New Roman"/>
          <w:sz w:val="22"/>
          <w:szCs w:val="22"/>
        </w:rPr>
        <w:t xml:space="preserve"> a test meal that contained 15 mg LUT as a supplement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. Plasma CM LUT concentrations were measured at regular intervals after meal consumption. The association of SNPs, in or near candidate genes </w:t>
      </w:r>
      <w:r w:rsidRPr="00CF4970">
        <w:rPr>
          <w:rFonts w:ascii="Times New Roman" w:hAnsi="Times New Roman"/>
          <w:sz w:val="22"/>
          <w:szCs w:val="22"/>
        </w:rPr>
        <w:t xml:space="preserve">(42 genes representing 1785 SNPs), with the </w:t>
      </w:r>
      <w:r w:rsidRPr="00CF4970">
        <w:rPr>
          <w:rFonts w:ascii="Times New Roman" w:hAnsi="Times New Roman"/>
          <w:sz w:val="22"/>
          <w:szCs w:val="22"/>
          <w:lang w:val="en-GB"/>
        </w:rPr>
        <w:t xml:space="preserve">CM LUT response (0 to 8 h AUC of the postprandial CM LUT concentrations) </w:t>
      </w:r>
      <w:r w:rsidRPr="00CF4970">
        <w:rPr>
          <w:rFonts w:ascii="Times New Roman" w:hAnsi="Times New Roman"/>
          <w:sz w:val="22"/>
          <w:szCs w:val="22"/>
        </w:rPr>
        <w:t>was assessed by partial least squares (PLS) regression.</w:t>
      </w:r>
    </w:p>
    <w:p w:rsidR="00644938" w:rsidRPr="00CF4970" w:rsidRDefault="00CF4970" w:rsidP="00CF4970">
      <w:pPr>
        <w:jc w:val="both"/>
        <w:rPr>
          <w:rFonts w:ascii="Times New Roman" w:hAnsi="Times New Roman"/>
          <w:sz w:val="22"/>
          <w:szCs w:val="22"/>
          <w:lang w:val="en"/>
        </w:rPr>
      </w:pPr>
      <w:r w:rsidRPr="00CF4970">
        <w:rPr>
          <w:rFonts w:ascii="Times New Roman" w:hAnsi="Times New Roman"/>
          <w:b/>
          <w:sz w:val="22"/>
          <w:szCs w:val="22"/>
        </w:rPr>
        <w:t>Results -</w:t>
      </w:r>
      <w:r w:rsidRPr="00CF4970">
        <w:rPr>
          <w:rFonts w:ascii="Times New Roman" w:hAnsi="Times New Roman"/>
          <w:sz w:val="22"/>
          <w:szCs w:val="22"/>
        </w:rPr>
        <w:t xml:space="preserve"> Data obtained allowed us to generate a validated significant (</w:t>
      </w:r>
      <w:r w:rsidRPr="00CF4970">
        <w:rPr>
          <w:rFonts w:ascii="Times New Roman" w:hAnsi="Times New Roman"/>
          <w:i/>
          <w:sz w:val="22"/>
          <w:szCs w:val="22"/>
        </w:rPr>
        <w:t>P</w:t>
      </w:r>
      <w:r w:rsidRPr="00CF4970">
        <w:rPr>
          <w:rFonts w:ascii="Times New Roman" w:hAnsi="Times New Roman"/>
          <w:sz w:val="22"/>
          <w:szCs w:val="22"/>
        </w:rPr>
        <w:t>=1.9 x 10</w:t>
      </w:r>
      <w:r w:rsidRPr="00CF4970">
        <w:rPr>
          <w:rFonts w:ascii="Times New Roman" w:hAnsi="Times New Roman"/>
          <w:sz w:val="22"/>
          <w:szCs w:val="22"/>
          <w:vertAlign w:val="superscript"/>
        </w:rPr>
        <w:t>-4</w:t>
      </w:r>
      <w:r w:rsidRPr="00CF4970">
        <w:rPr>
          <w:rFonts w:ascii="Times New Roman" w:hAnsi="Times New Roman"/>
          <w:sz w:val="22"/>
          <w:szCs w:val="22"/>
        </w:rPr>
        <w:t xml:space="preserve">) PLS model that explained most of the variance in the CM LUT response. The model included 29 SNPs in 15 genes </w:t>
      </w:r>
      <w:r w:rsidRPr="00CF4970">
        <w:rPr>
          <w:rFonts w:ascii="Times New Roman" w:hAnsi="Times New Roman"/>
          <w:sz w:val="22"/>
          <w:szCs w:val="22"/>
        </w:rPr>
        <w:fldChar w:fldCharType="begin"/>
      </w:r>
      <w:r w:rsidRPr="00CF4970">
        <w:rPr>
          <w:rFonts w:ascii="Times New Roman" w:hAnsi="Times New Roman"/>
          <w:sz w:val="22"/>
          <w:szCs w:val="22"/>
        </w:rPr>
        <w:instrText xml:space="preserve"> ADDIN EN.CITE &lt;EndNote&gt;&lt;Cite&gt;&lt;Author&gt;Borel&lt;/Author&gt;&lt;Year&gt;2014&lt;/Year&gt;&lt;RecNum&gt;17466&lt;/RecNum&gt;&lt;DisplayText&gt;(2)&lt;/DisplayText&gt;&lt;record&gt;&lt;rec-number&gt;17466&lt;/rec-number&gt;&lt;foreign-keys&gt;&lt;key app="EN" db-id="9dw9xz2s2p2txmetssqx2wfl50dp0sr9a9wv" timestamp="0"&gt;17466&lt;/key&gt;&lt;/foreign-keys&gt;&lt;ref-type name="Journal Article"&gt;17&lt;/ref-type&gt;&lt;contributors&gt;&lt;authors&gt;&lt;author&gt;Borel, P.&lt;/author&gt;&lt;author&gt;Desmarchelier, C&lt;/author&gt;&lt;author&gt;Nowicki, M.&lt;/author&gt;&lt;author&gt;Bott, R.&lt;/author&gt;&lt;author&gt;Morange, S.&lt;/author&gt;&lt;author&gt;Lesavre, N.&lt;/author&gt;&lt;/authors&gt;&lt;/contributors&gt;&lt;titles&gt;&lt;title&gt;Interindividual variability of lutein bioavailability in healthy men: characterization, genetic variants involved, and relationship with fasting plasma lutein concentration&lt;/title&gt;&lt;secondary-title&gt;Am J Clin Nutr&lt;/secondary-title&gt;&lt;/titles&gt;&lt;periodical&gt;&lt;full-title&gt;American Journal of Clinical Nutrition&lt;/full-title&gt;&lt;abbr-1&gt;Am. J. Clin. Nutr.&lt;/abbr-1&gt;&lt;abbr-2&gt;Am J Clin Nutr&lt;/abbr-2&gt;&lt;/periodical&gt;&lt;volume&gt;submitted&lt;/volume&gt;&lt;dates&gt;&lt;year&gt;2014&lt;/year&gt;&lt;/dates&gt;&lt;urls&gt;&lt;/urls&gt;&lt;/record&gt;&lt;/Cite&gt;&lt;/EndNote&gt;</w:instrText>
      </w:r>
      <w:r w:rsidRPr="00CF4970">
        <w:rPr>
          <w:rFonts w:ascii="Times New Roman" w:hAnsi="Times New Roman"/>
          <w:sz w:val="22"/>
          <w:szCs w:val="22"/>
        </w:rPr>
        <w:fldChar w:fldCharType="separate"/>
      </w:r>
      <w:r w:rsidRPr="00CF4970">
        <w:rPr>
          <w:rFonts w:ascii="Times New Roman" w:hAnsi="Times New Roman"/>
          <w:noProof/>
          <w:sz w:val="22"/>
          <w:szCs w:val="22"/>
        </w:rPr>
        <w:t>(</w:t>
      </w:r>
      <w:hyperlink w:anchor="_ENREF_2" w:tooltip="Borel, 2014 #17466" w:history="1">
        <w:r w:rsidRPr="00CF4970">
          <w:rPr>
            <w:rFonts w:ascii="Times New Roman" w:hAnsi="Times New Roman"/>
            <w:noProof/>
            <w:sz w:val="22"/>
            <w:szCs w:val="22"/>
          </w:rPr>
          <w:t>2</w:t>
        </w:r>
      </w:hyperlink>
      <w:r w:rsidRPr="00CF4970">
        <w:rPr>
          <w:rFonts w:ascii="Times New Roman" w:hAnsi="Times New Roman"/>
          <w:noProof/>
          <w:sz w:val="22"/>
          <w:szCs w:val="22"/>
        </w:rPr>
        <w:t>)</w:t>
      </w:r>
      <w:r w:rsidRPr="00CF4970">
        <w:rPr>
          <w:rFonts w:ascii="Times New Roman" w:hAnsi="Times New Roman"/>
          <w:sz w:val="22"/>
          <w:szCs w:val="22"/>
        </w:rPr>
        <w:fldChar w:fldCharType="end"/>
      </w:r>
      <w:r w:rsidRPr="00CF4970">
        <w:rPr>
          <w:rFonts w:ascii="Times New Roman" w:hAnsi="Times New Roman"/>
          <w:sz w:val="22"/>
          <w:szCs w:val="22"/>
        </w:rPr>
        <w:t xml:space="preserve">, </w:t>
      </w:r>
      <w:r w:rsidR="00E32FC6">
        <w:rPr>
          <w:rFonts w:ascii="Times New Roman" w:hAnsi="Times New Roman"/>
          <w:sz w:val="22"/>
          <w:szCs w:val="22"/>
        </w:rPr>
        <w:t>8</w:t>
      </w:r>
      <w:r w:rsidRPr="00CF4970">
        <w:rPr>
          <w:rFonts w:ascii="Times New Roman" w:hAnsi="Times New Roman"/>
          <w:sz w:val="22"/>
          <w:szCs w:val="22"/>
        </w:rPr>
        <w:t xml:space="preserve"> of them being associated with the postprandial CM TG response </w:t>
      </w:r>
      <w:r w:rsidRPr="00CF4970">
        <w:rPr>
          <w:rFonts w:ascii="Times New Roman" w:hAnsi="Times New Roman"/>
          <w:sz w:val="22"/>
          <w:szCs w:val="22"/>
        </w:rPr>
        <w:fldChar w:fldCharType="begin"/>
      </w:r>
      <w:r w:rsidRPr="00CF4970">
        <w:rPr>
          <w:rFonts w:ascii="Times New Roman" w:hAnsi="Times New Roman"/>
          <w:sz w:val="22"/>
          <w:szCs w:val="22"/>
        </w:rPr>
        <w:instrText xml:space="preserve"> ADDIN EN.CITE &lt;EndNote&gt;&lt;Cite ExcludeYear="1"&gt;&lt;Author&gt;Desmarchelier&lt;/Author&gt;&lt;RecNum&gt;17435&lt;/RecNum&gt;&lt;DisplayText&gt;(1)&lt;/DisplayText&gt;&lt;record&gt;&lt;rec-number&gt;17435&lt;/rec-number&gt;&lt;foreign-keys&gt;&lt;key app="EN" db-id="9dw9xz2s2p2txmetssqx2wfl50dp0sr9a9wv" timestamp="0"&gt;17435&lt;/key&gt;&lt;/foreign-keys&gt;&lt;ref-type name="Journal Article"&gt;17&lt;/ref-type&gt;&lt;contributors&gt;&lt;authors&gt;&lt;author&gt;Desmarchelier, C.&lt;/author&gt;&lt;author&gt;Martin, J.C.&lt;/author&gt;&lt;author&gt;Planells, R.&lt;/author&gt;&lt;author&gt;Gastaldi, M.&lt;/author&gt;&lt;author&gt;Nowicki, M.&lt;/author&gt;&lt;author&gt;Goncalves, A.&lt;/author&gt;&lt;author&gt;Valero, R.&lt;/author&gt;&lt;author&gt;Lairon, D.&lt;/author&gt;&lt;author&gt;Borel, P.&lt;/author&gt;&lt;/authors&gt;&lt;/contributors&gt;&lt;titles&gt;&lt;title&gt;The postprandial chylomicron triacylglycerol response to dietary fat in healthy male adults is significantly explained by a combination of single nucleotide polymorphisms in genes involved in triacylglycerol metabolism&lt;/title&gt;&lt;secondary-title&gt;J Clin Endocr Metab&lt;/secondary-title&gt;&lt;/titles&gt;&lt;periodical&gt;&lt;full-title&gt;J Clin Endocr Metab&lt;/full-title&gt;&lt;/periodical&gt;&lt;pages&gt;DOI: http://dx.doi.org/10.1210/jc.2013-3962&lt;/pages&gt;&lt;volume&gt;Jan 13:jc20133962. [Epub ahead of print]&lt;/volume&gt;&lt;dates&gt;&lt;year&gt;2014&lt;/year&gt;&lt;/dates&gt;&lt;urls&gt;&lt;/urls&gt;&lt;/record&gt;&lt;/Cite&gt;&lt;/EndNote&gt;</w:instrText>
      </w:r>
      <w:r w:rsidRPr="00CF4970">
        <w:rPr>
          <w:rFonts w:ascii="Times New Roman" w:hAnsi="Times New Roman"/>
          <w:sz w:val="22"/>
          <w:szCs w:val="22"/>
        </w:rPr>
        <w:fldChar w:fldCharType="separate"/>
      </w:r>
      <w:r w:rsidRPr="00CF4970">
        <w:rPr>
          <w:rFonts w:ascii="Times New Roman" w:hAnsi="Times New Roman"/>
          <w:noProof/>
          <w:sz w:val="22"/>
          <w:szCs w:val="22"/>
        </w:rPr>
        <w:t>(</w:t>
      </w:r>
      <w:hyperlink w:anchor="_ENREF_1" w:tooltip="Desmarchelier, 2014 #17435" w:history="1">
        <w:r w:rsidRPr="00CF4970">
          <w:rPr>
            <w:rFonts w:ascii="Times New Roman" w:hAnsi="Times New Roman"/>
            <w:noProof/>
            <w:sz w:val="22"/>
            <w:szCs w:val="22"/>
          </w:rPr>
          <w:t>1</w:t>
        </w:r>
      </w:hyperlink>
      <w:r w:rsidRPr="00CF4970">
        <w:rPr>
          <w:rFonts w:ascii="Times New Roman" w:hAnsi="Times New Roman"/>
          <w:noProof/>
          <w:sz w:val="22"/>
          <w:szCs w:val="22"/>
        </w:rPr>
        <w:t>)</w:t>
      </w:r>
      <w:r w:rsidRPr="00CF4970">
        <w:rPr>
          <w:rFonts w:ascii="Times New Roman" w:hAnsi="Times New Roman"/>
          <w:sz w:val="22"/>
          <w:szCs w:val="22"/>
        </w:rPr>
        <w:fldChar w:fldCharType="end"/>
      </w:r>
      <w:r w:rsidRPr="00CF4970">
        <w:rPr>
          <w:rFonts w:ascii="Times New Roman" w:hAnsi="Times New Roman"/>
          <w:sz w:val="22"/>
          <w:szCs w:val="22"/>
        </w:rPr>
        <w:t>.</w:t>
      </w:r>
    </w:p>
    <w:p w:rsidR="00CF4970" w:rsidRDefault="00CF4970" w:rsidP="00644938">
      <w:pPr>
        <w:jc w:val="center"/>
        <w:rPr>
          <w:rFonts w:ascii="Times New Roman" w:hAnsi="Times New Roman"/>
          <w:sz w:val="22"/>
          <w:szCs w:val="22"/>
          <w:lang w:val="en"/>
        </w:rPr>
      </w:pPr>
    </w:p>
    <w:p w:rsidR="00CF4970" w:rsidRPr="0099536E" w:rsidRDefault="00076839" w:rsidP="00644938">
      <w:pPr>
        <w:jc w:val="center"/>
        <w:rPr>
          <w:rFonts w:ascii="Times New Roman" w:hAnsi="Times New Roman"/>
          <w:sz w:val="22"/>
          <w:szCs w:val="22"/>
          <w:lang w:val="en"/>
        </w:rPr>
      </w:pPr>
      <w:r w:rsidRPr="00076839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59053B68" wp14:editId="13EA01B3">
            <wp:extent cx="2915920" cy="2177415"/>
            <wp:effectExtent l="0" t="0" r="0" b="0"/>
            <wp:docPr id="20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4970" w:rsidRDefault="0099536E" w:rsidP="00644938">
      <w:pPr>
        <w:jc w:val="center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             </w:t>
      </w:r>
      <w:r w:rsidR="00DD173B">
        <w:rPr>
          <w:rFonts w:ascii="Times New Roman" w:hAnsi="Times New Roman"/>
          <w:sz w:val="22"/>
          <w:szCs w:val="22"/>
          <w:lang w:val="en"/>
        </w:rPr>
        <w:t xml:space="preserve">  Time after meal intake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DD173B">
        <w:rPr>
          <w:rFonts w:ascii="Times New Roman" w:hAnsi="Times New Roman"/>
          <w:sz w:val="22"/>
          <w:szCs w:val="22"/>
          <w:lang w:val="en"/>
        </w:rPr>
        <w:t>(h)</w:t>
      </w:r>
    </w:p>
    <w:p w:rsidR="00076839" w:rsidRPr="00B13336" w:rsidRDefault="00B13336" w:rsidP="00076839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Figure: </w:t>
      </w:r>
      <w:r w:rsidR="00DD173B">
        <w:rPr>
          <w:rFonts w:ascii="Times New Roman" w:hAnsi="Times New Roman"/>
          <w:sz w:val="22"/>
        </w:rPr>
        <w:t>Delta</w:t>
      </w:r>
      <w:r w:rsidR="00076839" w:rsidRPr="00B13336">
        <w:rPr>
          <w:rFonts w:ascii="Times New Roman" w:hAnsi="Times New Roman"/>
          <w:sz w:val="22"/>
        </w:rPr>
        <w:t xml:space="preserve"> </w:t>
      </w:r>
      <w:r w:rsidR="00DD173B">
        <w:rPr>
          <w:rFonts w:ascii="Times New Roman" w:hAnsi="Times New Roman"/>
          <w:sz w:val="22"/>
        </w:rPr>
        <w:t>CM</w:t>
      </w:r>
      <w:r w:rsidR="00076839" w:rsidRPr="00B13336">
        <w:rPr>
          <w:rFonts w:ascii="Times New Roman" w:hAnsi="Times New Roman"/>
          <w:sz w:val="22"/>
        </w:rPr>
        <w:t xml:space="preserve"> </w:t>
      </w:r>
      <w:r w:rsidR="00DD173B">
        <w:rPr>
          <w:rFonts w:ascii="Times New Roman" w:hAnsi="Times New Roman"/>
          <w:sz w:val="22"/>
        </w:rPr>
        <w:t>LUT</w:t>
      </w:r>
      <w:r w:rsidR="00076839" w:rsidRPr="00B13336">
        <w:rPr>
          <w:rFonts w:ascii="Times New Roman" w:hAnsi="Times New Roman"/>
          <w:sz w:val="22"/>
        </w:rPr>
        <w:t xml:space="preserve"> concentrations measured after consumption of the meal containing the </w:t>
      </w:r>
      <w:r w:rsidR="00DD173B">
        <w:rPr>
          <w:rFonts w:ascii="Times New Roman" w:hAnsi="Times New Roman"/>
          <w:sz w:val="22"/>
        </w:rPr>
        <w:t>LUT</w:t>
      </w:r>
      <w:r w:rsidR="00076839" w:rsidRPr="00B13336">
        <w:rPr>
          <w:rFonts w:ascii="Times New Roman" w:hAnsi="Times New Roman"/>
          <w:sz w:val="22"/>
        </w:rPr>
        <w:t xml:space="preserve"> supplement.</w:t>
      </w:r>
      <w:r>
        <w:rPr>
          <w:rFonts w:ascii="Times New Roman" w:hAnsi="Times New Roman"/>
          <w:i/>
          <w:sz w:val="22"/>
        </w:rPr>
        <w:t xml:space="preserve"> </w:t>
      </w:r>
      <w:r w:rsidR="00076839" w:rsidRPr="00076839">
        <w:rPr>
          <w:rFonts w:ascii="Times New Roman" w:hAnsi="Times New Roman"/>
          <w:sz w:val="22"/>
        </w:rPr>
        <w:t xml:space="preserve">Bold curve: mean ± SEM values of the 39 subjects. Lower dotted curve: </w:t>
      </w:r>
      <w:r w:rsidR="00DD173B">
        <w:rPr>
          <w:rFonts w:ascii="Times New Roman" w:hAnsi="Times New Roman"/>
          <w:sz w:val="22"/>
        </w:rPr>
        <w:t xml:space="preserve">LUT </w:t>
      </w:r>
      <w:r w:rsidR="00076839" w:rsidRPr="00076839">
        <w:rPr>
          <w:rFonts w:ascii="Times New Roman" w:hAnsi="Times New Roman"/>
          <w:sz w:val="22"/>
        </w:rPr>
        <w:t>concentration measured in the lowest responder</w:t>
      </w:r>
      <w:r w:rsidR="00076839">
        <w:rPr>
          <w:rFonts w:ascii="Times New Roman" w:hAnsi="Times New Roman"/>
          <w:sz w:val="22"/>
        </w:rPr>
        <w:t xml:space="preserve">. </w:t>
      </w:r>
      <w:r w:rsidR="00076839" w:rsidRPr="00076839">
        <w:rPr>
          <w:rFonts w:ascii="Times New Roman" w:hAnsi="Times New Roman"/>
          <w:sz w:val="22"/>
        </w:rPr>
        <w:t xml:space="preserve">Higher dotted curve: </w:t>
      </w:r>
      <w:r w:rsidR="00DD173B">
        <w:rPr>
          <w:rFonts w:ascii="Times New Roman" w:hAnsi="Times New Roman"/>
          <w:sz w:val="22"/>
        </w:rPr>
        <w:t xml:space="preserve">LUT </w:t>
      </w:r>
      <w:r w:rsidR="00076839" w:rsidRPr="00076839">
        <w:rPr>
          <w:rFonts w:ascii="Times New Roman" w:hAnsi="Times New Roman"/>
          <w:sz w:val="22"/>
        </w:rPr>
        <w:t>concentration measured in the highest responder.</w:t>
      </w:r>
    </w:p>
    <w:p w:rsidR="00076839" w:rsidRPr="00076839" w:rsidRDefault="00B13336" w:rsidP="00076839">
      <w:pPr>
        <w:jc w:val="both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b/>
          <w:sz w:val="22"/>
        </w:rPr>
        <w:t>Table</w:t>
      </w:r>
      <w:r w:rsidR="00076839" w:rsidRPr="00076839">
        <w:rPr>
          <w:rFonts w:ascii="Times New Roman" w:hAnsi="Times New Roman"/>
          <w:b/>
          <w:sz w:val="22"/>
        </w:rPr>
        <w:t xml:space="preserve">. </w:t>
      </w:r>
      <w:r w:rsidR="00076839" w:rsidRPr="00076839">
        <w:rPr>
          <w:rFonts w:ascii="Times New Roman" w:hAnsi="Times New Roman"/>
          <w:sz w:val="22"/>
        </w:rPr>
        <w:t>Genes associated with the postprandial chylomicron lutein response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296"/>
      </w:tblGrid>
      <w:tr w:rsidR="00B13336" w:rsidRPr="00076839" w:rsidTr="00B13336">
        <w:trPr>
          <w:trHeight w:val="227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B13336" w:rsidRPr="00076839" w:rsidRDefault="00B13336" w:rsidP="00B13336">
            <w:pPr>
              <w:rPr>
                <w:rFonts w:ascii="Times New Roman" w:hAnsi="Times New Roman"/>
                <w:bCs/>
                <w:sz w:val="16"/>
                <w:szCs w:val="22"/>
              </w:rPr>
            </w:pPr>
            <w:r w:rsidRPr="00076839">
              <w:rPr>
                <w:rFonts w:ascii="Times New Roman" w:hAnsi="Times New Roman"/>
                <w:bCs/>
                <w:sz w:val="16"/>
                <w:szCs w:val="22"/>
              </w:rPr>
              <w:t>Gene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B13336" w:rsidRPr="00076839" w:rsidRDefault="00B13336" w:rsidP="00076839">
            <w:pPr>
              <w:rPr>
                <w:rFonts w:ascii="Times New Roman" w:hAnsi="Times New Roman"/>
                <w:bCs/>
                <w:sz w:val="16"/>
                <w:szCs w:val="22"/>
              </w:rPr>
            </w:pPr>
            <w:r>
              <w:rPr>
                <w:rFonts w:ascii="Times New Roman" w:hAnsi="Times New Roman"/>
                <w:bCs/>
                <w:sz w:val="16"/>
                <w:szCs w:val="22"/>
              </w:rPr>
              <w:t>Associated with CM metabolism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B13336" w:rsidRPr="00076839" w:rsidRDefault="00B13336" w:rsidP="002B24DA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ELOVL2</w:t>
            </w: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B13336" w:rsidRPr="00B13336" w:rsidRDefault="00B13336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 (no)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2B24DA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ABCG2</w:t>
            </w:r>
          </w:p>
        </w:tc>
        <w:tc>
          <w:tcPr>
            <w:tcW w:w="2500" w:type="pct"/>
          </w:tcPr>
          <w:p w:rsidR="00B13336" w:rsidRPr="00B13336" w:rsidRDefault="00B13336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2B24DA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ISX</w:t>
            </w:r>
          </w:p>
        </w:tc>
        <w:tc>
          <w:tcPr>
            <w:tcW w:w="2500" w:type="pct"/>
          </w:tcPr>
          <w:p w:rsidR="00B13336" w:rsidRPr="00B13336" w:rsidRDefault="00B13336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MTTP</w:t>
            </w:r>
          </w:p>
        </w:tc>
        <w:tc>
          <w:tcPr>
            <w:tcW w:w="2500" w:type="pct"/>
          </w:tcPr>
          <w:p w:rsidR="00B13336" w:rsidRPr="00B13336" w:rsidRDefault="002B24DA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LPL</w:t>
            </w:r>
          </w:p>
        </w:tc>
        <w:tc>
          <w:tcPr>
            <w:tcW w:w="2500" w:type="pct"/>
          </w:tcPr>
          <w:p w:rsidR="00B13336" w:rsidRPr="00B13336" w:rsidRDefault="002B24DA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  <w:r w:rsidR="006A6803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 (yes)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APOA1</w:t>
            </w:r>
          </w:p>
        </w:tc>
        <w:tc>
          <w:tcPr>
            <w:tcW w:w="2500" w:type="pct"/>
          </w:tcPr>
          <w:p w:rsidR="00B13336" w:rsidRPr="00B13336" w:rsidRDefault="00E32FC6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MC4R</w:t>
            </w:r>
          </w:p>
        </w:tc>
        <w:tc>
          <w:tcPr>
            <w:tcW w:w="2500" w:type="pct"/>
          </w:tcPr>
          <w:p w:rsidR="00B13336" w:rsidRPr="00B13336" w:rsidRDefault="006A680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PKD1L2</w:t>
            </w:r>
          </w:p>
        </w:tc>
        <w:tc>
          <w:tcPr>
            <w:tcW w:w="2500" w:type="pct"/>
          </w:tcPr>
          <w:p w:rsidR="00B13336" w:rsidRPr="00B13336" w:rsidRDefault="00DD173B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INSIG2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IRS1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APOB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ABCA1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RPE65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N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LIPC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  <w:tr w:rsidR="00B13336" w:rsidRPr="00076839" w:rsidTr="00B13336">
        <w:trPr>
          <w:trHeight w:val="227"/>
        </w:trPr>
        <w:tc>
          <w:tcPr>
            <w:tcW w:w="2500" w:type="pct"/>
            <w:shd w:val="clear" w:color="auto" w:fill="auto"/>
            <w:hideMark/>
          </w:tcPr>
          <w:p w:rsidR="00B13336" w:rsidRPr="00076839" w:rsidRDefault="00B13336" w:rsidP="006A6803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076839">
              <w:rPr>
                <w:rFonts w:ascii="Times New Roman" w:hAnsi="Times New Roman"/>
                <w:i/>
                <w:color w:val="000000"/>
                <w:sz w:val="16"/>
                <w:szCs w:val="22"/>
              </w:rPr>
              <w:t>COBLL1</w:t>
            </w:r>
          </w:p>
        </w:tc>
        <w:tc>
          <w:tcPr>
            <w:tcW w:w="2500" w:type="pct"/>
          </w:tcPr>
          <w:p w:rsidR="00B13336" w:rsidRPr="00B13336" w:rsidRDefault="001B07A3" w:rsidP="002B24D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</w:rPr>
              <w:t>Y</w:t>
            </w:r>
          </w:p>
        </w:tc>
      </w:tr>
    </w:tbl>
    <w:p w:rsidR="00CF4970" w:rsidRDefault="00CF4970" w:rsidP="00644938">
      <w:pPr>
        <w:jc w:val="center"/>
        <w:rPr>
          <w:rFonts w:ascii="Times New Roman" w:hAnsi="Times New Roman"/>
          <w:sz w:val="22"/>
          <w:szCs w:val="22"/>
        </w:rPr>
      </w:pPr>
    </w:p>
    <w:p w:rsidR="00CD6998" w:rsidRPr="00CF4970" w:rsidRDefault="00CF4970" w:rsidP="000F20C6">
      <w:pPr>
        <w:jc w:val="both"/>
        <w:rPr>
          <w:rFonts w:ascii="Times New Roman" w:hAnsi="Times New Roman"/>
          <w:sz w:val="20"/>
          <w:szCs w:val="22"/>
        </w:rPr>
      </w:pPr>
      <w:r w:rsidRPr="00CF4970">
        <w:rPr>
          <w:rFonts w:ascii="Times New Roman" w:hAnsi="Times New Roman"/>
          <w:b/>
          <w:sz w:val="22"/>
          <w:lang w:val="en-GB"/>
        </w:rPr>
        <w:t>Conclusions –</w:t>
      </w:r>
      <w:r w:rsidRPr="00CF4970">
        <w:rPr>
          <w:rFonts w:ascii="Times New Roman" w:hAnsi="Times New Roman"/>
          <w:sz w:val="22"/>
          <w:lang w:val="en-GB"/>
        </w:rPr>
        <w:t xml:space="preserve"> SNPs in genes involved in CM metabolism play a significant role in the </w:t>
      </w:r>
      <w:proofErr w:type="spellStart"/>
      <w:r w:rsidRPr="00CF4970">
        <w:rPr>
          <w:rFonts w:ascii="Times New Roman" w:hAnsi="Times New Roman"/>
          <w:sz w:val="22"/>
          <w:lang w:val="en-GB"/>
        </w:rPr>
        <w:t>interindividual</w:t>
      </w:r>
      <w:proofErr w:type="spellEnd"/>
      <w:r w:rsidRPr="00CF4970">
        <w:rPr>
          <w:rFonts w:ascii="Times New Roman" w:hAnsi="Times New Roman"/>
          <w:sz w:val="22"/>
          <w:lang w:val="en-GB"/>
        </w:rPr>
        <w:t xml:space="preserve"> variability in LUT bioavailability.</w:t>
      </w:r>
      <w:r w:rsidR="000F1117" w:rsidRPr="00CF4970">
        <w:rPr>
          <w:rFonts w:ascii="Times New Roman" w:hAnsi="Times New Roman"/>
          <w:sz w:val="20"/>
          <w:szCs w:val="22"/>
        </w:rPr>
        <w:t xml:space="preserve">  </w:t>
      </w:r>
    </w:p>
    <w:p w:rsidR="00CD6998" w:rsidRDefault="00CD6998" w:rsidP="000F20C6">
      <w:pPr>
        <w:jc w:val="both"/>
        <w:rPr>
          <w:rFonts w:ascii="Times New Roman" w:hAnsi="Times New Roman"/>
          <w:sz w:val="22"/>
          <w:szCs w:val="22"/>
        </w:rPr>
      </w:pPr>
    </w:p>
    <w:p w:rsidR="0049623B" w:rsidRPr="0049623B" w:rsidRDefault="0049623B" w:rsidP="000F20C6">
      <w:pPr>
        <w:jc w:val="both"/>
        <w:rPr>
          <w:rFonts w:ascii="Times New Roman" w:hAnsi="Times New Roman"/>
          <w:b/>
          <w:sz w:val="22"/>
          <w:szCs w:val="22"/>
        </w:rPr>
      </w:pPr>
      <w:r w:rsidRPr="0049623B">
        <w:rPr>
          <w:rFonts w:ascii="Times New Roman" w:hAnsi="Times New Roman"/>
          <w:b/>
          <w:sz w:val="22"/>
          <w:szCs w:val="22"/>
        </w:rPr>
        <w:t>Acknowledgements</w:t>
      </w:r>
    </w:p>
    <w:p w:rsidR="00CF4970" w:rsidRPr="006A6803" w:rsidRDefault="0049623B" w:rsidP="000F20C6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>This work was s</w:t>
      </w:r>
      <w:r w:rsidR="00977B0D" w:rsidRPr="00D33FC4">
        <w:rPr>
          <w:rFonts w:ascii="Times New Roman" w:hAnsi="Times New Roman"/>
          <w:sz w:val="22"/>
          <w:szCs w:val="22"/>
        </w:rPr>
        <w:t xml:space="preserve">upported </w:t>
      </w:r>
      <w:r w:rsidR="00977B0D" w:rsidRPr="00CF4970">
        <w:rPr>
          <w:rFonts w:ascii="Times New Roman" w:hAnsi="Times New Roman"/>
          <w:sz w:val="22"/>
          <w:szCs w:val="22"/>
        </w:rPr>
        <w:t>by</w:t>
      </w:r>
      <w:r w:rsidR="00CF4970" w:rsidRPr="00CF4970">
        <w:rPr>
          <w:rFonts w:ascii="Times New Roman" w:hAnsi="Times New Roman"/>
          <w:sz w:val="22"/>
          <w:szCs w:val="22"/>
        </w:rPr>
        <w:t xml:space="preserve"> </w:t>
      </w:r>
      <w:r w:rsidR="00CF4970" w:rsidRPr="00CF4970">
        <w:rPr>
          <w:rFonts w:ascii="Times New Roman" w:hAnsi="Times New Roman"/>
          <w:sz w:val="22"/>
          <w:szCs w:val="22"/>
          <w:lang w:val="en-GB"/>
        </w:rPr>
        <w:t xml:space="preserve">the European Community’s Sixth Framework Programme. The funding was attributed to the </w:t>
      </w:r>
      <w:proofErr w:type="spellStart"/>
      <w:r w:rsidR="00CF4970" w:rsidRPr="00CF4970">
        <w:rPr>
          <w:rFonts w:ascii="Times New Roman" w:hAnsi="Times New Roman"/>
          <w:sz w:val="22"/>
          <w:szCs w:val="22"/>
          <w:lang w:val="en-GB"/>
        </w:rPr>
        <w:t>Lycocard</w:t>
      </w:r>
      <w:proofErr w:type="spellEnd"/>
      <w:r w:rsidR="00CF4970" w:rsidRPr="00CF4970">
        <w:rPr>
          <w:rFonts w:ascii="Times New Roman" w:hAnsi="Times New Roman"/>
          <w:sz w:val="22"/>
          <w:szCs w:val="22"/>
          <w:lang w:val="en-GB"/>
        </w:rPr>
        <w:t xml:space="preserve"> project (n°016213) which was an Integrated Project within the framework of the “Food Quality and Safety” programme.</w:t>
      </w:r>
    </w:p>
    <w:p w:rsidR="00CF4970" w:rsidRDefault="00CF4970" w:rsidP="000F20C6">
      <w:pPr>
        <w:ind w:left="340" w:hanging="340"/>
        <w:jc w:val="both"/>
        <w:rPr>
          <w:rFonts w:ascii="Times New Roman" w:hAnsi="Times New Roman"/>
          <w:sz w:val="20"/>
          <w:szCs w:val="20"/>
        </w:rPr>
      </w:pPr>
    </w:p>
    <w:p w:rsidR="006A6803" w:rsidRPr="006A6803" w:rsidRDefault="006A6803" w:rsidP="000F20C6">
      <w:pPr>
        <w:pStyle w:val="EndNoteBibliography"/>
        <w:ind w:left="340" w:hanging="340"/>
        <w:jc w:val="both"/>
        <w:rPr>
          <w:sz w:val="20"/>
          <w:szCs w:val="20"/>
          <w:lang w:val="en-US"/>
        </w:rPr>
      </w:pPr>
      <w:r w:rsidRPr="006A6803">
        <w:rPr>
          <w:sz w:val="20"/>
          <w:szCs w:val="20"/>
          <w:lang w:val="en-US"/>
        </w:rPr>
        <w:fldChar w:fldCharType="begin"/>
      </w:r>
      <w:r w:rsidRPr="006A6803">
        <w:rPr>
          <w:sz w:val="20"/>
          <w:szCs w:val="20"/>
          <w:lang w:val="en-US"/>
        </w:rPr>
        <w:instrText xml:space="preserve"> ADDIN EN.REFLIST </w:instrText>
      </w:r>
      <w:r w:rsidRPr="006A6803">
        <w:rPr>
          <w:sz w:val="20"/>
          <w:szCs w:val="20"/>
          <w:lang w:val="en-US"/>
        </w:rPr>
        <w:fldChar w:fldCharType="separate"/>
      </w:r>
      <w:bookmarkStart w:id="1" w:name="_ENREF_1"/>
      <w:r w:rsidRPr="009625E8">
        <w:rPr>
          <w:sz w:val="20"/>
          <w:szCs w:val="20"/>
          <w:lang w:val="en-US"/>
        </w:rPr>
        <w:t>[1]</w:t>
      </w:r>
      <w:r>
        <w:rPr>
          <w:sz w:val="20"/>
          <w:szCs w:val="20"/>
          <w:lang w:val="en-US"/>
        </w:rPr>
        <w:t xml:space="preserve"> </w:t>
      </w:r>
      <w:r w:rsidRPr="006A6803">
        <w:rPr>
          <w:sz w:val="20"/>
          <w:szCs w:val="20"/>
          <w:lang w:val="en-US"/>
        </w:rPr>
        <w:t xml:space="preserve">Desmarchelier C, Martin JC, Planells R, et al. </w:t>
      </w:r>
      <w:r w:rsidRPr="009625E8">
        <w:rPr>
          <w:i/>
          <w:sz w:val="20"/>
          <w:szCs w:val="20"/>
          <w:lang w:val="en-US"/>
        </w:rPr>
        <w:t>J Clin Endocr Metab</w:t>
      </w:r>
      <w:r w:rsidRPr="006A6803">
        <w:rPr>
          <w:sz w:val="20"/>
          <w:szCs w:val="20"/>
          <w:lang w:val="en-US"/>
        </w:rPr>
        <w:t xml:space="preserve">;Jan 13:jc20133962. [Epub ahead of print]:DOI: </w:t>
      </w:r>
      <w:hyperlink r:id="rId5" w:history="1">
        <w:r w:rsidRPr="001B07A3">
          <w:rPr>
            <w:rStyle w:val="Lienhypertexte"/>
            <w:color w:val="auto"/>
            <w:sz w:val="20"/>
            <w:szCs w:val="20"/>
            <w:lang w:val="en-US"/>
          </w:rPr>
          <w:t>http://dx.doi.org/10.1210/jc.2013-3962</w:t>
        </w:r>
      </w:hyperlink>
      <w:r w:rsidRPr="001B07A3">
        <w:rPr>
          <w:sz w:val="20"/>
          <w:szCs w:val="20"/>
          <w:lang w:val="en-US"/>
        </w:rPr>
        <w:t>.</w:t>
      </w:r>
      <w:bookmarkEnd w:id="1"/>
      <w:r w:rsidR="009625E8" w:rsidRPr="001B07A3">
        <w:rPr>
          <w:sz w:val="20"/>
          <w:szCs w:val="20"/>
          <w:lang w:val="en-US"/>
        </w:rPr>
        <w:t xml:space="preserve"> </w:t>
      </w:r>
      <w:r w:rsidR="009625E8">
        <w:rPr>
          <w:sz w:val="20"/>
          <w:szCs w:val="20"/>
          <w:lang w:val="en-US"/>
        </w:rPr>
        <w:t>(2014)</w:t>
      </w:r>
    </w:p>
    <w:p w:rsidR="006A6803" w:rsidRPr="006A6803" w:rsidRDefault="006A6803" w:rsidP="000F20C6">
      <w:pPr>
        <w:pStyle w:val="EndNoteBibliography"/>
        <w:ind w:left="340" w:hanging="340"/>
        <w:jc w:val="both"/>
        <w:rPr>
          <w:sz w:val="20"/>
          <w:szCs w:val="20"/>
          <w:lang w:val="en-US"/>
        </w:rPr>
      </w:pPr>
      <w:bookmarkStart w:id="2" w:name="_ENREF_2"/>
      <w:r>
        <w:rPr>
          <w:sz w:val="20"/>
          <w:szCs w:val="20"/>
          <w:lang w:val="en-US"/>
        </w:rPr>
        <w:t>[2</w:t>
      </w:r>
      <w:r w:rsidRPr="006A6803">
        <w:rPr>
          <w:sz w:val="20"/>
          <w:szCs w:val="20"/>
          <w:lang w:val="en-US"/>
        </w:rPr>
        <w:t>]</w:t>
      </w:r>
      <w:r>
        <w:rPr>
          <w:sz w:val="20"/>
          <w:szCs w:val="20"/>
          <w:lang w:val="en-US"/>
        </w:rPr>
        <w:t xml:space="preserve"> </w:t>
      </w:r>
      <w:r w:rsidRPr="006A6803">
        <w:rPr>
          <w:sz w:val="20"/>
          <w:szCs w:val="20"/>
          <w:lang w:val="en-US"/>
        </w:rPr>
        <w:t xml:space="preserve">Borel P, Desmarchelier C, Nowicki M, Bott R, Morange S, Lesavre N. </w:t>
      </w:r>
      <w:r w:rsidRPr="009625E8">
        <w:rPr>
          <w:i/>
          <w:sz w:val="20"/>
          <w:szCs w:val="20"/>
          <w:lang w:val="en-US"/>
        </w:rPr>
        <w:t>Am J Clin Nutr;in reviewing</w:t>
      </w:r>
      <w:r w:rsidRPr="006A6803">
        <w:rPr>
          <w:sz w:val="20"/>
          <w:szCs w:val="20"/>
          <w:lang w:val="en-US"/>
        </w:rPr>
        <w:t>.</w:t>
      </w:r>
      <w:bookmarkEnd w:id="2"/>
    </w:p>
    <w:p w:rsidR="006A6803" w:rsidRPr="006A6803" w:rsidRDefault="006A6803" w:rsidP="000F20C6">
      <w:pPr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6A6803">
        <w:rPr>
          <w:rFonts w:ascii="Times New Roman" w:hAnsi="Times New Roman"/>
          <w:sz w:val="20"/>
          <w:szCs w:val="20"/>
        </w:rPr>
        <w:fldChar w:fldCharType="end"/>
      </w:r>
    </w:p>
    <w:sectPr w:rsidR="006A6803" w:rsidRPr="006A6803" w:rsidSect="0049623B">
      <w:type w:val="continuous"/>
      <w:pgSz w:w="11907" w:h="16840" w:code="9"/>
      <w:pgMar w:top="1418" w:right="1134" w:bottom="1418" w:left="1134" w:header="720" w:footer="72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26"/>
    <w:rsid w:val="0002577B"/>
    <w:rsid w:val="00076839"/>
    <w:rsid w:val="000F1117"/>
    <w:rsid w:val="000F20C6"/>
    <w:rsid w:val="000F7775"/>
    <w:rsid w:val="001232FD"/>
    <w:rsid w:val="001527E6"/>
    <w:rsid w:val="00161DB8"/>
    <w:rsid w:val="001B07A3"/>
    <w:rsid w:val="00234F72"/>
    <w:rsid w:val="002762D5"/>
    <w:rsid w:val="002B03DB"/>
    <w:rsid w:val="002B24DA"/>
    <w:rsid w:val="00301082"/>
    <w:rsid w:val="0031346F"/>
    <w:rsid w:val="00345052"/>
    <w:rsid w:val="00385767"/>
    <w:rsid w:val="003A21C6"/>
    <w:rsid w:val="003A55E2"/>
    <w:rsid w:val="004233D1"/>
    <w:rsid w:val="004409B2"/>
    <w:rsid w:val="004700ED"/>
    <w:rsid w:val="0049623B"/>
    <w:rsid w:val="00536572"/>
    <w:rsid w:val="005611F9"/>
    <w:rsid w:val="00577464"/>
    <w:rsid w:val="00594C3B"/>
    <w:rsid w:val="00644938"/>
    <w:rsid w:val="006571DC"/>
    <w:rsid w:val="006A6803"/>
    <w:rsid w:val="007769EA"/>
    <w:rsid w:val="00873EB7"/>
    <w:rsid w:val="00961E19"/>
    <w:rsid w:val="009625E8"/>
    <w:rsid w:val="00964855"/>
    <w:rsid w:val="00977B0D"/>
    <w:rsid w:val="0099536E"/>
    <w:rsid w:val="009D088F"/>
    <w:rsid w:val="00A66926"/>
    <w:rsid w:val="00AB5E26"/>
    <w:rsid w:val="00B13336"/>
    <w:rsid w:val="00B71CEA"/>
    <w:rsid w:val="00BD2799"/>
    <w:rsid w:val="00BD5D38"/>
    <w:rsid w:val="00C52D2F"/>
    <w:rsid w:val="00C76015"/>
    <w:rsid w:val="00C81FA1"/>
    <w:rsid w:val="00CC3091"/>
    <w:rsid w:val="00CD6998"/>
    <w:rsid w:val="00CE7686"/>
    <w:rsid w:val="00CF4970"/>
    <w:rsid w:val="00D0710E"/>
    <w:rsid w:val="00D33FC4"/>
    <w:rsid w:val="00D36CA1"/>
    <w:rsid w:val="00D83600"/>
    <w:rsid w:val="00D95B35"/>
    <w:rsid w:val="00DD173B"/>
    <w:rsid w:val="00DF2692"/>
    <w:rsid w:val="00E14C6D"/>
    <w:rsid w:val="00E32FC6"/>
    <w:rsid w:val="00E918E2"/>
    <w:rsid w:val="00F71CBE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CCA8-2E7E-4B73-BCB3-00C6442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7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61E1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61E19"/>
    <w:rPr>
      <w:sz w:val="24"/>
    </w:rPr>
  </w:style>
  <w:style w:type="character" w:styleId="Lienhypertexte">
    <w:name w:val="Hyperlink"/>
    <w:basedOn w:val="Policepardfaut"/>
    <w:rsid w:val="006A6803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6A6803"/>
    <w:rPr>
      <w:rFonts w:ascii="Times New Roman" w:hAnsi="Times New Roman"/>
      <w:noProof/>
      <w:lang w:val="fr-FR" w:eastAsia="fr-FR"/>
    </w:rPr>
  </w:style>
  <w:style w:type="character" w:customStyle="1" w:styleId="EndNoteBibliographyCar">
    <w:name w:val="EndNote Bibliography Car"/>
    <w:basedOn w:val="Policepardfaut"/>
    <w:link w:val="EndNoteBibliography"/>
    <w:rsid w:val="006A680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10/jc.2013-39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PROTECTIVE ROLE OF CAROTENOIDS IN THE HUMAN EYE:  INSIGHTS FROM JAPANESE QUAIL AND ASIAN SILKWORMS</vt:lpstr>
      <vt:lpstr>THE PROTECTIVE ROLE OF CAROTENOIDS IN THE HUMAN EYE:  INSIGHTS FROM JAPANESE QUAIL AND ASIAN SILKWORMS</vt:lpstr>
    </vt:vector>
  </TitlesOfParts>
  <Company>University of Utah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PROTECTIVE ROLE OF CAROTENOIDS IN THE HUMAN EYE:  INSIGHTS FROM JAPANESE QUAIL AND ASIAN SILKWORMS</dc:title>
  <dc:subject/>
  <dc:creator>Moran Eye Center</dc:creator>
  <cp:keywords/>
  <cp:lastModifiedBy>Nelly Lucas</cp:lastModifiedBy>
  <cp:revision>2</cp:revision>
  <cp:lastPrinted>2008-03-30T17:18:00Z</cp:lastPrinted>
  <dcterms:created xsi:type="dcterms:W3CDTF">2017-04-25T13:38:00Z</dcterms:created>
  <dcterms:modified xsi:type="dcterms:W3CDTF">2017-04-25T13:38:00Z</dcterms:modified>
</cp:coreProperties>
</file>