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A2" w:rsidRPr="004F5744" w:rsidRDefault="004F5744" w:rsidP="00E1128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F5744">
        <w:rPr>
          <w:rFonts w:ascii="Times New Roman" w:hAnsi="Times New Roman" w:cs="Times New Roman"/>
          <w:b/>
          <w:color w:val="000000" w:themeColor="text1"/>
        </w:rPr>
        <w:t>Submarine deposition and braiding under experimental density current</w:t>
      </w:r>
    </w:p>
    <w:p w:rsidR="00E1128B" w:rsidRDefault="00E1128B" w:rsidP="00E1128B">
      <w:pPr>
        <w:jc w:val="center"/>
        <w:rPr>
          <w:rFonts w:ascii="Times New Roman" w:hAnsi="Times New Roman" w:cs="Times New Roman"/>
        </w:rPr>
      </w:pPr>
    </w:p>
    <w:p w:rsidR="00E1128B" w:rsidRDefault="00E1128B" w:rsidP="00E112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Jean-Louis Grimaud</w:t>
      </w:r>
      <w:r w:rsidR="003E4E38" w:rsidRPr="003E4E38">
        <w:rPr>
          <w:rFonts w:ascii="Times New Roman" w:hAnsi="Times New Roman" w:cs="Times New Roman"/>
          <w:vertAlign w:val="superscript"/>
        </w:rPr>
        <w:t>1</w:t>
      </w:r>
      <w:proofErr w:type="gramStart"/>
      <w:r w:rsidR="003E4E38" w:rsidRPr="003E4E38">
        <w:rPr>
          <w:rFonts w:ascii="Times New Roman" w:hAnsi="Times New Roman" w:cs="Times New Roman"/>
          <w:vertAlign w:val="superscript"/>
        </w:rPr>
        <w:t>,2</w:t>
      </w:r>
      <w:proofErr w:type="gramEnd"/>
      <w:r>
        <w:rPr>
          <w:rFonts w:ascii="Times New Roman" w:hAnsi="Times New Roman" w:cs="Times New Roman"/>
        </w:rPr>
        <w:t>, Ajay Limaye</w:t>
      </w:r>
      <w:r w:rsidR="003E4E38" w:rsidRPr="003E4E3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Chris Paola</w:t>
      </w:r>
      <w:r w:rsidR="003E4E38" w:rsidRPr="003E4E38">
        <w:rPr>
          <w:rFonts w:ascii="Times New Roman" w:hAnsi="Times New Roman" w:cs="Times New Roman"/>
          <w:vertAlign w:val="superscript"/>
        </w:rPr>
        <w:t>2</w:t>
      </w:r>
    </w:p>
    <w:p w:rsidR="003E4E38" w:rsidRDefault="003E4E38" w:rsidP="00E1128B">
      <w:pPr>
        <w:jc w:val="center"/>
        <w:rPr>
          <w:rFonts w:ascii="Times New Roman" w:hAnsi="Times New Roman" w:cs="Times New Roman"/>
        </w:rPr>
      </w:pPr>
    </w:p>
    <w:p w:rsidR="003E4E38" w:rsidRPr="003E4E38" w:rsidRDefault="003E4E38" w:rsidP="003E4E3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4E3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E4E38">
        <w:rPr>
          <w:rFonts w:ascii="Times New Roman" w:hAnsi="Times New Roman" w:cs="Times New Roman"/>
          <w:sz w:val="18"/>
          <w:szCs w:val="18"/>
        </w:rPr>
        <w:t xml:space="preserve"> MINES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E4E38">
        <w:rPr>
          <w:rFonts w:ascii="Times New Roman" w:hAnsi="Times New Roman" w:cs="Times New Roman"/>
          <w:sz w:val="18"/>
          <w:szCs w:val="18"/>
        </w:rPr>
        <w:t>ParisTech</w:t>
      </w:r>
      <w:proofErr w:type="spellEnd"/>
      <w:r w:rsidRPr="003E4E38">
        <w:rPr>
          <w:rFonts w:ascii="Times New Roman" w:hAnsi="Times New Roman" w:cs="Times New Roman"/>
          <w:sz w:val="18"/>
          <w:szCs w:val="18"/>
        </w:rPr>
        <w:t>,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PSL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Research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University,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Centre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de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E4E38">
        <w:rPr>
          <w:rFonts w:ascii="Times New Roman" w:hAnsi="Times New Roman" w:cs="Times New Roman"/>
          <w:sz w:val="18"/>
          <w:szCs w:val="18"/>
        </w:rPr>
        <w:t>Géosciences</w:t>
      </w:r>
      <w:proofErr w:type="spellEnd"/>
      <w:r w:rsidRPr="003E4E38">
        <w:rPr>
          <w:rFonts w:ascii="Times New Roman" w:hAnsi="Times New Roman" w:cs="Times New Roman"/>
          <w:sz w:val="18"/>
          <w:szCs w:val="18"/>
        </w:rPr>
        <w:t>,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35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rue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St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E4E38">
        <w:rPr>
          <w:rFonts w:ascii="Times New Roman" w:hAnsi="Times New Roman" w:cs="Times New Roman"/>
          <w:sz w:val="18"/>
          <w:szCs w:val="18"/>
        </w:rPr>
        <w:t>Honoré</w:t>
      </w:r>
      <w:proofErr w:type="spellEnd"/>
      <w:r w:rsidRPr="003E4E38">
        <w:rPr>
          <w:rFonts w:ascii="Times New Roman" w:hAnsi="Times New Roman" w:cs="Times New Roman"/>
          <w:sz w:val="18"/>
          <w:szCs w:val="18"/>
        </w:rPr>
        <w:t>,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77305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Fontainebleau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E4E38">
        <w:rPr>
          <w:rFonts w:ascii="Times New Roman" w:hAnsi="Times New Roman" w:cs="Times New Roman"/>
          <w:sz w:val="18"/>
          <w:szCs w:val="18"/>
        </w:rPr>
        <w:t>Cedex</w:t>
      </w:r>
      <w:proofErr w:type="spellEnd"/>
      <w:r w:rsidRPr="003E4E38">
        <w:rPr>
          <w:rFonts w:ascii="Times New Roman" w:hAnsi="Times New Roman" w:cs="Times New Roman"/>
          <w:sz w:val="18"/>
          <w:szCs w:val="18"/>
        </w:rPr>
        <w:t>,</w:t>
      </w:r>
      <w:r w:rsidRPr="003E4E38">
        <w:rPr>
          <w:rStyle w:val="a"/>
          <w:rFonts w:ascii="Times New Roman" w:hAnsi="Times New Roman" w:cs="Times New Roman"/>
          <w:sz w:val="18"/>
          <w:szCs w:val="18"/>
        </w:rPr>
        <w:t xml:space="preserve"> </w:t>
      </w:r>
      <w:r w:rsidRPr="003E4E38">
        <w:rPr>
          <w:rFonts w:ascii="Times New Roman" w:hAnsi="Times New Roman" w:cs="Times New Roman"/>
          <w:sz w:val="18"/>
          <w:szCs w:val="18"/>
        </w:rPr>
        <w:t>France</w:t>
      </w:r>
    </w:p>
    <w:p w:rsidR="003E4E38" w:rsidRPr="003E4E38" w:rsidRDefault="003E4E38" w:rsidP="003E4E3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4E3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E4E38">
        <w:rPr>
          <w:rFonts w:ascii="Times New Roman" w:hAnsi="Times New Roman" w:cs="Times New Roman"/>
          <w:sz w:val="18"/>
          <w:szCs w:val="18"/>
        </w:rPr>
        <w:t xml:space="preserve"> St Antony Falls Laboratory, University of Minnesota, 2 Third Avenue SE, Minneapolis, MN 55414, USA</w:t>
      </w:r>
    </w:p>
    <w:p w:rsidR="009A1CDF" w:rsidRDefault="009A1CDF" w:rsidP="009A1CDF">
      <w:pPr>
        <w:rPr>
          <w:rFonts w:ascii="Times New Roman" w:hAnsi="Times New Roman" w:cs="Times New Roman"/>
        </w:rPr>
      </w:pPr>
    </w:p>
    <w:p w:rsidR="00840857" w:rsidRDefault="00840857" w:rsidP="009A1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Turbidit</w:t>
      </w:r>
      <w:r w:rsidR="00850D49">
        <w:rPr>
          <w:rFonts w:ascii="Times New Roman" w:hAnsi="Times New Roman" w:cs="Times New Roman"/>
        </w:rPr>
        <w:t>y currents</w:t>
      </w:r>
      <w:r>
        <w:rPr>
          <w:rFonts w:ascii="Times New Roman" w:hAnsi="Times New Roman" w:cs="Times New Roman"/>
        </w:rPr>
        <w:t xml:space="preserve"> </w:t>
      </w:r>
      <w:r w:rsidRPr="00647BBA">
        <w:rPr>
          <w:rFonts w:ascii="Times New Roman" w:hAnsi="Times New Roman" w:cs="Times New Roman"/>
          <w:color w:val="000000" w:themeColor="text1"/>
        </w:rPr>
        <w:t xml:space="preserve">are </w:t>
      </w:r>
      <w:r w:rsidR="005F5C2E">
        <w:rPr>
          <w:rFonts w:ascii="Times New Roman" w:hAnsi="Times New Roman" w:cs="Times New Roman"/>
          <w:color w:val="000000" w:themeColor="text1"/>
        </w:rPr>
        <w:t xml:space="preserve">the </w:t>
      </w:r>
      <w:r w:rsidR="004F5744">
        <w:rPr>
          <w:rFonts w:ascii="Times New Roman" w:hAnsi="Times New Roman" w:cs="Times New Roman"/>
        </w:rPr>
        <w:t xml:space="preserve">geomorphic </w:t>
      </w:r>
      <w:r w:rsidR="004F5744">
        <w:rPr>
          <w:rFonts w:ascii="Times New Roman" w:hAnsi="Times New Roman" w:cs="Times New Roman"/>
        </w:rPr>
        <w:t xml:space="preserve">agents </w:t>
      </w:r>
      <w:r w:rsidR="004F5744">
        <w:rPr>
          <w:rFonts w:ascii="Times New Roman" w:hAnsi="Times New Roman" w:cs="Times New Roman"/>
          <w:color w:val="000000" w:themeColor="text1"/>
        </w:rPr>
        <w:t>of</w:t>
      </w:r>
      <w:r>
        <w:rPr>
          <w:rFonts w:ascii="Times New Roman" w:hAnsi="Times New Roman" w:cs="Times New Roman"/>
        </w:rPr>
        <w:t xml:space="preserve"> submarine deposition systems</w:t>
      </w:r>
      <w:r w:rsidR="00850D49">
        <w:rPr>
          <w:rFonts w:ascii="Times New Roman" w:hAnsi="Times New Roman" w:cs="Times New Roman"/>
        </w:rPr>
        <w:t xml:space="preserve"> </w:t>
      </w:r>
      <w:r w:rsidR="004F5744">
        <w:rPr>
          <w:rFonts w:ascii="Times New Roman" w:hAnsi="Times New Roman" w:cs="Times New Roman"/>
        </w:rPr>
        <w:t>that</w:t>
      </w:r>
      <w:r w:rsidR="00850D49">
        <w:rPr>
          <w:rFonts w:ascii="Times New Roman" w:hAnsi="Times New Roman" w:cs="Times New Roman"/>
        </w:rPr>
        <w:t xml:space="preserve"> rework</w:t>
      </w:r>
      <w:r w:rsidR="00647BBA">
        <w:rPr>
          <w:rFonts w:ascii="Times New Roman" w:hAnsi="Times New Roman" w:cs="Times New Roman"/>
        </w:rPr>
        <w:t xml:space="preserve"> </w:t>
      </w:r>
      <w:r w:rsidR="00850D49">
        <w:rPr>
          <w:rFonts w:ascii="Times New Roman" w:hAnsi="Times New Roman" w:cs="Times New Roman"/>
        </w:rPr>
        <w:t xml:space="preserve">and </w:t>
      </w:r>
      <w:r w:rsidR="00647BBA">
        <w:rPr>
          <w:rFonts w:ascii="Times New Roman" w:hAnsi="Times New Roman" w:cs="Times New Roman"/>
        </w:rPr>
        <w:t>transfer</w:t>
      </w:r>
      <w:r w:rsidR="00850D49">
        <w:rPr>
          <w:rFonts w:ascii="Times New Roman" w:hAnsi="Times New Roman" w:cs="Times New Roman"/>
        </w:rPr>
        <w:t xml:space="preserve"> silico-clastic material</w:t>
      </w:r>
      <w:r w:rsidR="00594626">
        <w:rPr>
          <w:rFonts w:ascii="Times New Roman" w:hAnsi="Times New Roman" w:cs="Times New Roman"/>
        </w:rPr>
        <w:t xml:space="preserve"> to the deep ocean</w:t>
      </w:r>
      <w:r>
        <w:rPr>
          <w:rFonts w:ascii="Times New Roman" w:hAnsi="Times New Roman" w:cs="Times New Roman"/>
        </w:rPr>
        <w:t>. These high density current</w:t>
      </w:r>
      <w:r w:rsidR="005946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carve g</w:t>
      </w:r>
      <w:r w:rsidR="00594626">
        <w:rPr>
          <w:rFonts w:ascii="Times New Roman" w:hAnsi="Times New Roman" w:cs="Times New Roman"/>
        </w:rPr>
        <w:t xml:space="preserve">iant, meandering canyons along the steep </w:t>
      </w:r>
      <w:r w:rsidR="00594626">
        <w:rPr>
          <w:rFonts w:ascii="Times New Roman" w:hAnsi="Times New Roman" w:cs="Times New Roman"/>
        </w:rPr>
        <w:t xml:space="preserve">continental slopes </w:t>
      </w:r>
      <w:r w:rsidR="00594626">
        <w:rPr>
          <w:rFonts w:ascii="Times New Roman" w:hAnsi="Times New Roman" w:cs="Times New Roman"/>
        </w:rPr>
        <w:t>and deposit submarine lobes</w:t>
      </w:r>
      <w:r w:rsidR="00594626">
        <w:rPr>
          <w:rFonts w:ascii="Times New Roman" w:hAnsi="Times New Roman" w:cs="Times New Roman"/>
        </w:rPr>
        <w:t xml:space="preserve"> </w:t>
      </w:r>
      <w:r w:rsidR="00594626">
        <w:rPr>
          <w:rFonts w:ascii="Times New Roman" w:hAnsi="Times New Roman" w:cs="Times New Roman"/>
        </w:rPr>
        <w:t xml:space="preserve">when the canyon reaches the </w:t>
      </w:r>
      <w:r w:rsidR="00594626">
        <w:rPr>
          <w:rFonts w:ascii="Times New Roman" w:hAnsi="Times New Roman" w:cs="Times New Roman"/>
        </w:rPr>
        <w:t>oceanic basin floors</w:t>
      </w:r>
      <w:r w:rsidR="00594626">
        <w:rPr>
          <w:rFonts w:ascii="Times New Roman" w:hAnsi="Times New Roman" w:cs="Times New Roman"/>
        </w:rPr>
        <w:t xml:space="preserve">. </w:t>
      </w:r>
      <w:r w:rsidR="005F5C2E">
        <w:rPr>
          <w:rFonts w:ascii="Times New Roman" w:hAnsi="Times New Roman" w:cs="Times New Roman"/>
        </w:rPr>
        <w:t>Characterizing</w:t>
      </w:r>
      <w:r w:rsidR="004F5744">
        <w:rPr>
          <w:rFonts w:ascii="Times New Roman" w:hAnsi="Times New Roman" w:cs="Times New Roman"/>
        </w:rPr>
        <w:t xml:space="preserve"> the dynamics of density current is </w:t>
      </w:r>
      <w:r w:rsidR="003E4E38">
        <w:rPr>
          <w:rFonts w:ascii="Times New Roman" w:hAnsi="Times New Roman" w:cs="Times New Roman"/>
        </w:rPr>
        <w:t xml:space="preserve">therefore </w:t>
      </w:r>
      <w:r w:rsidR="004F5744">
        <w:rPr>
          <w:rFonts w:ascii="Times New Roman" w:hAnsi="Times New Roman" w:cs="Times New Roman"/>
        </w:rPr>
        <w:t xml:space="preserve">key for </w:t>
      </w:r>
      <w:r w:rsidR="005F5C2E">
        <w:rPr>
          <w:rFonts w:ascii="Times New Roman" w:hAnsi="Times New Roman" w:cs="Times New Roman"/>
        </w:rPr>
        <w:t xml:space="preserve">better understanding the origin and architecture of </w:t>
      </w:r>
      <w:r w:rsidR="00D3394D">
        <w:rPr>
          <w:rFonts w:ascii="Times New Roman" w:hAnsi="Times New Roman" w:cs="Times New Roman"/>
        </w:rPr>
        <w:t>deep-</w:t>
      </w:r>
      <w:r w:rsidR="005F5C2E">
        <w:rPr>
          <w:rFonts w:ascii="Times New Roman" w:hAnsi="Times New Roman" w:cs="Times New Roman"/>
        </w:rPr>
        <w:t>sea</w:t>
      </w:r>
      <w:r w:rsidR="00D3394D">
        <w:rPr>
          <w:rFonts w:ascii="Times New Roman" w:hAnsi="Times New Roman" w:cs="Times New Roman"/>
        </w:rPr>
        <w:t xml:space="preserve"> </w:t>
      </w:r>
      <w:r w:rsidR="005F5C2E">
        <w:rPr>
          <w:rFonts w:ascii="Times New Roman" w:hAnsi="Times New Roman" w:cs="Times New Roman"/>
        </w:rPr>
        <w:t>sediment</w:t>
      </w:r>
      <w:r w:rsidR="00D3394D">
        <w:rPr>
          <w:rFonts w:ascii="Times New Roman" w:hAnsi="Times New Roman" w:cs="Times New Roman"/>
        </w:rPr>
        <w:t>ary deposits</w:t>
      </w:r>
      <w:r w:rsidR="005F5C2E">
        <w:rPr>
          <w:rFonts w:ascii="Times New Roman" w:hAnsi="Times New Roman" w:cs="Times New Roman"/>
        </w:rPr>
        <w:t xml:space="preserve"> as well as their implications for source-to-sink transfers and reservoir geometry</w:t>
      </w:r>
      <w:r w:rsidR="009E4266">
        <w:rPr>
          <w:rFonts w:ascii="Times New Roman" w:hAnsi="Times New Roman" w:cs="Times New Roman"/>
        </w:rPr>
        <w:t>.</w:t>
      </w:r>
    </w:p>
    <w:p w:rsidR="009E4266" w:rsidRDefault="00AC4D6D" w:rsidP="009A1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present a series of experiment conducted at the St Anthony Falls Laboratory, University of Minnesota, under both subaerial and submarine conditions</w:t>
      </w:r>
      <w:r w:rsidR="005F5C2E">
        <w:rPr>
          <w:rFonts w:ascii="Times New Roman" w:hAnsi="Times New Roman" w:cs="Times New Roman"/>
        </w:rPr>
        <w:t xml:space="preserve"> in order to investigate surface and sub-surface dynamics of </w:t>
      </w:r>
      <w:r w:rsidR="00BB5981">
        <w:rPr>
          <w:rFonts w:ascii="Times New Roman" w:hAnsi="Times New Roman" w:cs="Times New Roman"/>
        </w:rPr>
        <w:t xml:space="preserve">aggrading </w:t>
      </w:r>
      <w:r w:rsidR="005F5C2E">
        <w:rPr>
          <w:rFonts w:ascii="Times New Roman" w:hAnsi="Times New Roman" w:cs="Times New Roman"/>
        </w:rPr>
        <w:t>clastic systems</w:t>
      </w:r>
      <w:r>
        <w:rPr>
          <w:rFonts w:ascii="Times New Roman" w:hAnsi="Times New Roman" w:cs="Times New Roman"/>
        </w:rPr>
        <w:t xml:space="preserve">. </w:t>
      </w:r>
      <w:r w:rsidR="005F5C2E">
        <w:rPr>
          <w:rFonts w:ascii="Times New Roman" w:hAnsi="Times New Roman" w:cs="Times New Roman"/>
        </w:rPr>
        <w:t>T</w:t>
      </w:r>
      <w:r w:rsidR="005F5C2E">
        <w:rPr>
          <w:rFonts w:ascii="Times New Roman" w:hAnsi="Times New Roman" w:cs="Times New Roman"/>
        </w:rPr>
        <w:t xml:space="preserve">he density current </w:t>
      </w:r>
      <w:r w:rsidR="005F5C2E">
        <w:rPr>
          <w:rFonts w:ascii="Times New Roman" w:hAnsi="Times New Roman" w:cs="Times New Roman"/>
        </w:rPr>
        <w:t xml:space="preserve">was a saline solution that was introduced either through a line or point source in order to test the </w:t>
      </w:r>
      <w:r w:rsidR="00AC515F">
        <w:rPr>
          <w:rFonts w:ascii="Times New Roman" w:hAnsi="Times New Roman" w:cs="Times New Roman"/>
        </w:rPr>
        <w:t xml:space="preserve">impact of aspect ratio on planform geometry. </w:t>
      </w:r>
      <w:r w:rsidR="009E4266">
        <w:rPr>
          <w:rFonts w:ascii="Times New Roman" w:hAnsi="Times New Roman" w:cs="Times New Roman"/>
        </w:rPr>
        <w:t>We used light (density 1.25) plastic sediments that were introduced with water at a constant rate during each experiment. The experimental basin was design with two slope breaks</w:t>
      </w:r>
      <w:r w:rsidR="009E4266" w:rsidRPr="009E4266">
        <w:rPr>
          <w:rFonts w:ascii="Times New Roman" w:hAnsi="Times New Roman" w:cs="Times New Roman"/>
        </w:rPr>
        <w:t xml:space="preserve"> </w:t>
      </w:r>
      <w:r w:rsidR="009E4266">
        <w:rPr>
          <w:rFonts w:ascii="Times New Roman" w:hAnsi="Times New Roman" w:cs="Times New Roman"/>
        </w:rPr>
        <w:t>along the test section</w:t>
      </w:r>
      <w:r w:rsidR="009E4266">
        <w:rPr>
          <w:rFonts w:ascii="Times New Roman" w:hAnsi="Times New Roman" w:cs="Times New Roman"/>
        </w:rPr>
        <w:t xml:space="preserve">, one upstream and one </w:t>
      </w:r>
      <w:proofErr w:type="gramStart"/>
      <w:r w:rsidR="009E4266">
        <w:rPr>
          <w:rFonts w:ascii="Times New Roman" w:hAnsi="Times New Roman" w:cs="Times New Roman"/>
        </w:rPr>
        <w:t xml:space="preserve">downstream, </w:t>
      </w:r>
      <w:r w:rsidR="00D3394D">
        <w:rPr>
          <w:rFonts w:ascii="Times New Roman" w:hAnsi="Times New Roman" w:cs="Times New Roman"/>
        </w:rPr>
        <w:t>that</w:t>
      </w:r>
      <w:proofErr w:type="gramEnd"/>
      <w:r w:rsidR="009E4266">
        <w:rPr>
          <w:rFonts w:ascii="Times New Roman" w:hAnsi="Times New Roman" w:cs="Times New Roman"/>
        </w:rPr>
        <w:t xml:space="preserve"> successfully allow</w:t>
      </w:r>
      <w:r w:rsidR="00846915">
        <w:rPr>
          <w:rFonts w:ascii="Times New Roman" w:hAnsi="Times New Roman" w:cs="Times New Roman"/>
        </w:rPr>
        <w:t>ed</w:t>
      </w:r>
      <w:r w:rsidR="009E4266">
        <w:rPr>
          <w:rFonts w:ascii="Times New Roman" w:hAnsi="Times New Roman" w:cs="Times New Roman"/>
        </w:rPr>
        <w:t xml:space="preserve"> for aggradation of the deposits. </w:t>
      </w:r>
      <w:r w:rsidR="00204F4D">
        <w:rPr>
          <w:rFonts w:ascii="Times New Roman" w:hAnsi="Times New Roman" w:cs="Times New Roman"/>
        </w:rPr>
        <w:t>Under similar discharge conditions, the submarine case resulted in steeper longitudinal slopes than the subaerial case</w:t>
      </w:r>
      <w:r w:rsidR="00791C38">
        <w:rPr>
          <w:rFonts w:ascii="Times New Roman" w:hAnsi="Times New Roman" w:cs="Times New Roman"/>
        </w:rPr>
        <w:t>, affecting the overall depositional patterns</w:t>
      </w:r>
      <w:r w:rsidR="00204F4D">
        <w:rPr>
          <w:rFonts w:ascii="Times New Roman" w:hAnsi="Times New Roman" w:cs="Times New Roman"/>
        </w:rPr>
        <w:t xml:space="preserve">. </w:t>
      </w:r>
      <w:r w:rsidR="003C5D80">
        <w:rPr>
          <w:rFonts w:ascii="Times New Roman" w:hAnsi="Times New Roman" w:cs="Times New Roman"/>
        </w:rPr>
        <w:t xml:space="preserve">Surface evolution, captured using topographic scans, showed deposition patterns of alternating deep-scouring channels connected to depositional lobes, sheet-flow developed at the outlet of these channels as well as braid plains that occurred across the whole test-section. </w:t>
      </w:r>
      <w:r w:rsidR="009E4266">
        <w:rPr>
          <w:rFonts w:ascii="Times New Roman" w:hAnsi="Times New Roman" w:cs="Times New Roman"/>
        </w:rPr>
        <w:t xml:space="preserve">We show that </w:t>
      </w:r>
      <w:r w:rsidR="00846915">
        <w:rPr>
          <w:rFonts w:ascii="Times New Roman" w:hAnsi="Times New Roman" w:cs="Times New Roman"/>
        </w:rPr>
        <w:t xml:space="preserve">lobe deposition initiated at </w:t>
      </w:r>
      <w:r w:rsidR="003C5D80">
        <w:rPr>
          <w:rFonts w:ascii="Times New Roman" w:hAnsi="Times New Roman" w:cs="Times New Roman"/>
        </w:rPr>
        <w:t>each</w:t>
      </w:r>
      <w:r w:rsidR="00846915">
        <w:rPr>
          <w:rFonts w:ascii="Times New Roman" w:hAnsi="Times New Roman" w:cs="Times New Roman"/>
        </w:rPr>
        <w:t xml:space="preserve"> slope break, leading to aggradation and widening of the lobes until a threshold was reached and the feeding channel avulsed elsewhere. </w:t>
      </w:r>
      <w:r w:rsidR="00204F4D">
        <w:rPr>
          <w:rFonts w:ascii="Times New Roman" w:hAnsi="Times New Roman" w:cs="Times New Roman"/>
        </w:rPr>
        <w:t xml:space="preserve">Using </w:t>
      </w:r>
      <w:r w:rsidR="00791C38">
        <w:rPr>
          <w:rFonts w:ascii="Times New Roman" w:hAnsi="Times New Roman" w:cs="Times New Roman"/>
        </w:rPr>
        <w:t xml:space="preserve">a </w:t>
      </w:r>
      <w:r w:rsidR="00204F4D">
        <w:rPr>
          <w:rFonts w:ascii="Times New Roman" w:hAnsi="Times New Roman" w:cs="Times New Roman"/>
        </w:rPr>
        <w:t>flow routing-</w:t>
      </w:r>
      <w:r w:rsidR="00204F4D" w:rsidRPr="0098525B">
        <w:rPr>
          <w:rFonts w:ascii="Times New Roman" w:hAnsi="Times New Roman" w:cs="Times New Roman"/>
        </w:rPr>
        <w:t xml:space="preserve">based technique </w:t>
      </w:r>
      <w:r w:rsidR="00322536">
        <w:rPr>
          <w:rFonts w:ascii="Times New Roman" w:hAnsi="Times New Roman" w:cs="Times New Roman"/>
        </w:rPr>
        <w:t>as a mapping tool</w:t>
      </w:r>
      <w:r w:rsidR="00204F4D">
        <w:rPr>
          <w:rFonts w:ascii="Times New Roman" w:hAnsi="Times New Roman" w:cs="Times New Roman"/>
        </w:rPr>
        <w:t xml:space="preserve">, </w:t>
      </w:r>
      <w:r w:rsidR="00791C38">
        <w:rPr>
          <w:rFonts w:ascii="Times New Roman" w:hAnsi="Times New Roman" w:cs="Times New Roman"/>
        </w:rPr>
        <w:t>we were able to quantify objec</w:t>
      </w:r>
      <w:r w:rsidR="00017177">
        <w:rPr>
          <w:rFonts w:ascii="Times New Roman" w:hAnsi="Times New Roman" w:cs="Times New Roman"/>
        </w:rPr>
        <w:t>tively the aspect ratio of bars</w:t>
      </w:r>
      <w:r w:rsidR="000F5F1D">
        <w:rPr>
          <w:rFonts w:ascii="Times New Roman" w:hAnsi="Times New Roman" w:cs="Times New Roman"/>
        </w:rPr>
        <w:t xml:space="preserve"> and it variations with input conditions</w:t>
      </w:r>
      <w:r w:rsidR="00017177">
        <w:rPr>
          <w:rFonts w:ascii="Times New Roman" w:hAnsi="Times New Roman" w:cs="Times New Roman"/>
        </w:rPr>
        <w:t>.</w:t>
      </w:r>
      <w:r w:rsidR="00791C38">
        <w:rPr>
          <w:rFonts w:ascii="Times New Roman" w:hAnsi="Times New Roman" w:cs="Times New Roman"/>
        </w:rPr>
        <w:t xml:space="preserve"> Finally, </w:t>
      </w:r>
      <w:r w:rsidR="00204F4D">
        <w:rPr>
          <w:rFonts w:ascii="Times New Roman" w:hAnsi="Times New Roman" w:cs="Times New Roman"/>
        </w:rPr>
        <w:t xml:space="preserve">we </w:t>
      </w:r>
      <w:r w:rsidR="00017177">
        <w:rPr>
          <w:rFonts w:ascii="Times New Roman" w:hAnsi="Times New Roman" w:cs="Times New Roman"/>
        </w:rPr>
        <w:t>showed</w:t>
      </w:r>
      <w:r w:rsidR="00204F4D">
        <w:rPr>
          <w:rFonts w:ascii="Times New Roman" w:hAnsi="Times New Roman" w:cs="Times New Roman"/>
        </w:rPr>
        <w:t xml:space="preserve"> </w:t>
      </w:r>
      <w:r w:rsidR="00791C38">
        <w:rPr>
          <w:rFonts w:ascii="Times New Roman" w:hAnsi="Times New Roman" w:cs="Times New Roman"/>
        </w:rPr>
        <w:t xml:space="preserve">lengthened avulsion timescale in a bedload-dominated </w:t>
      </w:r>
      <w:r w:rsidR="00017177">
        <w:rPr>
          <w:rFonts w:ascii="Times New Roman" w:hAnsi="Times New Roman" w:cs="Times New Roman"/>
        </w:rPr>
        <w:t xml:space="preserve">turbidity </w:t>
      </w:r>
      <w:r w:rsidR="00017177">
        <w:rPr>
          <w:rFonts w:ascii="Times New Roman" w:hAnsi="Times New Roman" w:cs="Times New Roman"/>
        </w:rPr>
        <w:t>experiment</w:t>
      </w:r>
      <w:r w:rsidR="00017177">
        <w:rPr>
          <w:rFonts w:ascii="Times New Roman" w:hAnsi="Times New Roman" w:cs="Times New Roman"/>
        </w:rPr>
        <w:t>s</w:t>
      </w:r>
      <w:r w:rsidR="000F5F1D">
        <w:rPr>
          <w:rFonts w:ascii="Times New Roman" w:hAnsi="Times New Roman" w:cs="Times New Roman"/>
        </w:rPr>
        <w:t>,</w:t>
      </w:r>
      <w:r w:rsidR="00017177">
        <w:rPr>
          <w:rFonts w:ascii="Times New Roman" w:hAnsi="Times New Roman" w:cs="Times New Roman"/>
        </w:rPr>
        <w:t xml:space="preserve"> </w:t>
      </w:r>
      <w:r w:rsidR="00340C59">
        <w:rPr>
          <w:rFonts w:ascii="Times New Roman" w:hAnsi="Times New Roman" w:cs="Times New Roman"/>
        </w:rPr>
        <w:t xml:space="preserve">a </w:t>
      </w:r>
      <w:r w:rsidR="00545539">
        <w:rPr>
          <w:rFonts w:ascii="Times New Roman" w:hAnsi="Times New Roman" w:cs="Times New Roman"/>
        </w:rPr>
        <w:t>behavior</w:t>
      </w:r>
      <w:r w:rsidR="00340C59">
        <w:rPr>
          <w:rFonts w:ascii="Times New Roman" w:hAnsi="Times New Roman" w:cs="Times New Roman"/>
        </w:rPr>
        <w:t xml:space="preserve"> that is commonly</w:t>
      </w:r>
      <w:r w:rsidR="00017177">
        <w:rPr>
          <w:rFonts w:ascii="Times New Roman" w:hAnsi="Times New Roman" w:cs="Times New Roman"/>
        </w:rPr>
        <w:t xml:space="preserve"> assumed to result </w:t>
      </w:r>
      <w:r w:rsidR="00340C59">
        <w:rPr>
          <w:rFonts w:ascii="Times New Roman" w:hAnsi="Times New Roman" w:cs="Times New Roman"/>
        </w:rPr>
        <w:t>only from</w:t>
      </w:r>
      <w:r w:rsidR="00017177">
        <w:rPr>
          <w:rFonts w:ascii="Times New Roman" w:hAnsi="Times New Roman" w:cs="Times New Roman"/>
        </w:rPr>
        <w:t xml:space="preserve"> levees growing </w:t>
      </w:r>
      <w:r w:rsidR="00340C59">
        <w:rPr>
          <w:rFonts w:ascii="Times New Roman" w:hAnsi="Times New Roman" w:cs="Times New Roman"/>
        </w:rPr>
        <w:t>in</w:t>
      </w:r>
      <w:r w:rsidR="00017177">
        <w:rPr>
          <w:rFonts w:ascii="Times New Roman" w:hAnsi="Times New Roman" w:cs="Times New Roman"/>
        </w:rPr>
        <w:t xml:space="preserve"> submarine aggrading systems. </w:t>
      </w:r>
      <w:bookmarkStart w:id="0" w:name="_GoBack"/>
      <w:bookmarkEnd w:id="0"/>
    </w:p>
    <w:p w:rsidR="00204F4D" w:rsidRPr="00E1128B" w:rsidRDefault="00204F4D">
      <w:pPr>
        <w:rPr>
          <w:rFonts w:ascii="Times New Roman" w:hAnsi="Times New Roman" w:cs="Times New Roman"/>
        </w:rPr>
      </w:pPr>
    </w:p>
    <w:sectPr w:rsidR="00204F4D" w:rsidRPr="00E1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8B"/>
    <w:rsid w:val="00017177"/>
    <w:rsid w:val="000A0B56"/>
    <w:rsid w:val="000F5F1D"/>
    <w:rsid w:val="001F74D7"/>
    <w:rsid w:val="00204F4D"/>
    <w:rsid w:val="00246956"/>
    <w:rsid w:val="00322536"/>
    <w:rsid w:val="00340C59"/>
    <w:rsid w:val="003C5D80"/>
    <w:rsid w:val="003E4E38"/>
    <w:rsid w:val="004F3985"/>
    <w:rsid w:val="004F5744"/>
    <w:rsid w:val="00545539"/>
    <w:rsid w:val="00566A37"/>
    <w:rsid w:val="00594626"/>
    <w:rsid w:val="005F5C2E"/>
    <w:rsid w:val="00647BBA"/>
    <w:rsid w:val="00791C38"/>
    <w:rsid w:val="00800013"/>
    <w:rsid w:val="00840857"/>
    <w:rsid w:val="00846915"/>
    <w:rsid w:val="00850D49"/>
    <w:rsid w:val="009A1CDF"/>
    <w:rsid w:val="009E4266"/>
    <w:rsid w:val="00AC4D6D"/>
    <w:rsid w:val="00AC515F"/>
    <w:rsid w:val="00BB5981"/>
    <w:rsid w:val="00BB60F9"/>
    <w:rsid w:val="00C417CA"/>
    <w:rsid w:val="00D3394D"/>
    <w:rsid w:val="00E1128B"/>
    <w:rsid w:val="00E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F22EB-B128-4500-804C-71ED723E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3E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Grimaud</dc:creator>
  <cp:keywords/>
  <dc:description/>
  <cp:lastModifiedBy>Jean-Louis Grimaud</cp:lastModifiedBy>
  <cp:revision>18</cp:revision>
  <dcterms:created xsi:type="dcterms:W3CDTF">2016-05-27T12:45:00Z</dcterms:created>
  <dcterms:modified xsi:type="dcterms:W3CDTF">2016-05-31T15:11:00Z</dcterms:modified>
</cp:coreProperties>
</file>