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4"/>
        <w:gridCol w:w="3265"/>
        <w:gridCol w:w="900"/>
        <w:gridCol w:w="1452"/>
      </w:tblGrid>
      <w:tr w:rsidR="00653340" w:rsidRPr="00D8537E" w:rsidTr="00653340">
        <w:trPr>
          <w:trHeight w:val="30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280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bookmarkStart w:id="0" w:name="_GoBack"/>
            <w:bookmarkEnd w:id="0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Table </w:t>
            </w:r>
            <w:r w:rsidR="002800C9"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1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. Baseline characteristics of 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the 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studied population (n = 241)</w:t>
            </w:r>
          </w:p>
        </w:tc>
      </w:tr>
      <w:tr w:rsidR="00653340" w:rsidRPr="00D8537E" w:rsidTr="00653340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Clinical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data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Age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year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±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 15.6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median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iqr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(24)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Sex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n </w:t>
            </w: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Men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(46.1)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Women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(53.9)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SCD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Status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n </w:t>
            </w: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(57.3)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(42.7)</w:t>
            </w:r>
          </w:p>
        </w:tc>
      </w:tr>
      <w:tr w:rsidR="00653340" w:rsidRPr="004368ED" w:rsidTr="00653340">
        <w:trPr>
          <w:trHeight w:val="345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HU</w:t>
            </w:r>
            <w:r w:rsidRPr="00436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fr-FR"/>
              </w:rPr>
              <w:t>a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treatment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n </w:t>
            </w: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treated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(13.7)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non-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treated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(86.3)</w:t>
            </w:r>
          </w:p>
        </w:tc>
      </w:tr>
      <w:tr w:rsidR="00653340" w:rsidRPr="004368ED" w:rsidTr="00653340">
        <w:trPr>
          <w:trHeight w:val="345"/>
        </w:trPr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Biological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parameters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NOx</w:t>
            </w: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fr-FR"/>
              </w:rPr>
              <w:t>b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fr-FR"/>
              </w:rPr>
              <w:t xml:space="preserve"> 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(µ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mol.l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-1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653340" w:rsidRPr="004368ED" w:rsidTr="00653340">
        <w:trPr>
          <w:trHeight w:val="717"/>
        </w:trPr>
        <w:tc>
          <w:tcPr>
            <w:tcW w:w="13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±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 10.4</w:t>
            </w:r>
          </w:p>
        </w:tc>
      </w:tr>
      <w:tr w:rsidR="00653340" w:rsidRPr="004368ED" w:rsidTr="00653340">
        <w:trPr>
          <w:trHeight w:val="345"/>
        </w:trPr>
        <w:tc>
          <w:tcPr>
            <w:tcW w:w="13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Hemorheological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parameters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EI</w:t>
            </w: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fr-FR"/>
              </w:rPr>
              <w:t>c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</w:t>
            </w:r>
            <w:proofErr w:type="spellEnd"/>
            <w:r w:rsidR="00C83FF5"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mean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 ±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sd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  0.1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median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iqr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(0.131)</w:t>
            </w:r>
          </w:p>
        </w:tc>
      </w:tr>
      <w:tr w:rsidR="00653340" w:rsidRPr="004368ED" w:rsidTr="00653340">
        <w:trPr>
          <w:trHeight w:val="345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AI</w:t>
            </w: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fr-FR"/>
              </w:rPr>
              <w:t>d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(%)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±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 9.8</w:t>
            </w:r>
          </w:p>
        </w:tc>
      </w:tr>
      <w:tr w:rsidR="00653340" w:rsidRPr="004368ED" w:rsidTr="00653340">
        <w:trPr>
          <w:trHeight w:val="345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γ</w:t>
            </w: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fr-FR"/>
              </w:rPr>
              <w:t>e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(s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-1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mean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 ±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sd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282.3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  112.9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median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iqr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(155)</w:t>
            </w:r>
          </w:p>
        </w:tc>
      </w:tr>
      <w:tr w:rsidR="00653340" w:rsidRPr="00D8537E" w:rsidTr="00653340">
        <w:trPr>
          <w:trHeight w:val="345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6D24C9" w:rsidRDefault="00C83FF5" w:rsidP="00C8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D24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Blood viscosity</w:t>
            </w:r>
            <w:r w:rsidRPr="006D24C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653340" w:rsidRPr="006D24C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</w:t>
            </w:r>
            <w:proofErr w:type="spellStart"/>
            <w:r w:rsidRPr="006D24C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cP</w:t>
            </w:r>
            <w:proofErr w:type="spellEnd"/>
            <w:r w:rsidR="00653340" w:rsidRPr="006D24C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)</w:t>
            </w:r>
            <w:r w:rsidR="006D24C9" w:rsidRPr="006D24C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6D24C9" w:rsidRPr="006D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 xml:space="preserve">mean ± </w:t>
            </w:r>
            <w:proofErr w:type="spellStart"/>
            <w:r w:rsidR="006D24C9" w:rsidRPr="006D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fr-FR"/>
              </w:rPr>
              <w:t>sd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6D24C9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6D24C9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6D24C9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225s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  1.4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90s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  2.3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eNOS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Polymorphisms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VNTR</w:t>
            </w:r>
            <w:r w:rsidR="006D24C9"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n </w:t>
            </w:r>
            <w:r w:rsidR="006D24C9"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(8.8)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(42.1)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(43.7)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(5.0)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(0.4)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-786TC</w:t>
            </w:r>
            <w:r w:rsidR="006D24C9"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n </w:t>
            </w:r>
            <w:r w:rsidR="006D24C9"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162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(69.8)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TC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(29.8)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(0.4)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894GT</w:t>
            </w:r>
            <w:r w:rsidR="006D24C9" w:rsidRPr="004368E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n </w:t>
            </w:r>
            <w:r w:rsidR="006D24C9"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GG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198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(84.2)</w:t>
            </w:r>
          </w:p>
        </w:tc>
      </w:tr>
      <w:tr w:rsidR="00653340" w:rsidRPr="004368ED" w:rsidTr="00653340">
        <w:trPr>
          <w:trHeight w:val="30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GT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(14.9)</w:t>
            </w:r>
          </w:p>
        </w:tc>
      </w:tr>
      <w:tr w:rsidR="00653340" w:rsidRPr="004368ED" w:rsidTr="00653340">
        <w:trPr>
          <w:trHeight w:val="315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653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(0.9)</w:t>
            </w:r>
          </w:p>
        </w:tc>
      </w:tr>
      <w:tr w:rsidR="00653340" w:rsidRPr="00D8537E" w:rsidTr="00653340">
        <w:trPr>
          <w:trHeight w:val="30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40" w:rsidRPr="004368ED" w:rsidRDefault="00653340" w:rsidP="00C8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4368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Hydroxyurea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Nitric</w:t>
            </w:r>
            <w:proofErr w:type="spellEnd"/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oxide end-products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c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Elongation</w:t>
            </w:r>
            <w:proofErr w:type="spellEnd"/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Index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(i.e., RBC deformability)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d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RBC</w:t>
            </w:r>
            <w:proofErr w:type="spellEnd"/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A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regation Index, </w:t>
            </w:r>
            <w:proofErr w:type="spellStart"/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e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RBC</w:t>
            </w:r>
            <w:proofErr w:type="spellEnd"/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4368ED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Disaggregation</w:t>
            </w:r>
            <w:r w:rsidR="00C83FF5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threshold</w:t>
            </w:r>
          </w:p>
        </w:tc>
      </w:tr>
      <w:tr w:rsidR="00653340" w:rsidRPr="00D8537E" w:rsidTr="00653340">
        <w:trPr>
          <w:trHeight w:val="30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8ED" w:rsidRDefault="004368ED" w:rsidP="004368ED">
            <w:pPr>
              <w:pStyle w:val="Commentaire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SCD</w:t>
            </w:r>
            <w:r w:rsidR="00653340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patients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: sickle cell anemia patients (138) and sickle cell hemoglobin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</w:t>
            </w:r>
            <w:r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patients (103) ;</w:t>
            </w:r>
          </w:p>
          <w:p w:rsidR="00653340" w:rsidRPr="004368ED" w:rsidRDefault="004368ED" w:rsidP="004368ED">
            <w:pPr>
              <w:pStyle w:val="Commentaire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VNTR:</w:t>
            </w:r>
            <w:r w:rsidR="00653340" w:rsidRPr="0043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variable number of tandem DNA repeats</w:t>
            </w:r>
          </w:p>
        </w:tc>
      </w:tr>
    </w:tbl>
    <w:p w:rsidR="00026DCB" w:rsidRDefault="00026DCB" w:rsidP="00026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 xml:space="preserve">  </w:t>
      </w:r>
      <w:r w:rsidRPr="00026DC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Quantitative data are expressed as mean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±</w:t>
      </w:r>
      <w:r w:rsidRPr="00026DC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 xml:space="preserve"> standard deviation/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±</w:t>
      </w:r>
      <w:proofErr w:type="spellStart"/>
      <w:r w:rsidRPr="00026DC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sd</w:t>
      </w:r>
      <w:proofErr w:type="spellEnd"/>
      <w:r w:rsidRPr="00026DC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) or me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dian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interquartile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 xml:space="preserve"> range/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iqr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)</w:t>
      </w:r>
    </w:p>
    <w:p w:rsidR="001F62B7" w:rsidRPr="00026DCB" w:rsidRDefault="00026DCB" w:rsidP="00026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 xml:space="preserve">  </w:t>
      </w:r>
      <w:r w:rsidRPr="00026DC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Qualitative date are expressed as number</w:t>
      </w:r>
      <w:r w:rsidRPr="00026DCB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n-US" w:eastAsia="fr-FR"/>
        </w:rPr>
        <w:t xml:space="preserve"> (percentage/%)</w:t>
      </w:r>
    </w:p>
    <w:sectPr w:rsidR="001F62B7" w:rsidRPr="00026DCB" w:rsidSect="002800C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E82F7C" w15:done="0"/>
  <w15:commentEx w15:paraId="71726002" w15:done="0"/>
  <w15:commentEx w15:paraId="50A6CBB8" w15:paraIdParent="7172600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340"/>
    <w:rsid w:val="00026DCB"/>
    <w:rsid w:val="002800C9"/>
    <w:rsid w:val="003D57DF"/>
    <w:rsid w:val="004368ED"/>
    <w:rsid w:val="00447C44"/>
    <w:rsid w:val="004A6CF3"/>
    <w:rsid w:val="004C63EC"/>
    <w:rsid w:val="00653340"/>
    <w:rsid w:val="006A7154"/>
    <w:rsid w:val="006D24C9"/>
    <w:rsid w:val="007139FF"/>
    <w:rsid w:val="007A255B"/>
    <w:rsid w:val="00AA6697"/>
    <w:rsid w:val="00AE0349"/>
    <w:rsid w:val="00B4147E"/>
    <w:rsid w:val="00B81E29"/>
    <w:rsid w:val="00C83FF5"/>
    <w:rsid w:val="00D07FC3"/>
    <w:rsid w:val="00D8537E"/>
    <w:rsid w:val="00EC1055"/>
    <w:rsid w:val="00F6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FF5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83F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83FF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C83FF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F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F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sev</cp:lastModifiedBy>
  <cp:revision>7</cp:revision>
  <dcterms:created xsi:type="dcterms:W3CDTF">2015-02-21T11:53:00Z</dcterms:created>
  <dcterms:modified xsi:type="dcterms:W3CDTF">2015-05-28T15:44:00Z</dcterms:modified>
</cp:coreProperties>
</file>