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8" w:rsidRPr="00037BEA" w:rsidRDefault="00590DB2" w:rsidP="008A1D13">
      <w:pPr>
        <w:spacing w:line="240" w:lineRule="auto"/>
        <w:jc w:val="center"/>
        <w:rPr>
          <w:rFonts w:cs="Times New Roman"/>
          <w:caps/>
          <w:sz w:val="20"/>
          <w:szCs w:val="20"/>
          <w:lang w:val="en-US"/>
        </w:rPr>
      </w:pPr>
      <w:r w:rsidRPr="00590DB2">
        <w:rPr>
          <w:rFonts w:cs="Times New Roman"/>
          <w:b/>
          <w:caps/>
          <w:sz w:val="20"/>
          <w:szCs w:val="20"/>
          <w:lang w:val="en-US"/>
        </w:rPr>
        <w:t xml:space="preserve">Nickel drives the bacterial community diversity in </w:t>
      </w:r>
      <w:r>
        <w:rPr>
          <w:rFonts w:cs="Times New Roman"/>
          <w:b/>
          <w:caps/>
          <w:sz w:val="20"/>
          <w:szCs w:val="20"/>
          <w:lang w:val="en-US"/>
        </w:rPr>
        <w:t>the</w:t>
      </w:r>
      <w:r w:rsidR="006D6508" w:rsidRPr="00037BEA">
        <w:rPr>
          <w:rFonts w:cs="Times New Roman"/>
          <w:b/>
          <w:caps/>
          <w:sz w:val="20"/>
          <w:szCs w:val="20"/>
          <w:lang w:val="en-US"/>
        </w:rPr>
        <w:t xml:space="preserve"> rhizosphere of </w:t>
      </w:r>
      <w:r>
        <w:rPr>
          <w:rFonts w:cs="Times New Roman"/>
          <w:b/>
          <w:caps/>
          <w:sz w:val="20"/>
          <w:szCs w:val="20"/>
          <w:lang w:val="en-US"/>
        </w:rPr>
        <w:t xml:space="preserve">the hyperaccumulator </w:t>
      </w:r>
      <w:r w:rsidR="006D6508" w:rsidRPr="00037BEA">
        <w:rPr>
          <w:rFonts w:cs="Times New Roman"/>
          <w:b/>
          <w:i/>
          <w:caps/>
          <w:sz w:val="20"/>
          <w:szCs w:val="20"/>
          <w:lang w:val="en-US"/>
        </w:rPr>
        <w:t>Alyssum murale</w:t>
      </w:r>
    </w:p>
    <w:p w:rsidR="003968C1" w:rsidRPr="00961C56" w:rsidRDefault="003968C1" w:rsidP="003968C1">
      <w:pPr>
        <w:spacing w:line="240" w:lineRule="auto"/>
        <w:rPr>
          <w:rFonts w:cs="Times New Roman"/>
          <w:sz w:val="20"/>
          <w:szCs w:val="20"/>
          <w:lang w:val="en-US"/>
        </w:rPr>
      </w:pPr>
    </w:p>
    <w:p w:rsidR="003968C1" w:rsidRPr="00961C56" w:rsidRDefault="003968C1" w:rsidP="003968C1">
      <w:pPr>
        <w:spacing w:line="240" w:lineRule="auto"/>
        <w:rPr>
          <w:rFonts w:cs="Times New Roman"/>
          <w:b/>
          <w:sz w:val="20"/>
          <w:szCs w:val="20"/>
        </w:rPr>
      </w:pPr>
      <w:bookmarkStart w:id="0" w:name="_GoBack"/>
      <w:r w:rsidRPr="00961C56">
        <w:rPr>
          <w:rFonts w:cs="Times New Roman"/>
          <w:b/>
          <w:sz w:val="20"/>
          <w:szCs w:val="20"/>
        </w:rPr>
        <w:t>S. Lopez</w:t>
      </w:r>
      <w:r w:rsidRPr="00961C56">
        <w:rPr>
          <w:rFonts w:cs="Times New Roman"/>
          <w:b/>
          <w:sz w:val="20"/>
          <w:szCs w:val="20"/>
          <w:vertAlign w:val="superscript"/>
        </w:rPr>
        <w:t>1</w:t>
      </w:r>
      <w:proofErr w:type="gramStart"/>
      <w:r w:rsidRPr="00961C56">
        <w:rPr>
          <w:rFonts w:cs="Times New Roman"/>
          <w:b/>
          <w:sz w:val="20"/>
          <w:szCs w:val="20"/>
          <w:vertAlign w:val="superscript"/>
        </w:rPr>
        <w:t>,2</w:t>
      </w:r>
      <w:proofErr w:type="gramEnd"/>
      <w:r w:rsidRPr="00961C56">
        <w:rPr>
          <w:rFonts w:cs="Times New Roman"/>
          <w:b/>
          <w:sz w:val="20"/>
          <w:szCs w:val="20"/>
        </w:rPr>
        <w:t>, S. Piutti</w:t>
      </w:r>
      <w:r w:rsidRPr="00961C56">
        <w:rPr>
          <w:rFonts w:cs="Times New Roman"/>
          <w:b/>
          <w:sz w:val="20"/>
          <w:szCs w:val="20"/>
          <w:vertAlign w:val="superscript"/>
        </w:rPr>
        <w:t>3,4</w:t>
      </w:r>
      <w:r w:rsidRPr="00961C56">
        <w:rPr>
          <w:rFonts w:cs="Times New Roman"/>
          <w:b/>
          <w:sz w:val="20"/>
          <w:szCs w:val="20"/>
        </w:rPr>
        <w:t>, J. Vallance</w:t>
      </w:r>
      <w:r w:rsidRPr="00961C56">
        <w:rPr>
          <w:rFonts w:cs="Times New Roman"/>
          <w:b/>
          <w:sz w:val="20"/>
          <w:szCs w:val="20"/>
          <w:vertAlign w:val="superscript"/>
        </w:rPr>
        <w:t>5</w:t>
      </w:r>
      <w:r w:rsidRPr="00961C56">
        <w:rPr>
          <w:rFonts w:cs="Times New Roman"/>
          <w:b/>
          <w:sz w:val="20"/>
          <w:szCs w:val="20"/>
        </w:rPr>
        <w:t>, J. L. Morel</w:t>
      </w:r>
      <w:r w:rsidRPr="00961C56">
        <w:rPr>
          <w:rFonts w:cs="Times New Roman"/>
          <w:b/>
          <w:sz w:val="20"/>
          <w:szCs w:val="20"/>
          <w:vertAlign w:val="superscript"/>
        </w:rPr>
        <w:t>1,2</w:t>
      </w:r>
      <w:r w:rsidRPr="00961C56">
        <w:rPr>
          <w:rFonts w:cs="Times New Roman"/>
          <w:b/>
          <w:sz w:val="20"/>
          <w:szCs w:val="20"/>
        </w:rPr>
        <w:t>, G. Echevarria</w:t>
      </w:r>
      <w:r w:rsidRPr="00961C56">
        <w:rPr>
          <w:rFonts w:cs="Times New Roman"/>
          <w:b/>
          <w:sz w:val="20"/>
          <w:szCs w:val="20"/>
          <w:vertAlign w:val="superscript"/>
        </w:rPr>
        <w:t>1,2</w:t>
      </w:r>
      <w:r w:rsidRPr="00961C56">
        <w:rPr>
          <w:rFonts w:cs="Times New Roman"/>
          <w:b/>
          <w:sz w:val="20"/>
          <w:szCs w:val="20"/>
        </w:rPr>
        <w:t>, E. Benizri</w:t>
      </w:r>
      <w:r w:rsidRPr="00961C56">
        <w:rPr>
          <w:rFonts w:cs="Times New Roman"/>
          <w:b/>
          <w:sz w:val="20"/>
          <w:szCs w:val="20"/>
          <w:vertAlign w:val="superscript"/>
        </w:rPr>
        <w:t>1,2</w:t>
      </w:r>
    </w:p>
    <w:bookmarkEnd w:id="0"/>
    <w:p w:rsidR="003968C1" w:rsidRPr="00037BEA" w:rsidRDefault="003968C1" w:rsidP="003968C1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sz w:val="20"/>
          <w:szCs w:val="20"/>
          <w:vertAlign w:val="superscript"/>
        </w:rPr>
      </w:pPr>
    </w:p>
    <w:p w:rsidR="003968C1" w:rsidRPr="00037BEA" w:rsidRDefault="003968C1" w:rsidP="003968C1">
      <w:pPr>
        <w:autoSpaceDE w:val="0"/>
        <w:autoSpaceDN w:val="0"/>
        <w:adjustRightInd w:val="0"/>
        <w:spacing w:line="240" w:lineRule="auto"/>
        <w:rPr>
          <w:rFonts w:cs="Times New Roman"/>
          <w:iCs/>
          <w:sz w:val="20"/>
          <w:szCs w:val="20"/>
        </w:rPr>
      </w:pPr>
      <w:r w:rsidRPr="00037BEA">
        <w:rPr>
          <w:rFonts w:eastAsia="Calibri" w:cs="Times New Roman"/>
          <w:bCs/>
          <w:sz w:val="20"/>
          <w:szCs w:val="20"/>
          <w:vertAlign w:val="superscript"/>
        </w:rPr>
        <w:t xml:space="preserve">1 </w:t>
      </w:r>
      <w:r w:rsidRPr="00037BEA">
        <w:rPr>
          <w:rFonts w:cs="Times New Roman"/>
          <w:iCs/>
          <w:sz w:val="20"/>
          <w:szCs w:val="20"/>
        </w:rPr>
        <w:t xml:space="preserve">Laboratoire Sols et Environnement, Université de Lorraine, UMR 1120, 2 avenue de la Forêt de Haye, TSA 40602, </w:t>
      </w:r>
      <w:proofErr w:type="spellStart"/>
      <w:r w:rsidRPr="00037BEA">
        <w:rPr>
          <w:rFonts w:cs="Times New Roman"/>
          <w:iCs/>
          <w:sz w:val="20"/>
          <w:szCs w:val="20"/>
        </w:rPr>
        <w:t>Vandoeuvre-lès-Nancy</w:t>
      </w:r>
      <w:proofErr w:type="spellEnd"/>
      <w:r w:rsidRPr="00037BEA">
        <w:rPr>
          <w:rFonts w:cs="Times New Roman"/>
          <w:iCs/>
          <w:sz w:val="20"/>
          <w:szCs w:val="20"/>
        </w:rPr>
        <w:t>, F-54518, France.</w:t>
      </w:r>
    </w:p>
    <w:p w:rsidR="003968C1" w:rsidRPr="00037BEA" w:rsidRDefault="003968C1" w:rsidP="003968C1">
      <w:pPr>
        <w:autoSpaceDE w:val="0"/>
        <w:autoSpaceDN w:val="0"/>
        <w:adjustRightInd w:val="0"/>
        <w:spacing w:line="240" w:lineRule="auto"/>
        <w:rPr>
          <w:rFonts w:cs="Times New Roman"/>
          <w:iCs/>
          <w:sz w:val="20"/>
          <w:szCs w:val="20"/>
        </w:rPr>
      </w:pPr>
      <w:r w:rsidRPr="00037BEA">
        <w:rPr>
          <w:rFonts w:cs="Times New Roman"/>
          <w:sz w:val="20"/>
          <w:szCs w:val="20"/>
          <w:vertAlign w:val="superscript"/>
        </w:rPr>
        <w:t>2</w:t>
      </w:r>
      <w:r w:rsidRPr="00037BEA">
        <w:rPr>
          <w:rFonts w:cs="Times New Roman"/>
          <w:sz w:val="20"/>
          <w:szCs w:val="20"/>
        </w:rPr>
        <w:t xml:space="preserve"> </w:t>
      </w:r>
      <w:r w:rsidRPr="00037BEA">
        <w:rPr>
          <w:rFonts w:cs="Times New Roman"/>
          <w:iCs/>
          <w:sz w:val="20"/>
          <w:szCs w:val="20"/>
        </w:rPr>
        <w:t xml:space="preserve">INRA, Laboratoire Sols et Environnement, UMR 1120, 2 avenue de la Forêt de Haye, TSA 40602, </w:t>
      </w:r>
      <w:proofErr w:type="spellStart"/>
      <w:r w:rsidRPr="00037BEA">
        <w:rPr>
          <w:rFonts w:cs="Times New Roman"/>
          <w:iCs/>
          <w:sz w:val="20"/>
          <w:szCs w:val="20"/>
        </w:rPr>
        <w:t>Vandoeuvre-lès-Nancy</w:t>
      </w:r>
      <w:proofErr w:type="spellEnd"/>
      <w:r w:rsidRPr="00037BEA">
        <w:rPr>
          <w:rFonts w:cs="Times New Roman"/>
          <w:iCs/>
          <w:sz w:val="20"/>
          <w:szCs w:val="20"/>
        </w:rPr>
        <w:t>, F-54518, France.</w:t>
      </w:r>
    </w:p>
    <w:p w:rsidR="003968C1" w:rsidRPr="00037BEA" w:rsidRDefault="003968C1" w:rsidP="003968C1">
      <w:pPr>
        <w:autoSpaceDE w:val="0"/>
        <w:autoSpaceDN w:val="0"/>
        <w:adjustRightInd w:val="0"/>
        <w:spacing w:line="240" w:lineRule="auto"/>
        <w:rPr>
          <w:rFonts w:cs="Times New Roman"/>
          <w:iCs/>
          <w:sz w:val="20"/>
          <w:szCs w:val="20"/>
        </w:rPr>
      </w:pPr>
      <w:r w:rsidRPr="00037BEA">
        <w:rPr>
          <w:rFonts w:eastAsia="Calibri" w:cs="Times New Roman"/>
          <w:bCs/>
          <w:sz w:val="20"/>
          <w:szCs w:val="20"/>
          <w:vertAlign w:val="superscript"/>
        </w:rPr>
        <w:t xml:space="preserve">3 </w:t>
      </w:r>
      <w:r w:rsidRPr="00037BEA">
        <w:rPr>
          <w:rFonts w:cs="Times New Roman"/>
          <w:iCs/>
          <w:sz w:val="20"/>
          <w:szCs w:val="20"/>
        </w:rPr>
        <w:t xml:space="preserve">Laboratoire Agronomie et Environnement, Université de Lorraine, UMR 1121, 2 avenue de la Forêt de Haye, TSA 40602, </w:t>
      </w:r>
      <w:proofErr w:type="spellStart"/>
      <w:r w:rsidRPr="00037BEA">
        <w:rPr>
          <w:rFonts w:cs="Times New Roman"/>
          <w:iCs/>
          <w:sz w:val="20"/>
          <w:szCs w:val="20"/>
        </w:rPr>
        <w:t>Vandoeuvre-lès-Nancy</w:t>
      </w:r>
      <w:proofErr w:type="spellEnd"/>
      <w:r w:rsidRPr="00037BEA">
        <w:rPr>
          <w:rFonts w:cs="Times New Roman"/>
          <w:iCs/>
          <w:sz w:val="20"/>
          <w:szCs w:val="20"/>
        </w:rPr>
        <w:t>, F-54518, France.</w:t>
      </w:r>
    </w:p>
    <w:p w:rsidR="003968C1" w:rsidRPr="00037BEA" w:rsidRDefault="003968C1" w:rsidP="003968C1">
      <w:pPr>
        <w:autoSpaceDE w:val="0"/>
        <w:autoSpaceDN w:val="0"/>
        <w:adjustRightInd w:val="0"/>
        <w:spacing w:line="240" w:lineRule="auto"/>
        <w:rPr>
          <w:rFonts w:cs="Times New Roman"/>
          <w:iCs/>
          <w:sz w:val="20"/>
          <w:szCs w:val="20"/>
        </w:rPr>
      </w:pPr>
      <w:r w:rsidRPr="00037BEA">
        <w:rPr>
          <w:rFonts w:cs="Times New Roman"/>
          <w:sz w:val="20"/>
          <w:szCs w:val="20"/>
          <w:vertAlign w:val="superscript"/>
        </w:rPr>
        <w:t>4</w:t>
      </w:r>
      <w:r w:rsidRPr="00037BEA">
        <w:rPr>
          <w:rFonts w:cs="Times New Roman"/>
          <w:sz w:val="20"/>
          <w:szCs w:val="20"/>
        </w:rPr>
        <w:t xml:space="preserve"> </w:t>
      </w:r>
      <w:r w:rsidRPr="00037BEA">
        <w:rPr>
          <w:rFonts w:cs="Times New Roman"/>
          <w:iCs/>
          <w:sz w:val="20"/>
          <w:szCs w:val="20"/>
        </w:rPr>
        <w:t xml:space="preserve">INRA, Laboratoire Agronomie et Environnement, UMR 1121, 2 avenue de la Forêt de Haye, TSA 40602, </w:t>
      </w:r>
      <w:proofErr w:type="spellStart"/>
      <w:r w:rsidRPr="00037BEA">
        <w:rPr>
          <w:rFonts w:cs="Times New Roman"/>
          <w:iCs/>
          <w:sz w:val="20"/>
          <w:szCs w:val="20"/>
        </w:rPr>
        <w:t>Vandoeuvre-lès-Nancy</w:t>
      </w:r>
      <w:proofErr w:type="spellEnd"/>
      <w:r w:rsidRPr="00037BEA">
        <w:rPr>
          <w:rFonts w:cs="Times New Roman"/>
          <w:iCs/>
          <w:sz w:val="20"/>
          <w:szCs w:val="20"/>
        </w:rPr>
        <w:t>, F-54518, France.</w:t>
      </w:r>
    </w:p>
    <w:p w:rsidR="003968C1" w:rsidRPr="00037BEA" w:rsidRDefault="003968C1" w:rsidP="003968C1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037BEA">
        <w:rPr>
          <w:rFonts w:cs="Times New Roman"/>
          <w:sz w:val="20"/>
          <w:szCs w:val="20"/>
          <w:vertAlign w:val="superscript"/>
        </w:rPr>
        <w:t>5</w:t>
      </w:r>
      <w:r w:rsidRPr="00037BEA">
        <w:rPr>
          <w:rFonts w:cs="Times New Roman"/>
          <w:sz w:val="20"/>
          <w:szCs w:val="20"/>
        </w:rPr>
        <w:t xml:space="preserve"> UMR SAVE (1065) – INRA/Bordeaux Sciences Agro, 71 Avenue Edouard </w:t>
      </w:r>
      <w:proofErr w:type="spellStart"/>
      <w:r w:rsidRPr="00037BEA">
        <w:rPr>
          <w:rFonts w:cs="Times New Roman"/>
          <w:sz w:val="20"/>
          <w:szCs w:val="20"/>
        </w:rPr>
        <w:t>Bourlaux</w:t>
      </w:r>
      <w:proofErr w:type="spellEnd"/>
      <w:r w:rsidRPr="00037BEA">
        <w:rPr>
          <w:rFonts w:cs="Times New Roman"/>
          <w:sz w:val="20"/>
          <w:szCs w:val="20"/>
        </w:rPr>
        <w:t>, CS 20032, Villenave d’</w:t>
      </w:r>
      <w:proofErr w:type="spellStart"/>
      <w:r w:rsidRPr="00037BEA">
        <w:rPr>
          <w:rFonts w:cs="Times New Roman"/>
          <w:sz w:val="20"/>
          <w:szCs w:val="20"/>
        </w:rPr>
        <w:t>Ornon</w:t>
      </w:r>
      <w:proofErr w:type="spellEnd"/>
      <w:r w:rsidRPr="00037BEA">
        <w:rPr>
          <w:rFonts w:cs="Times New Roman"/>
          <w:sz w:val="20"/>
          <w:szCs w:val="20"/>
        </w:rPr>
        <w:t>, F-33882, France</w:t>
      </w:r>
    </w:p>
    <w:p w:rsidR="006D6508" w:rsidRPr="003968C1" w:rsidRDefault="006D6508" w:rsidP="000A70B9">
      <w:pPr>
        <w:spacing w:line="240" w:lineRule="auto"/>
        <w:rPr>
          <w:rFonts w:cs="Times New Roman"/>
          <w:sz w:val="20"/>
          <w:szCs w:val="20"/>
        </w:rPr>
      </w:pPr>
    </w:p>
    <w:p w:rsidR="006D6508" w:rsidRPr="00037BEA" w:rsidRDefault="000A70B9" w:rsidP="00951C98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  <w:lang w:val="en-US"/>
        </w:rPr>
      </w:pPr>
      <w:r w:rsidRPr="00037BEA">
        <w:rPr>
          <w:rFonts w:cs="Times New Roman"/>
          <w:sz w:val="20"/>
          <w:szCs w:val="20"/>
          <w:lang w:val="en-US"/>
        </w:rPr>
        <w:t xml:space="preserve">Serpentine </w:t>
      </w:r>
      <w:r w:rsidR="00737EC5">
        <w:rPr>
          <w:rFonts w:cs="Times New Roman"/>
          <w:sz w:val="20"/>
          <w:szCs w:val="20"/>
          <w:lang w:val="en-US"/>
        </w:rPr>
        <w:t>(</w:t>
      </w:r>
      <w:r w:rsidR="00737EC5" w:rsidRPr="00037BEA">
        <w:rPr>
          <w:rFonts w:cs="Times New Roman"/>
          <w:sz w:val="20"/>
          <w:szCs w:val="20"/>
          <w:lang w:val="en-US"/>
        </w:rPr>
        <w:t>ultramafic</w:t>
      </w:r>
      <w:r w:rsidR="00737EC5">
        <w:rPr>
          <w:rFonts w:cs="Times New Roman"/>
          <w:sz w:val="20"/>
          <w:szCs w:val="20"/>
          <w:lang w:val="en-US"/>
        </w:rPr>
        <w:t>)</w:t>
      </w:r>
      <w:r w:rsidR="00737EC5" w:rsidRPr="00037BEA">
        <w:rPr>
          <w:rFonts w:cs="Times New Roman"/>
          <w:sz w:val="20"/>
          <w:szCs w:val="20"/>
          <w:lang w:val="en-US"/>
        </w:rPr>
        <w:t xml:space="preserve"> </w:t>
      </w:r>
      <w:r w:rsidR="00737EC5">
        <w:rPr>
          <w:rFonts w:cs="Times New Roman"/>
          <w:sz w:val="20"/>
          <w:szCs w:val="20"/>
          <w:lang w:val="en-US"/>
        </w:rPr>
        <w:t xml:space="preserve">soils display </w:t>
      </w:r>
      <w:r w:rsidRPr="00037BEA">
        <w:rPr>
          <w:rFonts w:cs="Times New Roman"/>
          <w:sz w:val="20"/>
          <w:szCs w:val="20"/>
          <w:lang w:val="en-US"/>
        </w:rPr>
        <w:t xml:space="preserve">high concentrations of nickel (Ni). </w:t>
      </w:r>
      <w:r w:rsidR="009617EF">
        <w:rPr>
          <w:rFonts w:cs="Times New Roman"/>
          <w:sz w:val="20"/>
          <w:szCs w:val="20"/>
          <w:lang w:val="en-US"/>
        </w:rPr>
        <w:t>Nickel</w:t>
      </w:r>
      <w:r w:rsidRPr="00037BEA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9617EF">
        <w:rPr>
          <w:rFonts w:cs="Times New Roman"/>
          <w:sz w:val="20"/>
          <w:szCs w:val="20"/>
          <w:lang w:val="en-US"/>
        </w:rPr>
        <w:t>hyperaccumulators</w:t>
      </w:r>
      <w:proofErr w:type="spellEnd"/>
      <w:r w:rsidRPr="00037BEA">
        <w:rPr>
          <w:rFonts w:cs="Times New Roman"/>
          <w:sz w:val="20"/>
          <w:szCs w:val="20"/>
          <w:lang w:val="en-US"/>
        </w:rPr>
        <w:t xml:space="preserve"> have </w:t>
      </w:r>
      <w:r w:rsidR="009617EF">
        <w:rPr>
          <w:rFonts w:cs="Times New Roman"/>
          <w:sz w:val="20"/>
          <w:szCs w:val="20"/>
          <w:lang w:val="en-US"/>
        </w:rPr>
        <w:t xml:space="preserve">evolved on such environments, </w:t>
      </w:r>
      <w:r w:rsidR="00590DB2">
        <w:rPr>
          <w:rFonts w:cs="Times New Roman"/>
          <w:sz w:val="20"/>
          <w:szCs w:val="20"/>
          <w:lang w:val="en-US"/>
        </w:rPr>
        <w:t>develop</w:t>
      </w:r>
      <w:r w:rsidRPr="00037BEA">
        <w:rPr>
          <w:rFonts w:cs="Times New Roman"/>
          <w:sz w:val="20"/>
          <w:szCs w:val="20"/>
          <w:lang w:val="en-US"/>
        </w:rPr>
        <w:t xml:space="preserve">ed physiological adaptations </w:t>
      </w:r>
      <w:r w:rsidR="00737EC5">
        <w:rPr>
          <w:rFonts w:cs="Times New Roman"/>
          <w:sz w:val="20"/>
          <w:szCs w:val="20"/>
          <w:lang w:val="en-US"/>
        </w:rPr>
        <w:t xml:space="preserve">to metals </w:t>
      </w:r>
      <w:r w:rsidR="009617EF">
        <w:rPr>
          <w:rFonts w:cs="Times New Roman"/>
          <w:sz w:val="20"/>
          <w:szCs w:val="20"/>
          <w:lang w:val="en-US"/>
        </w:rPr>
        <w:t>(</w:t>
      </w:r>
      <w:r w:rsidR="009617EF" w:rsidRPr="00037BEA">
        <w:rPr>
          <w:rFonts w:cs="Times New Roman"/>
          <w:sz w:val="20"/>
          <w:szCs w:val="20"/>
          <w:lang w:val="en-US"/>
        </w:rPr>
        <w:t>concentrations of Ni</w:t>
      </w:r>
      <w:r w:rsidR="009617EF">
        <w:rPr>
          <w:rFonts w:cs="Times New Roman"/>
          <w:sz w:val="20"/>
          <w:szCs w:val="20"/>
          <w:lang w:val="en-US"/>
        </w:rPr>
        <w:t xml:space="preserve"> sometimes above 1% </w:t>
      </w:r>
      <w:r w:rsidR="009617EF" w:rsidRPr="00037BEA">
        <w:rPr>
          <w:rFonts w:cs="Times New Roman"/>
          <w:sz w:val="20"/>
          <w:szCs w:val="20"/>
          <w:lang w:val="en-US"/>
        </w:rPr>
        <w:t xml:space="preserve">in </w:t>
      </w:r>
      <w:r w:rsidR="009617EF">
        <w:rPr>
          <w:rFonts w:cs="Times New Roman"/>
          <w:sz w:val="20"/>
          <w:szCs w:val="20"/>
          <w:lang w:val="en-US"/>
        </w:rPr>
        <w:t>plant</w:t>
      </w:r>
      <w:r w:rsidR="009617EF" w:rsidRPr="00037BEA">
        <w:rPr>
          <w:rFonts w:cs="Times New Roman"/>
          <w:sz w:val="20"/>
          <w:szCs w:val="20"/>
          <w:lang w:val="en-US"/>
        </w:rPr>
        <w:t xml:space="preserve"> aerial biomass</w:t>
      </w:r>
      <w:r w:rsidR="009617EF">
        <w:rPr>
          <w:rFonts w:cs="Times New Roman"/>
          <w:sz w:val="20"/>
          <w:szCs w:val="20"/>
          <w:lang w:val="en-US"/>
        </w:rPr>
        <w:t xml:space="preserve">) </w:t>
      </w:r>
      <w:r w:rsidR="00590DB2">
        <w:rPr>
          <w:rFonts w:cs="Times New Roman"/>
          <w:sz w:val="20"/>
          <w:szCs w:val="20"/>
          <w:lang w:val="en-US"/>
        </w:rPr>
        <w:t xml:space="preserve">and </w:t>
      </w:r>
      <w:r w:rsidR="009617EF">
        <w:rPr>
          <w:rFonts w:cs="Times New Roman"/>
          <w:sz w:val="20"/>
          <w:szCs w:val="20"/>
          <w:lang w:val="en-US"/>
        </w:rPr>
        <w:t>can be used</w:t>
      </w:r>
      <w:r w:rsidR="00590DB2">
        <w:rPr>
          <w:rFonts w:cs="Times New Roman"/>
          <w:sz w:val="20"/>
          <w:szCs w:val="20"/>
          <w:lang w:val="en-US"/>
        </w:rPr>
        <w:t xml:space="preserve"> for </w:t>
      </w:r>
      <w:proofErr w:type="spellStart"/>
      <w:r w:rsidR="00590DB2">
        <w:rPr>
          <w:rFonts w:cs="Times New Roman"/>
          <w:sz w:val="20"/>
          <w:szCs w:val="20"/>
          <w:lang w:val="en-US"/>
        </w:rPr>
        <w:t>phytomining</w:t>
      </w:r>
      <w:proofErr w:type="spellEnd"/>
      <w:r w:rsidR="00737EC5">
        <w:rPr>
          <w:rFonts w:cs="Times New Roman"/>
          <w:sz w:val="20"/>
          <w:szCs w:val="20"/>
          <w:lang w:val="en-US"/>
        </w:rPr>
        <w:t xml:space="preserve">. </w:t>
      </w:r>
      <w:r w:rsidR="009617EF">
        <w:rPr>
          <w:rFonts w:cs="Times New Roman"/>
          <w:sz w:val="20"/>
          <w:szCs w:val="20"/>
          <w:lang w:val="en-US"/>
        </w:rPr>
        <w:t>R</w:t>
      </w:r>
      <w:r w:rsidRPr="00037BEA">
        <w:rPr>
          <w:rFonts w:cs="Times New Roman"/>
          <w:color w:val="000000"/>
          <w:sz w:val="20"/>
          <w:szCs w:val="20"/>
          <w:lang w:val="en-US"/>
        </w:rPr>
        <w:t xml:space="preserve">hizosphere bacterial communities </w:t>
      </w:r>
      <w:r w:rsidRPr="00037BEA">
        <w:rPr>
          <w:rFonts w:cs="Times New Roman"/>
          <w:color w:val="131413"/>
          <w:sz w:val="20"/>
          <w:szCs w:val="20"/>
          <w:lang w:val="en-US"/>
        </w:rPr>
        <w:t xml:space="preserve">associated with </w:t>
      </w:r>
      <w:r w:rsidR="00590DB2">
        <w:rPr>
          <w:rFonts w:cs="Times New Roman"/>
          <w:color w:val="131413"/>
          <w:sz w:val="20"/>
          <w:szCs w:val="20"/>
          <w:lang w:val="en-US"/>
        </w:rPr>
        <w:t>Ni</w:t>
      </w:r>
      <w:r w:rsidRPr="00037BEA">
        <w:rPr>
          <w:rFonts w:cs="Times New Roman"/>
          <w:color w:val="131413"/>
          <w:sz w:val="20"/>
          <w:szCs w:val="20"/>
          <w:lang w:val="en-US"/>
        </w:rPr>
        <w:t>-</w:t>
      </w:r>
      <w:proofErr w:type="spellStart"/>
      <w:r w:rsidRPr="00037BEA">
        <w:rPr>
          <w:rFonts w:cs="Times New Roman"/>
          <w:color w:val="131413"/>
          <w:sz w:val="20"/>
          <w:szCs w:val="20"/>
          <w:lang w:val="en-US"/>
        </w:rPr>
        <w:t>hyperaccumulat</w:t>
      </w:r>
      <w:r w:rsidR="00590DB2">
        <w:rPr>
          <w:rFonts w:cs="Times New Roman"/>
          <w:color w:val="131413"/>
          <w:sz w:val="20"/>
          <w:szCs w:val="20"/>
          <w:lang w:val="en-US"/>
        </w:rPr>
        <w:t>or</w:t>
      </w:r>
      <w:proofErr w:type="spellEnd"/>
      <w:r w:rsidRPr="00037BEA">
        <w:rPr>
          <w:rFonts w:cs="Times New Roman"/>
          <w:color w:val="131413"/>
          <w:sz w:val="20"/>
          <w:szCs w:val="20"/>
          <w:lang w:val="en-US"/>
        </w:rPr>
        <w:t xml:space="preserve"> plants differ from those of non-accumulating plants growing at the same site, and are also </w:t>
      </w:r>
      <w:proofErr w:type="spellStart"/>
      <w:r w:rsidRPr="00037BEA">
        <w:rPr>
          <w:rFonts w:cs="Times New Roman"/>
          <w:color w:val="131413"/>
          <w:sz w:val="20"/>
          <w:szCs w:val="20"/>
          <w:lang w:val="en-US"/>
        </w:rPr>
        <w:t>characterised</w:t>
      </w:r>
      <w:proofErr w:type="spellEnd"/>
      <w:r w:rsidRPr="00037BEA">
        <w:rPr>
          <w:rFonts w:cs="Times New Roman"/>
          <w:color w:val="131413"/>
          <w:sz w:val="20"/>
          <w:szCs w:val="20"/>
          <w:lang w:val="en-US"/>
        </w:rPr>
        <w:t xml:space="preserve"> by a higher number of Ni-tolerant bacteria.</w:t>
      </w:r>
      <w:r w:rsidR="00590DB2">
        <w:rPr>
          <w:rFonts w:cs="Times New Roman"/>
          <w:color w:val="131413"/>
          <w:sz w:val="20"/>
          <w:szCs w:val="20"/>
          <w:lang w:val="en-US"/>
        </w:rPr>
        <w:t xml:space="preserve"> </w:t>
      </w:r>
      <w:r w:rsidRPr="00037BEA">
        <w:rPr>
          <w:rFonts w:cs="Times New Roman"/>
          <w:i/>
          <w:sz w:val="20"/>
          <w:szCs w:val="20"/>
          <w:lang w:val="en-US"/>
        </w:rPr>
        <w:t xml:space="preserve">Alyssum </w:t>
      </w:r>
      <w:proofErr w:type="spellStart"/>
      <w:r w:rsidRPr="00037BEA">
        <w:rPr>
          <w:rFonts w:cs="Times New Roman"/>
          <w:i/>
          <w:sz w:val="20"/>
          <w:szCs w:val="20"/>
          <w:lang w:val="en-US"/>
        </w:rPr>
        <w:t>murale</w:t>
      </w:r>
      <w:proofErr w:type="spellEnd"/>
      <w:r w:rsidRPr="00037BEA">
        <w:rPr>
          <w:rFonts w:eastAsiaTheme="majorEastAsia" w:cs="Times New Roman"/>
          <w:bCs/>
          <w:sz w:val="20"/>
          <w:szCs w:val="20"/>
          <w:lang w:val="en-US"/>
        </w:rPr>
        <w:t>,</w:t>
      </w:r>
      <w:r w:rsidRPr="00037BEA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="00737EC5">
        <w:rPr>
          <w:rFonts w:cs="Times New Roman"/>
          <w:sz w:val="20"/>
          <w:szCs w:val="20"/>
          <w:lang w:val="en-US"/>
        </w:rPr>
        <w:t>a Ni-</w:t>
      </w:r>
      <w:proofErr w:type="spellStart"/>
      <w:r w:rsidR="00533AE9" w:rsidRPr="00037BEA">
        <w:rPr>
          <w:rFonts w:cs="Times New Roman"/>
          <w:sz w:val="20"/>
          <w:szCs w:val="20"/>
          <w:lang w:val="en-US"/>
        </w:rPr>
        <w:t>hyperaccumulator</w:t>
      </w:r>
      <w:proofErr w:type="spellEnd"/>
      <w:r w:rsidRPr="00037BEA">
        <w:rPr>
          <w:rFonts w:cs="Times New Roman"/>
          <w:sz w:val="20"/>
          <w:szCs w:val="20"/>
          <w:lang w:val="en-US"/>
        </w:rPr>
        <w:t xml:space="preserve">, is commonly found on ultramafic soils around the Mediterranean. </w:t>
      </w:r>
      <w:r w:rsidR="00737EC5">
        <w:rPr>
          <w:rFonts w:cs="Times New Roman"/>
          <w:sz w:val="20"/>
          <w:szCs w:val="20"/>
          <w:lang w:val="en-US"/>
        </w:rPr>
        <w:t>For</w:t>
      </w:r>
      <w:r w:rsidR="008A1D13" w:rsidRPr="00037BEA">
        <w:rPr>
          <w:rFonts w:cs="Times New Roman"/>
          <w:sz w:val="20"/>
          <w:szCs w:val="20"/>
          <w:lang w:val="en-US"/>
        </w:rPr>
        <w:t xml:space="preserve"> a more efficient </w:t>
      </w:r>
      <w:proofErr w:type="spellStart"/>
      <w:r w:rsidR="008A1D13" w:rsidRPr="00037BEA">
        <w:rPr>
          <w:rFonts w:cs="Times New Roman"/>
          <w:sz w:val="20"/>
          <w:szCs w:val="20"/>
          <w:lang w:val="en-US"/>
        </w:rPr>
        <w:t>phytomining</w:t>
      </w:r>
      <w:proofErr w:type="spellEnd"/>
      <w:r w:rsidR="008A1D13" w:rsidRPr="00037BEA">
        <w:rPr>
          <w:rFonts w:cs="Times New Roman"/>
          <w:sz w:val="20"/>
          <w:szCs w:val="20"/>
          <w:lang w:val="en-US"/>
        </w:rPr>
        <w:t xml:space="preserve">, </w:t>
      </w:r>
      <w:r w:rsidR="00737EC5">
        <w:rPr>
          <w:rFonts w:cs="Times New Roman"/>
          <w:sz w:val="20"/>
          <w:szCs w:val="20"/>
          <w:lang w:val="en-US"/>
        </w:rPr>
        <w:t>we</w:t>
      </w:r>
      <w:r w:rsidR="008A1D13" w:rsidRPr="00037BEA">
        <w:rPr>
          <w:rFonts w:cs="Times New Roman"/>
          <w:sz w:val="20"/>
          <w:szCs w:val="20"/>
          <w:lang w:val="en-US"/>
        </w:rPr>
        <w:t xml:space="preserve"> should characterize rhizosphere microorganisms of these plants</w:t>
      </w:r>
      <w:r w:rsidR="00590DB2">
        <w:rPr>
          <w:rFonts w:cs="Times New Roman"/>
          <w:sz w:val="20"/>
          <w:szCs w:val="20"/>
          <w:lang w:val="en-US"/>
        </w:rPr>
        <w:t xml:space="preserve">, to find good indicators for the success of Ni extraction </w:t>
      </w:r>
      <w:r w:rsidR="00756F10">
        <w:rPr>
          <w:rFonts w:cs="Times New Roman"/>
          <w:sz w:val="20"/>
          <w:szCs w:val="20"/>
          <w:lang w:val="en-US"/>
        </w:rPr>
        <w:t xml:space="preserve">and to </w:t>
      </w:r>
      <w:r w:rsidR="00590DB2">
        <w:rPr>
          <w:rFonts w:cs="Times New Roman"/>
          <w:sz w:val="20"/>
          <w:szCs w:val="20"/>
          <w:lang w:val="en-US"/>
        </w:rPr>
        <w:t xml:space="preserve">select </w:t>
      </w:r>
      <w:r w:rsidR="00756F10">
        <w:rPr>
          <w:rFonts w:cs="Times New Roman"/>
          <w:sz w:val="20"/>
          <w:szCs w:val="20"/>
          <w:lang w:val="en-US"/>
        </w:rPr>
        <w:t>interesting</w:t>
      </w:r>
      <w:r w:rsidR="00590DB2">
        <w:rPr>
          <w:rFonts w:cs="Times New Roman"/>
          <w:sz w:val="20"/>
          <w:szCs w:val="20"/>
          <w:lang w:val="en-US"/>
        </w:rPr>
        <w:t xml:space="preserve"> PGPR</w:t>
      </w:r>
      <w:r w:rsidR="008A1D13" w:rsidRPr="00037BEA">
        <w:rPr>
          <w:rFonts w:cs="Times New Roman"/>
          <w:sz w:val="20"/>
          <w:szCs w:val="20"/>
          <w:lang w:val="en-US"/>
        </w:rPr>
        <w:t>.</w:t>
      </w:r>
    </w:p>
    <w:p w:rsidR="00737EC5" w:rsidRDefault="00737EC5" w:rsidP="00951C98">
      <w:pPr>
        <w:spacing w:line="240" w:lineRule="auto"/>
        <w:jc w:val="left"/>
        <w:rPr>
          <w:rFonts w:cs="Times New Roman"/>
          <w:bCs/>
          <w:sz w:val="20"/>
          <w:szCs w:val="20"/>
          <w:lang w:val="en-US"/>
        </w:rPr>
      </w:pPr>
    </w:p>
    <w:p w:rsidR="00533AE9" w:rsidRPr="00737EC5" w:rsidRDefault="008A1D13" w:rsidP="00951C98">
      <w:pPr>
        <w:spacing w:line="240" w:lineRule="auto"/>
        <w:jc w:val="left"/>
        <w:rPr>
          <w:rFonts w:cs="Times New Roman"/>
          <w:sz w:val="20"/>
          <w:szCs w:val="20"/>
          <w:lang w:val="en-US"/>
        </w:rPr>
      </w:pPr>
      <w:r w:rsidRPr="00037BEA">
        <w:rPr>
          <w:rFonts w:cs="Times New Roman"/>
          <w:bCs/>
          <w:sz w:val="20"/>
          <w:szCs w:val="20"/>
          <w:lang w:val="en-US"/>
        </w:rPr>
        <w:t xml:space="preserve">However, </w:t>
      </w:r>
      <w:r w:rsidR="00756F10" w:rsidRPr="00037BEA">
        <w:rPr>
          <w:rFonts w:cs="Times New Roman"/>
          <w:bCs/>
          <w:sz w:val="20"/>
          <w:szCs w:val="20"/>
          <w:lang w:val="en-US"/>
        </w:rPr>
        <w:t>mo</w:t>
      </w:r>
      <w:r w:rsidR="00756F10">
        <w:rPr>
          <w:rFonts w:cs="Times New Roman"/>
          <w:bCs/>
          <w:sz w:val="20"/>
          <w:szCs w:val="20"/>
          <w:lang w:val="en-US"/>
        </w:rPr>
        <w:t>st studies have focused on</w:t>
      </w:r>
      <w:r w:rsidR="00756F10" w:rsidRPr="00037BEA">
        <w:rPr>
          <w:rFonts w:cs="Times New Roman"/>
          <w:bCs/>
          <w:sz w:val="20"/>
          <w:szCs w:val="20"/>
          <w:lang w:val="en-US"/>
        </w:rPr>
        <w:t xml:space="preserve"> analyzing soils with techniques that provide little detail about the phylogenetic structure of the bacterial communities.</w:t>
      </w:r>
      <w:r w:rsidR="00756F10">
        <w:rPr>
          <w:rFonts w:cs="Times New Roman"/>
          <w:bCs/>
          <w:sz w:val="20"/>
          <w:szCs w:val="20"/>
          <w:lang w:val="en-US"/>
        </w:rPr>
        <w:t xml:space="preserve"> </w:t>
      </w:r>
      <w:r w:rsidR="00756F10" w:rsidRPr="00756F10">
        <w:rPr>
          <w:rFonts w:cs="Times New Roman"/>
          <w:bCs/>
          <w:i/>
          <w:sz w:val="20"/>
          <w:szCs w:val="20"/>
          <w:lang w:val="en-US"/>
        </w:rPr>
        <w:t xml:space="preserve">Alyssum </w:t>
      </w:r>
      <w:proofErr w:type="spellStart"/>
      <w:r w:rsidR="00756F10" w:rsidRPr="00756F10">
        <w:rPr>
          <w:rFonts w:cs="Times New Roman"/>
          <w:bCs/>
          <w:i/>
          <w:sz w:val="20"/>
          <w:szCs w:val="20"/>
          <w:lang w:val="en-US"/>
        </w:rPr>
        <w:t>murale</w:t>
      </w:r>
      <w:proofErr w:type="spellEnd"/>
      <w:r w:rsidR="00756F10">
        <w:rPr>
          <w:rFonts w:cs="Times New Roman"/>
          <w:bCs/>
          <w:sz w:val="20"/>
          <w:szCs w:val="20"/>
          <w:lang w:val="en-US"/>
        </w:rPr>
        <w:t xml:space="preserve"> can grow on non-ultramafic soils as well,</w:t>
      </w:r>
      <w:r w:rsidR="00737EC5">
        <w:rPr>
          <w:rFonts w:cs="Times New Roman"/>
          <w:bCs/>
          <w:sz w:val="20"/>
          <w:szCs w:val="20"/>
          <w:lang w:val="en-US"/>
        </w:rPr>
        <w:t xml:space="preserve"> with an </w:t>
      </w:r>
      <w:r w:rsidR="00756F10">
        <w:rPr>
          <w:rFonts w:cs="Times New Roman"/>
          <w:bCs/>
          <w:sz w:val="20"/>
          <w:szCs w:val="20"/>
          <w:lang w:val="en-US"/>
        </w:rPr>
        <w:t xml:space="preserve">altitudinal extension </w:t>
      </w:r>
      <w:r w:rsidR="00737EC5">
        <w:rPr>
          <w:rFonts w:cs="Times New Roman"/>
          <w:bCs/>
          <w:sz w:val="20"/>
          <w:szCs w:val="20"/>
          <w:lang w:val="en-US"/>
        </w:rPr>
        <w:t>ranging</w:t>
      </w:r>
      <w:r w:rsidR="00756F10">
        <w:rPr>
          <w:rFonts w:cs="Times New Roman"/>
          <w:bCs/>
          <w:sz w:val="20"/>
          <w:szCs w:val="20"/>
          <w:lang w:val="en-US"/>
        </w:rPr>
        <w:t xml:space="preserve"> from sea level to 2000 </w:t>
      </w:r>
      <w:proofErr w:type="spellStart"/>
      <w:r w:rsidR="00756F10">
        <w:rPr>
          <w:rFonts w:cs="Times New Roman"/>
          <w:bCs/>
          <w:sz w:val="20"/>
          <w:szCs w:val="20"/>
          <w:lang w:val="en-US"/>
        </w:rPr>
        <w:t>m.a.s.l</w:t>
      </w:r>
      <w:proofErr w:type="spellEnd"/>
      <w:r w:rsidR="00756F10">
        <w:rPr>
          <w:rFonts w:cs="Times New Roman"/>
          <w:bCs/>
          <w:sz w:val="20"/>
          <w:szCs w:val="20"/>
          <w:lang w:val="en-US"/>
        </w:rPr>
        <w:t xml:space="preserve">. Among edaphic factors that could influence the </w:t>
      </w:r>
      <w:r w:rsidR="00756F10" w:rsidRPr="00037BEA">
        <w:rPr>
          <w:rFonts w:cs="Times New Roman"/>
          <w:bCs/>
          <w:sz w:val="20"/>
          <w:szCs w:val="20"/>
          <w:lang w:val="en-US"/>
        </w:rPr>
        <w:t>phylogenetic structure of the bacterial communities</w:t>
      </w:r>
      <w:r w:rsidR="00756F10">
        <w:rPr>
          <w:rFonts w:cs="Times New Roman"/>
          <w:bCs/>
          <w:sz w:val="20"/>
          <w:szCs w:val="20"/>
          <w:lang w:val="en-US"/>
        </w:rPr>
        <w:t xml:space="preserve">, altitude and Ni </w:t>
      </w:r>
      <w:r w:rsidR="00737EC5">
        <w:rPr>
          <w:rFonts w:cs="Times New Roman"/>
          <w:bCs/>
          <w:sz w:val="20"/>
          <w:szCs w:val="20"/>
          <w:lang w:val="en-US"/>
        </w:rPr>
        <w:t>bioavailability</w:t>
      </w:r>
      <w:r w:rsidR="00756F10">
        <w:rPr>
          <w:rFonts w:cs="Times New Roman"/>
          <w:bCs/>
          <w:sz w:val="20"/>
          <w:szCs w:val="20"/>
          <w:lang w:val="en-US"/>
        </w:rPr>
        <w:t xml:space="preserve"> could be significant. O</w:t>
      </w:r>
      <w:r w:rsidRPr="00037BEA">
        <w:rPr>
          <w:rFonts w:cs="Times New Roman"/>
          <w:bCs/>
          <w:sz w:val="20"/>
          <w:szCs w:val="20"/>
          <w:lang w:val="en-US"/>
        </w:rPr>
        <w:t xml:space="preserve">ur </w:t>
      </w:r>
      <w:r w:rsidR="00756F10">
        <w:rPr>
          <w:rFonts w:cs="Times New Roman"/>
          <w:bCs/>
          <w:sz w:val="20"/>
          <w:szCs w:val="20"/>
          <w:lang w:val="en-US"/>
        </w:rPr>
        <w:t xml:space="preserve">objectives were to </w:t>
      </w:r>
      <w:r w:rsidRPr="00037BEA">
        <w:rPr>
          <w:rFonts w:cs="Times New Roman"/>
          <w:bCs/>
          <w:sz w:val="20"/>
          <w:szCs w:val="20"/>
          <w:lang w:val="en-US"/>
        </w:rPr>
        <w:t>understand the specific changes in</w:t>
      </w:r>
      <w:r w:rsidR="00756F10">
        <w:rPr>
          <w:rFonts w:cs="Times New Roman"/>
          <w:bCs/>
          <w:sz w:val="20"/>
          <w:szCs w:val="20"/>
          <w:lang w:val="en-US"/>
        </w:rPr>
        <w:t xml:space="preserve"> the structure of</w:t>
      </w:r>
      <w:r w:rsidRPr="00037BEA">
        <w:rPr>
          <w:rFonts w:cs="Times New Roman"/>
          <w:bCs/>
          <w:sz w:val="20"/>
          <w:szCs w:val="20"/>
          <w:lang w:val="en-US"/>
        </w:rPr>
        <w:t xml:space="preserve"> </w:t>
      </w:r>
      <w:r w:rsidR="00737EC5">
        <w:rPr>
          <w:rFonts w:cs="Times New Roman"/>
          <w:bCs/>
          <w:i/>
          <w:sz w:val="20"/>
          <w:szCs w:val="20"/>
          <w:lang w:val="en-US"/>
        </w:rPr>
        <w:t>A.</w:t>
      </w:r>
      <w:r w:rsidRPr="00756F10">
        <w:rPr>
          <w:rFonts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756F10">
        <w:rPr>
          <w:rFonts w:cs="Times New Roman"/>
          <w:bCs/>
          <w:i/>
          <w:sz w:val="20"/>
          <w:szCs w:val="20"/>
          <w:lang w:val="en-US"/>
        </w:rPr>
        <w:t>murale</w:t>
      </w:r>
      <w:proofErr w:type="spellEnd"/>
      <w:r w:rsidR="00756F10">
        <w:rPr>
          <w:rFonts w:cs="Times New Roman"/>
          <w:bCs/>
          <w:sz w:val="20"/>
          <w:szCs w:val="20"/>
          <w:lang w:val="en-US"/>
        </w:rPr>
        <w:t xml:space="preserve"> </w:t>
      </w:r>
      <w:r w:rsidRPr="00037BEA">
        <w:rPr>
          <w:rFonts w:cs="Times New Roman"/>
          <w:bCs/>
          <w:sz w:val="20"/>
          <w:szCs w:val="20"/>
          <w:lang w:val="en-US"/>
        </w:rPr>
        <w:t xml:space="preserve">rhizosphere bacterial community that occur across </w:t>
      </w:r>
      <w:r w:rsidR="00756F10">
        <w:rPr>
          <w:rFonts w:cs="Times New Roman"/>
          <w:bCs/>
          <w:sz w:val="20"/>
          <w:szCs w:val="20"/>
          <w:lang w:val="en-US"/>
        </w:rPr>
        <w:t>two gradients: 1)</w:t>
      </w:r>
      <w:r w:rsidRPr="00037BEA">
        <w:rPr>
          <w:rFonts w:cs="Times New Roman"/>
          <w:bCs/>
          <w:sz w:val="20"/>
          <w:szCs w:val="20"/>
          <w:lang w:val="en-US"/>
        </w:rPr>
        <w:t xml:space="preserve"> elevation and </w:t>
      </w:r>
      <w:r w:rsidR="00756F10">
        <w:rPr>
          <w:rFonts w:cs="Times New Roman"/>
          <w:bCs/>
          <w:sz w:val="20"/>
          <w:szCs w:val="20"/>
          <w:lang w:val="en-US"/>
        </w:rPr>
        <w:t xml:space="preserve">2) </w:t>
      </w:r>
      <w:r w:rsidR="00756F10" w:rsidRPr="00037BEA">
        <w:rPr>
          <w:rFonts w:cs="Times New Roman"/>
          <w:bCs/>
          <w:sz w:val="20"/>
          <w:szCs w:val="20"/>
          <w:lang w:val="en-US"/>
        </w:rPr>
        <w:t xml:space="preserve">bioavailable </w:t>
      </w:r>
      <w:r w:rsidR="00756F10">
        <w:rPr>
          <w:rFonts w:cs="Times New Roman"/>
          <w:bCs/>
          <w:sz w:val="20"/>
          <w:szCs w:val="20"/>
          <w:lang w:val="en-US"/>
        </w:rPr>
        <w:t>Ni.</w:t>
      </w:r>
      <w:r w:rsidR="00737EC5">
        <w:rPr>
          <w:rFonts w:cs="Times New Roman"/>
          <w:sz w:val="20"/>
          <w:szCs w:val="20"/>
          <w:lang w:val="en-US"/>
        </w:rPr>
        <w:t xml:space="preserve"> </w:t>
      </w:r>
      <w:r w:rsidR="00756F10">
        <w:rPr>
          <w:rFonts w:cs="Times New Roman"/>
          <w:bCs/>
          <w:sz w:val="20"/>
          <w:szCs w:val="20"/>
          <w:lang w:val="en-US"/>
        </w:rPr>
        <w:t>W</w:t>
      </w:r>
      <w:r w:rsidRPr="00037BEA">
        <w:rPr>
          <w:rFonts w:cs="Times New Roman"/>
          <w:bCs/>
          <w:sz w:val="20"/>
          <w:szCs w:val="20"/>
          <w:lang w:val="en-US"/>
        </w:rPr>
        <w:t>e used pyrosequencing technique (</w:t>
      </w:r>
      <w:r w:rsidRPr="00037BEA">
        <w:rPr>
          <w:rFonts w:cs="Times New Roman"/>
          <w:sz w:val="20"/>
          <w:szCs w:val="20"/>
          <w:lang w:val="en-US"/>
        </w:rPr>
        <w:t xml:space="preserve">454-pyrosequencing of 16S </w:t>
      </w:r>
      <w:proofErr w:type="spellStart"/>
      <w:r w:rsidRPr="00037BEA">
        <w:rPr>
          <w:rFonts w:cs="Times New Roman"/>
          <w:sz w:val="20"/>
          <w:szCs w:val="20"/>
          <w:lang w:val="en-US"/>
        </w:rPr>
        <w:t>rRNA</w:t>
      </w:r>
      <w:proofErr w:type="spellEnd"/>
      <w:r w:rsidRPr="00037BEA">
        <w:rPr>
          <w:rFonts w:cs="Times New Roman"/>
          <w:sz w:val="20"/>
          <w:szCs w:val="20"/>
          <w:lang w:val="en-US"/>
        </w:rPr>
        <w:t xml:space="preserve"> gene</w:t>
      </w:r>
      <w:r w:rsidRPr="00037BEA">
        <w:rPr>
          <w:rFonts w:cs="Times New Roman"/>
          <w:bCs/>
          <w:sz w:val="20"/>
          <w:szCs w:val="20"/>
          <w:lang w:val="en-US"/>
        </w:rPr>
        <w:t xml:space="preserve">) to characterize bacterial communities in soils from </w:t>
      </w:r>
      <w:r w:rsidRPr="00756F10">
        <w:rPr>
          <w:rFonts w:cs="Times New Roman"/>
          <w:bCs/>
          <w:i/>
          <w:sz w:val="20"/>
          <w:szCs w:val="20"/>
          <w:lang w:val="en-US"/>
        </w:rPr>
        <w:t>A</w:t>
      </w:r>
      <w:r w:rsidR="00756F10" w:rsidRPr="00756F10">
        <w:rPr>
          <w:rFonts w:cs="Times New Roman"/>
          <w:bCs/>
          <w:i/>
          <w:sz w:val="20"/>
          <w:szCs w:val="20"/>
          <w:lang w:val="en-US"/>
        </w:rPr>
        <w:t>.</w:t>
      </w:r>
      <w:r w:rsidRPr="00756F10">
        <w:rPr>
          <w:rFonts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756F10">
        <w:rPr>
          <w:rFonts w:cs="Times New Roman"/>
          <w:bCs/>
          <w:i/>
          <w:sz w:val="20"/>
          <w:szCs w:val="20"/>
          <w:lang w:val="en-US"/>
        </w:rPr>
        <w:t>murale</w:t>
      </w:r>
      <w:proofErr w:type="spellEnd"/>
      <w:r w:rsidRPr="00037BEA">
        <w:rPr>
          <w:rFonts w:cs="Times New Roman"/>
          <w:bCs/>
          <w:sz w:val="20"/>
          <w:szCs w:val="20"/>
          <w:lang w:val="en-US"/>
        </w:rPr>
        <w:t xml:space="preserve"> rhizosphere.</w:t>
      </w:r>
    </w:p>
    <w:p w:rsidR="00737EC5" w:rsidRDefault="00737EC5" w:rsidP="00951C98">
      <w:pPr>
        <w:spacing w:line="240" w:lineRule="auto"/>
        <w:jc w:val="left"/>
        <w:rPr>
          <w:rFonts w:cs="Times New Roman"/>
          <w:sz w:val="20"/>
          <w:szCs w:val="20"/>
          <w:lang w:val="en-US"/>
        </w:rPr>
      </w:pPr>
    </w:p>
    <w:p w:rsidR="000A70B9" w:rsidRPr="00037BEA" w:rsidRDefault="00737EC5" w:rsidP="00951C98">
      <w:pPr>
        <w:spacing w:line="240" w:lineRule="auto"/>
        <w:jc w:val="left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On one hand w</w:t>
      </w:r>
      <w:r w:rsidR="008A1D13" w:rsidRPr="00037BEA">
        <w:rPr>
          <w:rFonts w:cs="Times New Roman"/>
          <w:sz w:val="20"/>
          <w:szCs w:val="20"/>
          <w:lang w:val="en-US"/>
        </w:rPr>
        <w:t>e</w:t>
      </w:r>
      <w:r w:rsidR="000A70B9" w:rsidRPr="00037BEA">
        <w:rPr>
          <w:rFonts w:cs="Times New Roman"/>
          <w:sz w:val="20"/>
          <w:szCs w:val="20"/>
          <w:lang w:val="en-US"/>
        </w:rPr>
        <w:t xml:space="preserve"> found a high proportion of </w:t>
      </w:r>
      <w:proofErr w:type="spellStart"/>
      <w:r w:rsidR="000A70B9" w:rsidRPr="00037BEA">
        <w:rPr>
          <w:rFonts w:cs="Times New Roman"/>
          <w:i/>
          <w:sz w:val="20"/>
          <w:szCs w:val="20"/>
          <w:lang w:val="en-US"/>
        </w:rPr>
        <w:t>Chloroflexi</w:t>
      </w:r>
      <w:proofErr w:type="spellEnd"/>
      <w:r w:rsidR="000A70B9" w:rsidRPr="00037BEA">
        <w:rPr>
          <w:rFonts w:cs="Times New Roman"/>
          <w:sz w:val="20"/>
          <w:szCs w:val="20"/>
          <w:lang w:val="en-US"/>
        </w:rPr>
        <w:t xml:space="preserve"> (greater than 50%). </w:t>
      </w:r>
      <w:r w:rsidR="00533AE9" w:rsidRPr="00037BEA">
        <w:rPr>
          <w:rFonts w:cs="Times New Roman"/>
          <w:sz w:val="20"/>
          <w:szCs w:val="20"/>
          <w:lang w:val="en-US"/>
        </w:rPr>
        <w:t xml:space="preserve">Moreover, </w:t>
      </w:r>
      <w:r>
        <w:rPr>
          <w:rFonts w:cs="Times New Roman"/>
          <w:sz w:val="20"/>
          <w:szCs w:val="20"/>
          <w:lang w:val="en-US"/>
        </w:rPr>
        <w:t xml:space="preserve">the higher </w:t>
      </w:r>
      <w:r w:rsidR="00533AE9" w:rsidRPr="00037BEA">
        <w:rPr>
          <w:rFonts w:cs="Times New Roman"/>
          <w:sz w:val="20"/>
          <w:szCs w:val="20"/>
          <w:lang w:val="en-US"/>
        </w:rPr>
        <w:t>the soil Ni contents,</w:t>
      </w:r>
      <w:r>
        <w:rPr>
          <w:rFonts w:cs="Times New Roman"/>
          <w:sz w:val="20"/>
          <w:szCs w:val="20"/>
          <w:lang w:val="en-US"/>
        </w:rPr>
        <w:t xml:space="preserve"> the</w:t>
      </w:r>
      <w:r w:rsidR="00533AE9" w:rsidRPr="00037BEA">
        <w:rPr>
          <w:rFonts w:cs="Times New Roman"/>
          <w:sz w:val="20"/>
          <w:szCs w:val="20"/>
          <w:lang w:val="en-US"/>
        </w:rPr>
        <w:t xml:space="preserve"> more </w:t>
      </w:r>
      <w:r w:rsidR="006D6508" w:rsidRPr="00037BEA">
        <w:rPr>
          <w:rFonts w:cs="Times New Roman"/>
          <w:sz w:val="20"/>
          <w:szCs w:val="20"/>
          <w:lang w:val="en-US"/>
        </w:rPr>
        <w:t xml:space="preserve">the relative abundance of </w:t>
      </w:r>
      <w:proofErr w:type="spellStart"/>
      <w:r w:rsidR="00533AE9" w:rsidRPr="00037BEA">
        <w:rPr>
          <w:rFonts w:cs="Times New Roman"/>
          <w:i/>
          <w:sz w:val="20"/>
          <w:szCs w:val="20"/>
          <w:lang w:val="en-US"/>
        </w:rPr>
        <w:t>Proteobacteria</w:t>
      </w:r>
      <w:proofErr w:type="spellEnd"/>
      <w:r w:rsidR="00533AE9" w:rsidRPr="00037BEA">
        <w:rPr>
          <w:rFonts w:cs="Times New Roman"/>
          <w:sz w:val="20"/>
          <w:szCs w:val="20"/>
          <w:lang w:val="en-US"/>
        </w:rPr>
        <w:t xml:space="preserve"> and </w:t>
      </w:r>
      <w:proofErr w:type="spellStart"/>
      <w:r w:rsidR="00533AE9" w:rsidRPr="00037BEA">
        <w:rPr>
          <w:rFonts w:cs="Times New Roman"/>
          <w:i/>
          <w:sz w:val="20"/>
          <w:szCs w:val="20"/>
          <w:lang w:val="en-US"/>
        </w:rPr>
        <w:t>Actinobacteria</w:t>
      </w:r>
      <w:proofErr w:type="spellEnd"/>
      <w:r w:rsidR="00533AE9" w:rsidRPr="00037BEA">
        <w:rPr>
          <w:rFonts w:cs="Times New Roman"/>
          <w:sz w:val="20"/>
          <w:szCs w:val="20"/>
          <w:lang w:val="en-US"/>
        </w:rPr>
        <w:t>. On the contrary, the abundance of TM7 decr</w:t>
      </w:r>
      <w:r w:rsidR="006D6508" w:rsidRPr="00037BEA">
        <w:rPr>
          <w:rFonts w:cs="Times New Roman"/>
          <w:sz w:val="20"/>
          <w:szCs w:val="20"/>
          <w:lang w:val="en-US"/>
        </w:rPr>
        <w:t>ea</w:t>
      </w:r>
      <w:r w:rsidR="00533AE9" w:rsidRPr="00037BEA">
        <w:rPr>
          <w:rFonts w:cs="Times New Roman"/>
          <w:sz w:val="20"/>
          <w:szCs w:val="20"/>
          <w:lang w:val="en-US"/>
        </w:rPr>
        <w:t xml:space="preserve">sed with </w:t>
      </w:r>
      <w:r>
        <w:rPr>
          <w:rFonts w:cs="Times New Roman"/>
          <w:sz w:val="20"/>
          <w:szCs w:val="20"/>
          <w:lang w:val="en-US"/>
        </w:rPr>
        <w:t>increasing</w:t>
      </w:r>
      <w:r w:rsidR="00533AE9" w:rsidRPr="00037BEA">
        <w:rPr>
          <w:rFonts w:cs="Times New Roman"/>
          <w:sz w:val="20"/>
          <w:szCs w:val="20"/>
          <w:lang w:val="en-US"/>
        </w:rPr>
        <w:t xml:space="preserve"> levels of </w:t>
      </w:r>
      <w:r>
        <w:rPr>
          <w:rFonts w:cs="Times New Roman"/>
          <w:sz w:val="20"/>
          <w:szCs w:val="20"/>
          <w:lang w:val="en-US"/>
        </w:rPr>
        <w:t xml:space="preserve">bioavailable </w:t>
      </w:r>
      <w:r w:rsidR="00533AE9" w:rsidRPr="00037BEA">
        <w:rPr>
          <w:rFonts w:cs="Times New Roman"/>
          <w:sz w:val="20"/>
          <w:szCs w:val="20"/>
          <w:lang w:val="en-US"/>
        </w:rPr>
        <w:t>Ni.</w:t>
      </w:r>
      <w:r>
        <w:rPr>
          <w:rFonts w:cs="Times New Roman"/>
          <w:sz w:val="20"/>
          <w:szCs w:val="20"/>
          <w:lang w:val="en-US"/>
        </w:rPr>
        <w:t xml:space="preserve"> </w:t>
      </w:r>
      <w:r w:rsidR="000A70B9" w:rsidRPr="00037BEA">
        <w:rPr>
          <w:rFonts w:cs="Times New Roman"/>
          <w:sz w:val="20"/>
          <w:szCs w:val="20"/>
          <w:lang w:val="en-US"/>
        </w:rPr>
        <w:t xml:space="preserve">On the other hand, we screened Ni-resistant bacteria having </w:t>
      </w:r>
      <w:r w:rsidR="000A70B9" w:rsidRPr="00037BEA">
        <w:rPr>
          <w:rStyle w:val="st"/>
          <w:rFonts w:cs="Times New Roman"/>
          <w:sz w:val="20"/>
          <w:szCs w:val="20"/>
          <w:lang w:val="en-US"/>
        </w:rPr>
        <w:t>1-aminocyclopropane-1-carboxylate deaminase (</w:t>
      </w:r>
      <w:proofErr w:type="spellStart"/>
      <w:r w:rsidR="000A70B9" w:rsidRPr="00037BEA">
        <w:rPr>
          <w:rStyle w:val="st"/>
          <w:rFonts w:cs="Times New Roman"/>
          <w:sz w:val="20"/>
          <w:szCs w:val="20"/>
          <w:lang w:val="en-US"/>
        </w:rPr>
        <w:t>ACCd</w:t>
      </w:r>
      <w:proofErr w:type="spellEnd"/>
      <w:r w:rsidR="000A70B9" w:rsidRPr="00037BEA">
        <w:rPr>
          <w:rStyle w:val="st"/>
          <w:rFonts w:cs="Times New Roman"/>
          <w:sz w:val="20"/>
          <w:szCs w:val="20"/>
          <w:lang w:val="en-US"/>
        </w:rPr>
        <w:t xml:space="preserve">) activity for developing primers targeting the </w:t>
      </w:r>
      <w:proofErr w:type="spellStart"/>
      <w:r w:rsidR="000A70B9" w:rsidRPr="00037BEA">
        <w:rPr>
          <w:rStyle w:val="st"/>
          <w:rFonts w:cs="Times New Roman"/>
          <w:i/>
          <w:sz w:val="20"/>
          <w:szCs w:val="20"/>
          <w:lang w:val="en-US"/>
        </w:rPr>
        <w:t>acdS</w:t>
      </w:r>
      <w:proofErr w:type="spellEnd"/>
      <w:r w:rsidR="000A70B9" w:rsidRPr="00037BEA">
        <w:rPr>
          <w:rStyle w:val="st"/>
          <w:rFonts w:cs="Times New Roman"/>
          <w:sz w:val="20"/>
          <w:szCs w:val="20"/>
          <w:lang w:val="en-US"/>
        </w:rPr>
        <w:t xml:space="preserve"> gene. </w:t>
      </w:r>
      <w:r w:rsidR="009617EF">
        <w:rPr>
          <w:rStyle w:val="st"/>
          <w:rFonts w:cs="Times New Roman"/>
          <w:sz w:val="20"/>
          <w:szCs w:val="20"/>
          <w:lang w:val="en-US"/>
        </w:rPr>
        <w:t>Quantification of</w:t>
      </w:r>
      <w:r w:rsidR="000A70B9" w:rsidRPr="00037BEA">
        <w:rPr>
          <w:rStyle w:val="st"/>
          <w:rFonts w:cs="Times New Roman"/>
          <w:sz w:val="20"/>
          <w:szCs w:val="20"/>
          <w:lang w:val="en-US"/>
        </w:rPr>
        <w:t xml:space="preserve"> </w:t>
      </w:r>
      <w:proofErr w:type="spellStart"/>
      <w:r w:rsidR="000A70B9" w:rsidRPr="00037BEA">
        <w:rPr>
          <w:rStyle w:val="st"/>
          <w:rFonts w:cs="Times New Roman"/>
          <w:sz w:val="20"/>
          <w:szCs w:val="20"/>
          <w:lang w:val="en-US"/>
        </w:rPr>
        <w:t>ACCd</w:t>
      </w:r>
      <w:proofErr w:type="spellEnd"/>
      <w:r w:rsidR="000A70B9" w:rsidRPr="00037BEA">
        <w:rPr>
          <w:rStyle w:val="st"/>
          <w:rFonts w:cs="Times New Roman"/>
          <w:sz w:val="20"/>
          <w:szCs w:val="20"/>
          <w:lang w:val="en-US"/>
        </w:rPr>
        <w:t xml:space="preserve"> activity</w:t>
      </w:r>
      <w:r>
        <w:rPr>
          <w:rStyle w:val="st"/>
          <w:rFonts w:cs="Times New Roman"/>
          <w:sz w:val="20"/>
          <w:szCs w:val="20"/>
          <w:lang w:val="en-US"/>
        </w:rPr>
        <w:t xml:space="preserve">- which is known to stimulate the growth of </w:t>
      </w:r>
      <w:proofErr w:type="gramStart"/>
      <w:r w:rsidRPr="00737EC5">
        <w:rPr>
          <w:rStyle w:val="st"/>
          <w:rFonts w:cs="Times New Roman"/>
          <w:i/>
          <w:sz w:val="20"/>
          <w:szCs w:val="20"/>
          <w:lang w:val="en-US"/>
        </w:rPr>
        <w:t>A</w:t>
      </w:r>
      <w:proofErr w:type="gramEnd"/>
      <w:r w:rsidRPr="00737EC5">
        <w:rPr>
          <w:rStyle w:val="st"/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Pr="00737EC5">
        <w:rPr>
          <w:rStyle w:val="st"/>
          <w:rFonts w:cs="Times New Roman"/>
          <w:i/>
          <w:sz w:val="20"/>
          <w:szCs w:val="20"/>
          <w:lang w:val="en-US"/>
        </w:rPr>
        <w:t>murale</w:t>
      </w:r>
      <w:proofErr w:type="spellEnd"/>
      <w:r>
        <w:rPr>
          <w:rStyle w:val="st"/>
          <w:rFonts w:cs="Times New Roman"/>
          <w:sz w:val="20"/>
          <w:szCs w:val="20"/>
          <w:lang w:val="en-US"/>
        </w:rPr>
        <w:t>-</w:t>
      </w:r>
      <w:r w:rsidR="000A70B9" w:rsidRPr="00037BEA">
        <w:rPr>
          <w:rStyle w:val="st"/>
          <w:rFonts w:cs="Times New Roman"/>
          <w:sz w:val="20"/>
          <w:szCs w:val="20"/>
          <w:lang w:val="en-US"/>
        </w:rPr>
        <w:t xml:space="preserve"> directly from soil DNA extracted </w:t>
      </w:r>
      <w:r w:rsidR="009617EF">
        <w:rPr>
          <w:rStyle w:val="st"/>
          <w:rFonts w:cs="Times New Roman"/>
          <w:sz w:val="20"/>
          <w:szCs w:val="20"/>
          <w:lang w:val="en-US"/>
        </w:rPr>
        <w:t xml:space="preserve">could be an appropriate tool to predict </w:t>
      </w:r>
      <w:proofErr w:type="spellStart"/>
      <w:r w:rsidR="009617EF">
        <w:rPr>
          <w:rStyle w:val="st"/>
          <w:rFonts w:cs="Times New Roman"/>
          <w:sz w:val="20"/>
          <w:szCs w:val="20"/>
          <w:lang w:val="en-US"/>
        </w:rPr>
        <w:t>phytomining</w:t>
      </w:r>
      <w:proofErr w:type="spellEnd"/>
      <w:r w:rsidR="009617EF">
        <w:rPr>
          <w:rStyle w:val="st"/>
          <w:rFonts w:cs="Times New Roman"/>
          <w:sz w:val="20"/>
          <w:szCs w:val="20"/>
          <w:lang w:val="en-US"/>
        </w:rPr>
        <w:t xml:space="preserve"> efficiency</w:t>
      </w:r>
      <w:r w:rsidR="000A70B9" w:rsidRPr="00037BEA">
        <w:rPr>
          <w:rStyle w:val="st"/>
          <w:rFonts w:cs="Times New Roman"/>
          <w:sz w:val="20"/>
          <w:szCs w:val="20"/>
          <w:lang w:val="en-US"/>
        </w:rPr>
        <w:t>.</w:t>
      </w:r>
    </w:p>
    <w:p w:rsidR="001D3DAB" w:rsidRDefault="001D3DAB" w:rsidP="00951C98">
      <w:pPr>
        <w:spacing w:line="240" w:lineRule="auto"/>
        <w:jc w:val="left"/>
        <w:rPr>
          <w:sz w:val="20"/>
          <w:szCs w:val="20"/>
          <w:lang w:val="en-US"/>
        </w:rPr>
      </w:pPr>
    </w:p>
    <w:p w:rsidR="00FE190F" w:rsidRPr="00FE190F" w:rsidRDefault="00FE190F" w:rsidP="00FE190F">
      <w:pPr>
        <w:spacing w:line="240" w:lineRule="auto"/>
        <w:jc w:val="center"/>
        <w:rPr>
          <w:b/>
          <w:caps/>
          <w:sz w:val="20"/>
          <w:szCs w:val="20"/>
          <w:lang w:val="en-US"/>
        </w:rPr>
      </w:pPr>
      <w:r w:rsidRPr="00FE190F">
        <w:rPr>
          <w:b/>
          <w:caps/>
          <w:sz w:val="20"/>
          <w:szCs w:val="20"/>
          <w:lang w:val="en-US"/>
        </w:rPr>
        <w:t>Keywords</w:t>
      </w:r>
    </w:p>
    <w:p w:rsidR="00951C98" w:rsidRPr="00FE190F" w:rsidRDefault="00FE190F" w:rsidP="00951C98">
      <w:pPr>
        <w:spacing w:line="240" w:lineRule="auto"/>
        <w:jc w:val="left"/>
        <w:rPr>
          <w:sz w:val="20"/>
          <w:szCs w:val="20"/>
          <w:lang w:val="en-US"/>
        </w:rPr>
      </w:pPr>
      <w:r w:rsidRPr="00FE190F">
        <w:rPr>
          <w:sz w:val="20"/>
          <w:szCs w:val="20"/>
          <w:lang w:val="en-US"/>
        </w:rPr>
        <w:t xml:space="preserve">Nickel, </w:t>
      </w:r>
      <w:proofErr w:type="spellStart"/>
      <w:r w:rsidRPr="00FE190F">
        <w:rPr>
          <w:sz w:val="20"/>
          <w:szCs w:val="20"/>
          <w:lang w:val="en-US"/>
        </w:rPr>
        <w:t>Hyperaccumulator</w:t>
      </w:r>
      <w:proofErr w:type="spellEnd"/>
      <w:r w:rsidRPr="00FE190F">
        <w:rPr>
          <w:sz w:val="20"/>
          <w:szCs w:val="20"/>
          <w:lang w:val="en-US"/>
        </w:rPr>
        <w:t>, bacterial diversity, rhizosphere, pyrosequencing</w:t>
      </w:r>
    </w:p>
    <w:sectPr w:rsidR="00951C98" w:rsidRPr="00FE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B9"/>
    <w:rsid w:val="00037BEA"/>
    <w:rsid w:val="000A70B9"/>
    <w:rsid w:val="001D3DAB"/>
    <w:rsid w:val="003968C1"/>
    <w:rsid w:val="004A574F"/>
    <w:rsid w:val="00533AE9"/>
    <w:rsid w:val="00590DB2"/>
    <w:rsid w:val="006D6508"/>
    <w:rsid w:val="00737EC5"/>
    <w:rsid w:val="00756F10"/>
    <w:rsid w:val="008A1D13"/>
    <w:rsid w:val="00951C98"/>
    <w:rsid w:val="009617EF"/>
    <w:rsid w:val="00961C56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B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0A70B9"/>
  </w:style>
  <w:style w:type="paragraph" w:styleId="PrformatHTML">
    <w:name w:val="HTML Preformatted"/>
    <w:basedOn w:val="Normal"/>
    <w:link w:val="PrformatHTMLCar"/>
    <w:uiPriority w:val="99"/>
    <w:rsid w:val="000A7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A70B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B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0A70B9"/>
  </w:style>
  <w:style w:type="paragraph" w:styleId="PrformatHTML">
    <w:name w:val="HTML Preformatted"/>
    <w:basedOn w:val="Normal"/>
    <w:link w:val="PrformatHTMLCar"/>
    <w:uiPriority w:val="99"/>
    <w:rsid w:val="000A7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A70B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ED15-628B-4B32-A093-F9EF6B3B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benizr75</dc:creator>
  <cp:lastModifiedBy>benizr75</cp:lastModifiedBy>
  <cp:revision>7</cp:revision>
  <dcterms:created xsi:type="dcterms:W3CDTF">2015-07-30T12:37:00Z</dcterms:created>
  <dcterms:modified xsi:type="dcterms:W3CDTF">2015-07-30T13:52:00Z</dcterms:modified>
</cp:coreProperties>
</file>